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206C" w14:textId="331DEE09" w:rsidR="0006475C" w:rsidRDefault="00A75B7C" w:rsidP="00073EDD">
      <w:pPr>
        <w:pStyle w:val="Pagedecouverture"/>
        <w:rPr>
          <w:noProof/>
        </w:rPr>
      </w:pPr>
      <w:bookmarkStart w:id="0" w:name="LW_BM_COVERPAGE"/>
      <w:bookmarkStart w:id="1" w:name="_Hlk112765103"/>
      <w:r>
        <w:rPr>
          <w:noProof/>
        </w:rPr>
        <w:pict w14:anchorId="20757D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20291A6-A10A-4C3D-AC9D-4FF8C85BD7C5" style="width:455.4pt;height:551.7pt">
            <v:imagedata r:id="rId8" o:title=""/>
          </v:shape>
        </w:pict>
      </w:r>
    </w:p>
    <w:bookmarkEnd w:id="0"/>
    <w:p w14:paraId="13CDA150" w14:textId="77777777" w:rsidR="0006475C" w:rsidRDefault="0006475C" w:rsidP="0006475C">
      <w:pPr>
        <w:rPr>
          <w:noProof/>
        </w:rPr>
        <w:sectPr w:rsidR="0006475C" w:rsidSect="00073EDD">
          <w:headerReference w:type="even" r:id="rId9"/>
          <w:headerReference w:type="default" r:id="rId10"/>
          <w:footerReference w:type="even" r:id="rId11"/>
          <w:footerReference w:type="default" r:id="rId12"/>
          <w:headerReference w:type="first" r:id="rId13"/>
          <w:footerReference w:type="first" r:id="rId14"/>
          <w:pgSz w:w="11906" w:h="16838" w:code="9"/>
          <w:pgMar w:top="1134" w:right="1417" w:bottom="1134" w:left="1417" w:header="709" w:footer="709" w:gutter="0"/>
          <w:pgNumType w:start="0"/>
          <w:cols w:space="720"/>
          <w:docGrid w:linePitch="360"/>
        </w:sectPr>
      </w:pPr>
    </w:p>
    <w:p w14:paraId="4F9BD1AA" w14:textId="4CF3B96A" w:rsidR="0006475C" w:rsidRPr="00EB4630" w:rsidRDefault="00F25D82">
      <w:pPr>
        <w:pStyle w:val="Heading1COM"/>
        <w:numPr>
          <w:ilvl w:val="0"/>
          <w:numId w:val="0"/>
        </w:numPr>
        <w:spacing w:before="0" w:after="0"/>
        <w:jc w:val="center"/>
        <w:rPr>
          <w:rFonts w:eastAsiaTheme="minorEastAsia"/>
          <w:noProof/>
        </w:rPr>
      </w:pPr>
      <w:bookmarkStart w:id="2" w:name="_Toc232751073"/>
      <w:r w:rsidRPr="017C6EE0">
        <w:rPr>
          <w:rFonts w:eastAsiaTheme="minorEastAsia"/>
          <w:noProof/>
        </w:rPr>
        <w:lastRenderedPageBreak/>
        <w:t>Table of Contents</w:t>
      </w:r>
      <w:bookmarkEnd w:id="2"/>
    </w:p>
    <w:p w14:paraId="16C65734" w14:textId="77777777" w:rsidR="00CC4F87" w:rsidRDefault="0006475C" w:rsidP="001D3DAB">
      <w:pPr>
        <w:pStyle w:val="TOC1"/>
        <w:tabs>
          <w:tab w:val="right" w:leader="dot" w:pos="9016"/>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r>
        <w:rPr>
          <w:rStyle w:val="BookTitle"/>
          <w:rFonts w:ascii="Times New Roman" w:hAnsi="Times New Roman" w:cs="Times New Roman"/>
          <w:b/>
          <w:bCs/>
          <w:i w:val="0"/>
          <w:iCs w:val="0"/>
          <w:noProof/>
          <w:sz w:val="24"/>
          <w:szCs w:val="24"/>
        </w:rPr>
        <w:fldChar w:fldCharType="begin"/>
      </w:r>
      <w:r>
        <w:rPr>
          <w:rStyle w:val="BookTitle"/>
          <w:rFonts w:ascii="Times New Roman" w:hAnsi="Times New Roman" w:cs="Times New Roman"/>
          <w:b/>
          <w:bCs/>
          <w:i w:val="0"/>
          <w:iCs w:val="0"/>
          <w:noProof/>
          <w:sz w:val="24"/>
          <w:szCs w:val="24"/>
        </w:rPr>
        <w:instrText xml:space="preserve"> TOC \o "1-3" \h \z \u </w:instrText>
      </w:r>
      <w:r>
        <w:rPr>
          <w:rStyle w:val="BookTitle"/>
          <w:rFonts w:ascii="Times New Roman" w:hAnsi="Times New Roman" w:cs="Times New Roman"/>
          <w:b/>
          <w:bCs/>
          <w:i w:val="0"/>
          <w:iCs w:val="0"/>
          <w:noProof/>
          <w:sz w:val="24"/>
          <w:szCs w:val="24"/>
        </w:rPr>
        <w:fldChar w:fldCharType="separate"/>
      </w:r>
      <w:hyperlink w:anchor="_Toc232751074" w:history="1">
        <w:r>
          <w:rPr>
            <w:rStyle w:val="Hyperlink"/>
            <w:rFonts w:cs="Times New Roman"/>
            <w:noProof/>
            <w:sz w:val="24"/>
            <w:szCs w:val="24"/>
          </w:rPr>
          <w:t>Annex 12: Stationary Installations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_Toc232751074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Pr>
            <w:rFonts w:ascii="Times New Roman" w:hAnsi="Times New Roman" w:cs="Times New Roman"/>
            <w:noProof/>
            <w:webHidden/>
            <w:sz w:val="24"/>
            <w:szCs w:val="24"/>
          </w:rPr>
          <w:fldChar w:fldCharType="end"/>
        </w:r>
      </w:hyperlink>
    </w:p>
    <w:p w14:paraId="4343554D" w14:textId="7B9BB638" w:rsidR="00F25D82" w:rsidRPr="001D3DAB" w:rsidRDefault="00F25D82" w:rsidP="001D3DAB">
      <w:pPr>
        <w:pStyle w:val="TOC2"/>
        <w:tabs>
          <w:tab w:val="right" w:leader="dot" w:pos="9016"/>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1075" w:history="1">
        <w:r>
          <w:rPr>
            <w:rStyle w:val="Hyperlink"/>
            <w:rFonts w:cs="Times New Roman"/>
            <w:noProof/>
            <w:sz w:val="24"/>
            <w:szCs w:val="24"/>
          </w:rPr>
          <w:t>List of Tables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_Toc232751075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Pr>
            <w:rFonts w:ascii="Times New Roman" w:hAnsi="Times New Roman" w:cs="Times New Roman"/>
            <w:noProof/>
            <w:webHidden/>
            <w:sz w:val="24"/>
            <w:szCs w:val="24"/>
          </w:rPr>
          <w:fldChar w:fldCharType="end"/>
        </w:r>
      </w:hyperlink>
    </w:p>
    <w:p w14:paraId="092C3A40" w14:textId="4E4A069A" w:rsidR="00F25D82" w:rsidRPr="001D3DAB" w:rsidRDefault="00F25D82" w:rsidP="001D3DAB">
      <w:pPr>
        <w:pStyle w:val="TOC2"/>
        <w:tabs>
          <w:tab w:val="right" w:leader="dot" w:pos="9016"/>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1076" w:history="1">
        <w:r>
          <w:rPr>
            <w:rStyle w:val="Hyperlink"/>
            <w:rFonts w:cs="Times New Roman"/>
            <w:noProof/>
            <w:sz w:val="24"/>
            <w:szCs w:val="24"/>
          </w:rPr>
          <w:t>List of Figures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_Toc232751076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Pr>
            <w:rFonts w:ascii="Times New Roman" w:hAnsi="Times New Roman" w:cs="Times New Roman"/>
            <w:noProof/>
            <w:webHidden/>
            <w:sz w:val="24"/>
            <w:szCs w:val="24"/>
          </w:rPr>
          <w:fldChar w:fldCharType="end"/>
        </w:r>
      </w:hyperlink>
    </w:p>
    <w:p w14:paraId="00C36379" w14:textId="7B0BA06C" w:rsidR="00F25D82" w:rsidRPr="001D3DAB" w:rsidRDefault="00F25D82" w:rsidP="001D3DAB">
      <w:pPr>
        <w:pStyle w:val="TOC2"/>
        <w:tabs>
          <w:tab w:val="left" w:pos="720"/>
          <w:tab w:val="right" w:leader="dot" w:pos="9016"/>
        </w:tabs>
        <w:spacing w:before="120" w:after="120"/>
        <w:rPr>
          <w:rFonts w:ascii="Times New Roman" w:eastAsiaTheme="minorEastAsia" w:hAnsi="Times New Roman" w:cs="Times New Roman"/>
          <w:b/>
          <w:bCs/>
          <w:smallCaps w:val="0"/>
          <w:noProof/>
          <w:color w:val="auto"/>
          <w:kern w:val="2"/>
          <w:sz w:val="24"/>
          <w:szCs w:val="24"/>
          <w:lang w:val="en-IE" w:eastAsia="en-IE"/>
          <w14:ligatures w14:val="standardContextual"/>
        </w:rPr>
      </w:pPr>
      <w:hyperlink w:anchor="_Toc232751077" w:history="1">
        <w:r>
          <w:rPr>
            <w:rStyle w:val="Hyperlink"/>
            <w:rFonts w:cs="Times New Roman"/>
            <w:b/>
            <w:bCs/>
            <w:noProof/>
            <w:sz w:val="24"/>
            <w:szCs w:val="24"/>
          </w:rPr>
          <w:t>1.</w:t>
        </w:r>
        <w:r>
          <w:rPr>
            <w:rFonts w:ascii="Times New Roman" w:eastAsiaTheme="minorEastAsia" w:hAnsi="Times New Roman" w:cs="Times New Roman"/>
            <w:b/>
            <w:bCs/>
            <w:smallCaps w:val="0"/>
            <w:noProof/>
            <w:color w:val="auto"/>
            <w:kern w:val="2"/>
            <w:sz w:val="24"/>
            <w:szCs w:val="24"/>
            <w:lang w:val="en-IE" w:eastAsia="en-IE"/>
            <w14:ligatures w14:val="standardContextual"/>
          </w:rPr>
          <w:tab/>
        </w:r>
        <w:r>
          <w:rPr>
            <w:rStyle w:val="Hyperlink"/>
            <w:rFonts w:cs="Times New Roman"/>
            <w:b/>
            <w:bCs/>
            <w:noProof/>
            <w:sz w:val="24"/>
            <w:szCs w:val="24"/>
          </w:rPr>
          <w:t>Carbon Leakage</w:t>
        </w:r>
        <w:r>
          <w:rPr>
            <w:rFonts w:ascii="Times New Roman" w:hAnsi="Times New Roman" w:cs="Times New Roman"/>
            <w:b/>
            <w:bCs/>
            <w:noProof/>
            <w:webHidden/>
            <w:sz w:val="24"/>
            <w:szCs w:val="24"/>
          </w:rPr>
          <w:tab/>
        </w:r>
        <w:r>
          <w:rPr>
            <w:rFonts w:ascii="Times New Roman" w:hAnsi="Times New Roman" w:cs="Times New Roman"/>
            <w:b/>
            <w:bCs/>
            <w:noProof/>
            <w:webHidden/>
            <w:sz w:val="24"/>
            <w:szCs w:val="24"/>
          </w:rPr>
          <w:fldChar w:fldCharType="begin"/>
        </w:r>
        <w:r>
          <w:rPr>
            <w:rFonts w:ascii="Times New Roman" w:hAnsi="Times New Roman" w:cs="Times New Roman"/>
            <w:b/>
            <w:bCs/>
            <w:noProof/>
            <w:webHidden/>
            <w:sz w:val="24"/>
            <w:szCs w:val="24"/>
          </w:rPr>
          <w:instrText xml:space="preserve"> PAGEREF _Toc232751077 \h </w:instrText>
        </w:r>
        <w:r>
          <w:rPr>
            <w:rFonts w:ascii="Times New Roman" w:hAnsi="Times New Roman" w:cs="Times New Roman"/>
            <w:b/>
            <w:bCs/>
            <w:noProof/>
            <w:webHidden/>
            <w:sz w:val="24"/>
            <w:szCs w:val="24"/>
          </w:rPr>
        </w:r>
        <w:r>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7</w:t>
        </w:r>
        <w:r>
          <w:rPr>
            <w:rFonts w:ascii="Times New Roman" w:hAnsi="Times New Roman" w:cs="Times New Roman"/>
            <w:b/>
            <w:bCs/>
            <w:noProof/>
            <w:webHidden/>
            <w:sz w:val="24"/>
            <w:szCs w:val="24"/>
          </w:rPr>
          <w:fldChar w:fldCharType="end"/>
        </w:r>
      </w:hyperlink>
    </w:p>
    <w:p w14:paraId="62CBD19A" w14:textId="524803E7"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78" w:history="1">
        <w:r>
          <w:rPr>
            <w:rStyle w:val="Hyperlink"/>
            <w:rFonts w:cs="Times New Roman"/>
            <w:i w:val="0"/>
            <w:iCs w:val="0"/>
            <w:noProof/>
            <w:sz w:val="24"/>
            <w:szCs w:val="24"/>
          </w:rPr>
          <w:t>1.1.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Overview</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_Toc232751078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w:t>
        </w:r>
        <w:r>
          <w:rPr>
            <w:rFonts w:ascii="Times New Roman" w:hAnsi="Times New Roman" w:cs="Times New Roman"/>
            <w:i w:val="0"/>
            <w:iCs w:val="0"/>
            <w:noProof/>
            <w:webHidden/>
            <w:sz w:val="24"/>
            <w:szCs w:val="24"/>
          </w:rPr>
          <w:fldChar w:fldCharType="end"/>
        </w:r>
      </w:hyperlink>
    </w:p>
    <w:p w14:paraId="4034E713" w14:textId="5AF9AE83"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79" w:history="1">
        <w:r>
          <w:rPr>
            <w:rStyle w:val="Hyperlink"/>
            <w:rFonts w:cs="Times New Roman"/>
            <w:i w:val="0"/>
            <w:iCs w:val="0"/>
            <w:noProof/>
            <w:sz w:val="24"/>
            <w:szCs w:val="24"/>
          </w:rPr>
          <w:t>1.2.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Scoping exercise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_Toc232751079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w:t>
        </w:r>
        <w:r>
          <w:rPr>
            <w:rFonts w:ascii="Times New Roman" w:hAnsi="Times New Roman" w:cs="Times New Roman"/>
            <w:i w:val="0"/>
            <w:iCs w:val="0"/>
            <w:noProof/>
            <w:webHidden/>
            <w:sz w:val="24"/>
            <w:szCs w:val="24"/>
          </w:rPr>
          <w:fldChar w:fldCharType="end"/>
        </w:r>
      </w:hyperlink>
    </w:p>
    <w:p w14:paraId="489198F2" w14:textId="6C5D26DB"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80" w:history="1">
        <w:r>
          <w:rPr>
            <w:rStyle w:val="Hyperlink"/>
            <w:rFonts w:cs="Times New Roman"/>
            <w:i w:val="0"/>
            <w:iCs w:val="0"/>
            <w:noProof/>
            <w:sz w:val="24"/>
            <w:szCs w:val="24"/>
          </w:rPr>
          <w:t>1.2.1.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Carbon leakage prevention measures for direct emissions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_Toc232751080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w:t>
        </w:r>
        <w:r>
          <w:rPr>
            <w:rFonts w:ascii="Times New Roman" w:hAnsi="Times New Roman" w:cs="Times New Roman"/>
            <w:i w:val="0"/>
            <w:iCs w:val="0"/>
            <w:noProof/>
            <w:webHidden/>
            <w:sz w:val="24"/>
            <w:szCs w:val="24"/>
          </w:rPr>
          <w:fldChar w:fldCharType="end"/>
        </w:r>
      </w:hyperlink>
    </w:p>
    <w:p w14:paraId="1CC7B356" w14:textId="294446D2"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83" w:history="1">
        <w:r>
          <w:rPr>
            <w:rStyle w:val="Hyperlink"/>
            <w:rFonts w:cs="Times New Roman"/>
            <w:i w:val="0"/>
            <w:iCs w:val="0"/>
            <w:noProof/>
            <w:sz w:val="24"/>
            <w:szCs w:val="24"/>
          </w:rPr>
          <w:t>1.2.2.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Carbon leakage prevention measures for indirect emissions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_Toc232751083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w:t>
        </w:r>
        <w:r>
          <w:rPr>
            <w:rFonts w:ascii="Times New Roman" w:hAnsi="Times New Roman" w:cs="Times New Roman"/>
            <w:i w:val="0"/>
            <w:iCs w:val="0"/>
            <w:noProof/>
            <w:webHidden/>
            <w:sz w:val="24"/>
            <w:szCs w:val="24"/>
          </w:rPr>
          <w:fldChar w:fldCharType="end"/>
        </w:r>
      </w:hyperlink>
    </w:p>
    <w:p w14:paraId="28BBC5EB" w14:textId="7F1D5386"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86" w:history="1">
        <w:r>
          <w:rPr>
            <w:rStyle w:val="Hyperlink"/>
            <w:rFonts w:cs="Times New Roman"/>
            <w:i w:val="0"/>
            <w:iCs w:val="0"/>
            <w:noProof/>
            <w:sz w:val="24"/>
            <w:szCs w:val="24"/>
          </w:rPr>
          <w:t>1.3.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Policy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_Toc232751086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12</w:t>
        </w:r>
        <w:r>
          <w:rPr>
            <w:rFonts w:ascii="Times New Roman" w:hAnsi="Times New Roman" w:cs="Times New Roman"/>
            <w:i w:val="0"/>
            <w:iCs w:val="0"/>
            <w:noProof/>
            <w:webHidden/>
            <w:sz w:val="24"/>
            <w:szCs w:val="24"/>
          </w:rPr>
          <w:fldChar w:fldCharType="end"/>
        </w:r>
      </w:hyperlink>
    </w:p>
    <w:p w14:paraId="46A484EA" w14:textId="00C2BE94"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87" w:history="1">
        <w:r>
          <w:rPr>
            <w:rStyle w:val="Hyperlink"/>
            <w:rFonts w:cs="Times New Roman"/>
            <w:i w:val="0"/>
            <w:iCs w:val="0"/>
            <w:noProof/>
            <w:sz w:val="24"/>
            <w:szCs w:val="24"/>
          </w:rPr>
          <w:t>1.3.1.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Description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_Toc232751087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12</w:t>
        </w:r>
        <w:r>
          <w:rPr>
            <w:rFonts w:ascii="Times New Roman" w:hAnsi="Times New Roman" w:cs="Times New Roman"/>
            <w:i w:val="0"/>
            <w:iCs w:val="0"/>
            <w:noProof/>
            <w:webHidden/>
            <w:sz w:val="24"/>
            <w:szCs w:val="24"/>
          </w:rPr>
          <w:fldChar w:fldCharType="end"/>
        </w:r>
      </w:hyperlink>
    </w:p>
    <w:p w14:paraId="07121761" w14:textId="5C8FD382"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90" w:history="1">
        <w:r>
          <w:rPr>
            <w:rStyle w:val="Hyperlink"/>
            <w:rFonts w:cs="Times New Roman"/>
            <w:i w:val="0"/>
            <w:iCs w:val="0"/>
            <w:noProof/>
            <w:sz w:val="24"/>
            <w:szCs w:val="24"/>
          </w:rPr>
          <w:t>1.4.</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Assessment of the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_Toc232751090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15</w:t>
        </w:r>
        <w:r>
          <w:rPr>
            <w:rFonts w:ascii="Times New Roman" w:hAnsi="Times New Roman" w:cs="Times New Roman"/>
            <w:i w:val="0"/>
            <w:iCs w:val="0"/>
            <w:noProof/>
            <w:webHidden/>
            <w:sz w:val="24"/>
            <w:szCs w:val="24"/>
          </w:rPr>
          <w:fldChar w:fldCharType="end"/>
        </w:r>
      </w:hyperlink>
    </w:p>
    <w:p w14:paraId="5C178594" w14:textId="31A3E568"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91" w:history="1">
        <w:r>
          <w:rPr>
            <w:rStyle w:val="Hyperlink"/>
            <w:rFonts w:cs="Times New Roman"/>
            <w:i w:val="0"/>
            <w:iCs w:val="0"/>
            <w:noProof/>
            <w:sz w:val="24"/>
            <w:szCs w:val="24"/>
          </w:rPr>
          <w:t>1.4.1.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Overview</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_Toc232751091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15</w:t>
        </w:r>
        <w:r>
          <w:rPr>
            <w:rFonts w:ascii="Times New Roman" w:hAnsi="Times New Roman" w:cs="Times New Roman"/>
            <w:i w:val="0"/>
            <w:iCs w:val="0"/>
            <w:noProof/>
            <w:webHidden/>
            <w:sz w:val="24"/>
            <w:szCs w:val="24"/>
          </w:rPr>
          <w:fldChar w:fldCharType="end"/>
        </w:r>
      </w:hyperlink>
    </w:p>
    <w:p w14:paraId="0D6C7874" w14:textId="257D3699"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092" w:history="1">
        <w:r>
          <w:rPr>
            <w:rStyle w:val="Hyperlink"/>
            <w:rFonts w:cs="Times New Roman"/>
            <w:i w:val="0"/>
            <w:iCs w:val="0"/>
            <w:noProof/>
            <w:sz w:val="24"/>
            <w:szCs w:val="24"/>
          </w:rPr>
          <w:t>1.4.2.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Economic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_Toc232751092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17</w:t>
        </w:r>
        <w:r>
          <w:rPr>
            <w:rFonts w:ascii="Times New Roman" w:hAnsi="Times New Roman" w:cs="Times New Roman"/>
            <w:i w:val="0"/>
            <w:iCs w:val="0"/>
            <w:noProof/>
            <w:webHidden/>
            <w:sz w:val="24"/>
            <w:szCs w:val="24"/>
          </w:rPr>
          <w:fldChar w:fldCharType="end"/>
        </w:r>
      </w:hyperlink>
    </w:p>
    <w:p w14:paraId="57B008A0" w14:textId="25433988"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11" w:history="1">
        <w:r>
          <w:rPr>
            <w:rStyle w:val="Hyperlink"/>
            <w:rFonts w:cs="Times New Roman"/>
            <w:i w:val="0"/>
            <w:iCs w:val="0"/>
            <w:noProof/>
            <w:sz w:val="24"/>
            <w:szCs w:val="24"/>
          </w:rPr>
          <w:t>1.4.3.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Social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_Toc232751111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53</w:t>
        </w:r>
        <w:r>
          <w:rPr>
            <w:rFonts w:ascii="Times New Roman" w:hAnsi="Times New Roman" w:cs="Times New Roman"/>
            <w:i w:val="0"/>
            <w:iCs w:val="0"/>
            <w:noProof/>
            <w:webHidden/>
            <w:sz w:val="24"/>
            <w:szCs w:val="24"/>
          </w:rPr>
          <w:fldChar w:fldCharType="end"/>
        </w:r>
      </w:hyperlink>
    </w:p>
    <w:p w14:paraId="4A3836F1" w14:textId="10BDEB44"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14" w:history="1">
        <w:r>
          <w:rPr>
            <w:rStyle w:val="Hyperlink"/>
            <w:rFonts w:cs="Times New Roman"/>
            <w:i w:val="0"/>
            <w:iCs w:val="0"/>
            <w:noProof/>
            <w:sz w:val="24"/>
            <w:szCs w:val="24"/>
          </w:rPr>
          <w:t>1.4.4.</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Environmental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_Toc232751114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55</w:t>
        </w:r>
        <w:r>
          <w:rPr>
            <w:rFonts w:ascii="Times New Roman" w:hAnsi="Times New Roman" w:cs="Times New Roman"/>
            <w:i w:val="0"/>
            <w:iCs w:val="0"/>
            <w:noProof/>
            <w:webHidden/>
            <w:sz w:val="24"/>
            <w:szCs w:val="24"/>
          </w:rPr>
          <w:fldChar w:fldCharType="end"/>
        </w:r>
      </w:hyperlink>
    </w:p>
    <w:p w14:paraId="5E163242" w14:textId="6843DA56"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18" w:history="1">
        <w:r>
          <w:rPr>
            <w:rStyle w:val="Hyperlink"/>
            <w:rFonts w:cs="Times New Roman"/>
            <w:i w:val="0"/>
            <w:iCs w:val="0"/>
            <w:noProof/>
            <w:sz w:val="24"/>
            <w:szCs w:val="24"/>
          </w:rPr>
          <w:t>1.4.5.</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Summary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_Toc232751118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57</w:t>
        </w:r>
        <w:r>
          <w:rPr>
            <w:rFonts w:ascii="Times New Roman" w:hAnsi="Times New Roman" w:cs="Times New Roman"/>
            <w:i w:val="0"/>
            <w:iCs w:val="0"/>
            <w:noProof/>
            <w:webHidden/>
            <w:sz w:val="24"/>
            <w:szCs w:val="24"/>
          </w:rPr>
          <w:fldChar w:fldCharType="end"/>
        </w:r>
      </w:hyperlink>
    </w:p>
    <w:p w14:paraId="1492EA4B" w14:textId="4C18EB6A" w:rsidR="00F25D82" w:rsidRPr="001D3DAB" w:rsidRDefault="00F25D82" w:rsidP="001D3DAB">
      <w:pPr>
        <w:pStyle w:val="TOC2"/>
        <w:tabs>
          <w:tab w:val="left" w:pos="720"/>
          <w:tab w:val="right" w:leader="dot" w:pos="9016"/>
        </w:tabs>
        <w:spacing w:before="120" w:after="120"/>
        <w:rPr>
          <w:rFonts w:ascii="Times New Roman" w:eastAsiaTheme="minorEastAsia" w:hAnsi="Times New Roman" w:cs="Times New Roman"/>
          <w:b/>
          <w:bCs/>
          <w:smallCaps w:val="0"/>
          <w:noProof/>
          <w:color w:val="auto"/>
          <w:kern w:val="2"/>
          <w:sz w:val="24"/>
          <w:szCs w:val="24"/>
          <w:lang w:val="en-IE" w:eastAsia="en-IE"/>
          <w14:ligatures w14:val="standardContextual"/>
        </w:rPr>
      </w:pPr>
      <w:hyperlink w:anchor="_Toc232751119" w:history="1">
        <w:r>
          <w:rPr>
            <w:rStyle w:val="Hyperlink"/>
            <w:rFonts w:cs="Times New Roman"/>
            <w:b/>
            <w:bCs/>
            <w:noProof/>
            <w:sz w:val="24"/>
            <w:szCs w:val="24"/>
          </w:rPr>
          <w:t>2.</w:t>
        </w:r>
        <w:r>
          <w:rPr>
            <w:rFonts w:ascii="Times New Roman" w:eastAsiaTheme="minorEastAsia" w:hAnsi="Times New Roman" w:cs="Times New Roman"/>
            <w:b/>
            <w:bCs/>
            <w:smallCaps w:val="0"/>
            <w:noProof/>
            <w:color w:val="auto"/>
            <w:kern w:val="2"/>
            <w:sz w:val="24"/>
            <w:szCs w:val="24"/>
            <w:lang w:val="en-IE" w:eastAsia="en-IE"/>
            <w14:ligatures w14:val="standardContextual"/>
          </w:rPr>
          <w:tab/>
        </w:r>
        <w:r>
          <w:rPr>
            <w:rStyle w:val="Hyperlink"/>
            <w:rFonts w:cs="Times New Roman"/>
            <w:b/>
            <w:bCs/>
            <w:noProof/>
            <w:sz w:val="24"/>
            <w:szCs w:val="24"/>
          </w:rPr>
          <w:t>20 MW Threshold</w:t>
        </w:r>
        <w:r>
          <w:rPr>
            <w:rFonts w:ascii="Times New Roman" w:hAnsi="Times New Roman" w:cs="Times New Roman"/>
            <w:b/>
            <w:bCs/>
            <w:noProof/>
            <w:webHidden/>
            <w:sz w:val="24"/>
            <w:szCs w:val="24"/>
          </w:rPr>
          <w:tab/>
        </w:r>
        <w:r>
          <w:rPr>
            <w:rFonts w:ascii="Times New Roman" w:hAnsi="Times New Roman" w:cs="Times New Roman"/>
            <w:b/>
            <w:bCs/>
            <w:noProof/>
            <w:webHidden/>
            <w:sz w:val="24"/>
            <w:szCs w:val="24"/>
          </w:rPr>
          <w:fldChar w:fldCharType="begin"/>
        </w:r>
        <w:r>
          <w:rPr>
            <w:rFonts w:ascii="Times New Roman" w:hAnsi="Times New Roman" w:cs="Times New Roman"/>
            <w:b/>
            <w:bCs/>
            <w:noProof/>
            <w:webHidden/>
            <w:sz w:val="24"/>
            <w:szCs w:val="24"/>
          </w:rPr>
          <w:instrText xml:space="preserve"> PAGEREF _Toc232751119 \h </w:instrText>
        </w:r>
        <w:r>
          <w:rPr>
            <w:rFonts w:ascii="Times New Roman" w:hAnsi="Times New Roman" w:cs="Times New Roman"/>
            <w:b/>
            <w:bCs/>
            <w:noProof/>
            <w:webHidden/>
            <w:sz w:val="24"/>
            <w:szCs w:val="24"/>
          </w:rPr>
        </w:r>
        <w:r>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59</w:t>
        </w:r>
        <w:r>
          <w:rPr>
            <w:rFonts w:ascii="Times New Roman" w:hAnsi="Times New Roman" w:cs="Times New Roman"/>
            <w:b/>
            <w:bCs/>
            <w:noProof/>
            <w:webHidden/>
            <w:sz w:val="24"/>
            <w:szCs w:val="24"/>
          </w:rPr>
          <w:fldChar w:fldCharType="end"/>
        </w:r>
      </w:hyperlink>
    </w:p>
    <w:p w14:paraId="6332EA54" w14:textId="3EEE1329"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20" w:history="1">
        <w:r>
          <w:rPr>
            <w:rStyle w:val="Hyperlink"/>
            <w:rFonts w:cs="Times New Roman"/>
            <w:i w:val="0"/>
            <w:iCs w:val="0"/>
            <w:noProof/>
            <w:sz w:val="24"/>
            <w:szCs w:val="24"/>
          </w:rPr>
          <w:t>2.1.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Scoping exercises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_Toc232751120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59</w:t>
        </w:r>
        <w:r>
          <w:rPr>
            <w:rFonts w:ascii="Times New Roman" w:hAnsi="Times New Roman" w:cs="Times New Roman"/>
            <w:i w:val="0"/>
            <w:iCs w:val="0"/>
            <w:noProof/>
            <w:webHidden/>
            <w:sz w:val="24"/>
            <w:szCs w:val="24"/>
          </w:rPr>
          <w:fldChar w:fldCharType="end"/>
        </w:r>
      </w:hyperlink>
    </w:p>
    <w:p w14:paraId="3354835D" w14:textId="31DD33C6"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21" w:history="1">
        <w:r>
          <w:rPr>
            <w:rStyle w:val="Hyperlink"/>
            <w:rFonts w:cs="Times New Roman"/>
            <w:i w:val="0"/>
            <w:iCs w:val="0"/>
            <w:noProof/>
            <w:sz w:val="24"/>
            <w:szCs w:val="24"/>
          </w:rPr>
          <w:t>2.2.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Policy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_Toc232751121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60</w:t>
        </w:r>
        <w:r>
          <w:rPr>
            <w:rFonts w:ascii="Times New Roman" w:hAnsi="Times New Roman" w:cs="Times New Roman"/>
            <w:i w:val="0"/>
            <w:iCs w:val="0"/>
            <w:noProof/>
            <w:webHidden/>
            <w:sz w:val="24"/>
            <w:szCs w:val="24"/>
          </w:rPr>
          <w:fldChar w:fldCharType="end"/>
        </w:r>
      </w:hyperlink>
    </w:p>
    <w:p w14:paraId="4C40615F" w14:textId="30D773AC"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22" w:history="1">
        <w:r>
          <w:rPr>
            <w:rStyle w:val="Hyperlink"/>
            <w:rFonts w:cs="Times New Roman"/>
            <w:i w:val="0"/>
            <w:iCs w:val="0"/>
            <w:noProof/>
            <w:sz w:val="24"/>
            <w:szCs w:val="24"/>
          </w:rPr>
          <w:t>2.2.1.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Description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_Toc232751122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60</w:t>
        </w:r>
        <w:r>
          <w:rPr>
            <w:rFonts w:ascii="Times New Roman" w:hAnsi="Times New Roman" w:cs="Times New Roman"/>
            <w:i w:val="0"/>
            <w:iCs w:val="0"/>
            <w:noProof/>
            <w:webHidden/>
            <w:sz w:val="24"/>
            <w:szCs w:val="24"/>
          </w:rPr>
          <w:fldChar w:fldCharType="end"/>
        </w:r>
      </w:hyperlink>
    </w:p>
    <w:p w14:paraId="5CE46A81" w14:textId="52400E6A"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23" w:history="1">
        <w:r>
          <w:rPr>
            <w:rStyle w:val="Hyperlink"/>
            <w:rFonts w:cs="Times New Roman"/>
            <w:i w:val="0"/>
            <w:iCs w:val="0"/>
            <w:noProof/>
            <w:sz w:val="24"/>
            <w:szCs w:val="24"/>
          </w:rPr>
          <w:t>2.3.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Assessment of the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_Toc232751123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61</w:t>
        </w:r>
        <w:r>
          <w:rPr>
            <w:rFonts w:ascii="Times New Roman" w:hAnsi="Times New Roman" w:cs="Times New Roman"/>
            <w:i w:val="0"/>
            <w:iCs w:val="0"/>
            <w:noProof/>
            <w:webHidden/>
            <w:sz w:val="24"/>
            <w:szCs w:val="24"/>
          </w:rPr>
          <w:fldChar w:fldCharType="end"/>
        </w:r>
      </w:hyperlink>
    </w:p>
    <w:p w14:paraId="41D6AD68" w14:textId="355823F2"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24" w:history="1">
        <w:r>
          <w:rPr>
            <w:rStyle w:val="Hyperlink"/>
            <w:rFonts w:cs="Times New Roman"/>
            <w:i w:val="0"/>
            <w:iCs w:val="0"/>
            <w:noProof/>
            <w:sz w:val="24"/>
            <w:szCs w:val="24"/>
          </w:rPr>
          <w:t>2.3.1.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Economic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_Toc232751124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61</w:t>
        </w:r>
        <w:r>
          <w:rPr>
            <w:rFonts w:ascii="Times New Roman" w:hAnsi="Times New Roman" w:cs="Times New Roman"/>
            <w:i w:val="0"/>
            <w:iCs w:val="0"/>
            <w:noProof/>
            <w:webHidden/>
            <w:sz w:val="24"/>
            <w:szCs w:val="24"/>
          </w:rPr>
          <w:fldChar w:fldCharType="end"/>
        </w:r>
      </w:hyperlink>
    </w:p>
    <w:p w14:paraId="5CA98631" w14:textId="1D48A1AD"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27" w:history="1">
        <w:r>
          <w:rPr>
            <w:rStyle w:val="Hyperlink"/>
            <w:rFonts w:cs="Times New Roman"/>
            <w:i w:val="0"/>
            <w:iCs w:val="0"/>
            <w:noProof/>
            <w:sz w:val="24"/>
            <w:szCs w:val="24"/>
          </w:rPr>
          <w:t>2.3.2.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Social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_Toc232751127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64</w:t>
        </w:r>
        <w:r>
          <w:rPr>
            <w:rFonts w:ascii="Times New Roman" w:hAnsi="Times New Roman" w:cs="Times New Roman"/>
            <w:i w:val="0"/>
            <w:iCs w:val="0"/>
            <w:noProof/>
            <w:webHidden/>
            <w:sz w:val="24"/>
            <w:szCs w:val="24"/>
          </w:rPr>
          <w:fldChar w:fldCharType="end"/>
        </w:r>
      </w:hyperlink>
    </w:p>
    <w:p w14:paraId="6E8DF96A" w14:textId="5C587DDA"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28" w:history="1">
        <w:r>
          <w:rPr>
            <w:rStyle w:val="Hyperlink"/>
            <w:rFonts w:cs="Times New Roman"/>
            <w:i w:val="0"/>
            <w:iCs w:val="0"/>
            <w:noProof/>
            <w:sz w:val="24"/>
            <w:szCs w:val="24"/>
          </w:rPr>
          <w:t>2.3.3.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Environmental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_Toc232751128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64</w:t>
        </w:r>
        <w:r>
          <w:rPr>
            <w:rFonts w:ascii="Times New Roman" w:hAnsi="Times New Roman" w:cs="Times New Roman"/>
            <w:i w:val="0"/>
            <w:iCs w:val="0"/>
            <w:noProof/>
            <w:webHidden/>
            <w:sz w:val="24"/>
            <w:szCs w:val="24"/>
          </w:rPr>
          <w:fldChar w:fldCharType="end"/>
        </w:r>
      </w:hyperlink>
    </w:p>
    <w:p w14:paraId="62511A4D" w14:textId="004E6EB9"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32" w:history="1">
        <w:r>
          <w:rPr>
            <w:rStyle w:val="Hyperlink"/>
            <w:rFonts w:cs="Times New Roman"/>
            <w:i w:val="0"/>
            <w:iCs w:val="0"/>
            <w:noProof/>
            <w:sz w:val="24"/>
            <w:szCs w:val="24"/>
          </w:rPr>
          <w:t>2.3.4.</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Summary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_Toc232751132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68</w:t>
        </w:r>
        <w:r>
          <w:rPr>
            <w:rFonts w:ascii="Times New Roman" w:hAnsi="Times New Roman" w:cs="Times New Roman"/>
            <w:i w:val="0"/>
            <w:iCs w:val="0"/>
            <w:noProof/>
            <w:webHidden/>
            <w:sz w:val="24"/>
            <w:szCs w:val="24"/>
          </w:rPr>
          <w:fldChar w:fldCharType="end"/>
        </w:r>
      </w:hyperlink>
    </w:p>
    <w:p w14:paraId="5C6AF80D" w14:textId="7B520C2A" w:rsidR="00F25D82" w:rsidRPr="001D3DAB" w:rsidRDefault="00F25D82" w:rsidP="001D3DAB">
      <w:pPr>
        <w:pStyle w:val="TOC1"/>
        <w:tabs>
          <w:tab w:val="right" w:leader="dot" w:pos="9016"/>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1133" w:history="1">
        <w:r>
          <w:rPr>
            <w:rStyle w:val="Hyperlink"/>
            <w:rFonts w:cs="Times New Roman"/>
            <w:noProof/>
            <w:sz w:val="24"/>
            <w:szCs w:val="24"/>
          </w:rPr>
          <w:t>Annex 13: New Sectors and Technologies: Waste Management and Carbon Capture and Utilisation (CCU)</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_Toc232751133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Pr>
            <w:rFonts w:ascii="Times New Roman" w:hAnsi="Times New Roman" w:cs="Times New Roman"/>
            <w:noProof/>
            <w:webHidden/>
            <w:sz w:val="24"/>
            <w:szCs w:val="24"/>
          </w:rPr>
          <w:fldChar w:fldCharType="end"/>
        </w:r>
      </w:hyperlink>
    </w:p>
    <w:p w14:paraId="0EBB0323" w14:textId="7946ED72" w:rsidR="00F25D82" w:rsidRPr="001D3DAB" w:rsidRDefault="00F25D82" w:rsidP="001D3DAB">
      <w:pPr>
        <w:pStyle w:val="TOC2"/>
        <w:tabs>
          <w:tab w:val="right" w:leader="dot" w:pos="9016"/>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1134" w:history="1">
        <w:r>
          <w:rPr>
            <w:rStyle w:val="Hyperlink"/>
            <w:rFonts w:cs="Times New Roman"/>
            <w:noProof/>
            <w:sz w:val="24"/>
            <w:szCs w:val="24"/>
          </w:rPr>
          <w:t>List of Tables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_Toc232751134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Pr>
            <w:rFonts w:ascii="Times New Roman" w:hAnsi="Times New Roman" w:cs="Times New Roman"/>
            <w:noProof/>
            <w:webHidden/>
            <w:sz w:val="24"/>
            <w:szCs w:val="24"/>
          </w:rPr>
          <w:fldChar w:fldCharType="end"/>
        </w:r>
      </w:hyperlink>
    </w:p>
    <w:p w14:paraId="37740538" w14:textId="02D1F343" w:rsidR="00F25D82" w:rsidRPr="001D3DAB" w:rsidRDefault="00F25D82" w:rsidP="001D3DAB">
      <w:pPr>
        <w:pStyle w:val="TOC2"/>
        <w:tabs>
          <w:tab w:val="right" w:leader="dot" w:pos="9016"/>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1135" w:history="1">
        <w:r>
          <w:rPr>
            <w:rStyle w:val="Hyperlink"/>
            <w:rFonts w:cs="Times New Roman"/>
            <w:noProof/>
            <w:sz w:val="24"/>
            <w:szCs w:val="24"/>
          </w:rPr>
          <w:t>List of Figures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_Toc232751135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69</w:t>
        </w:r>
        <w:r>
          <w:rPr>
            <w:rFonts w:ascii="Times New Roman" w:hAnsi="Times New Roman" w:cs="Times New Roman"/>
            <w:noProof/>
            <w:webHidden/>
            <w:sz w:val="24"/>
            <w:szCs w:val="24"/>
          </w:rPr>
          <w:fldChar w:fldCharType="end"/>
        </w:r>
      </w:hyperlink>
    </w:p>
    <w:p w14:paraId="78F91553" w14:textId="626CE0F9" w:rsidR="00F25D82" w:rsidRPr="001D3DAB" w:rsidRDefault="00F25D82" w:rsidP="001D3DAB">
      <w:pPr>
        <w:pStyle w:val="TOC2"/>
        <w:tabs>
          <w:tab w:val="left" w:pos="720"/>
          <w:tab w:val="right" w:leader="dot" w:pos="9016"/>
        </w:tabs>
        <w:spacing w:before="120" w:after="120"/>
        <w:rPr>
          <w:rFonts w:ascii="Times New Roman" w:eastAsiaTheme="minorEastAsia" w:hAnsi="Times New Roman" w:cs="Times New Roman"/>
          <w:b/>
          <w:bCs/>
          <w:smallCaps w:val="0"/>
          <w:noProof/>
          <w:color w:val="auto"/>
          <w:kern w:val="2"/>
          <w:sz w:val="24"/>
          <w:szCs w:val="24"/>
          <w:lang w:val="en-IE" w:eastAsia="en-IE"/>
          <w14:ligatures w14:val="standardContextual"/>
        </w:rPr>
      </w:pPr>
      <w:hyperlink w:anchor="_Toc232751136" w:history="1">
        <w:r>
          <w:rPr>
            <w:rStyle w:val="Hyperlink"/>
            <w:rFonts w:cs="Times New Roman"/>
            <w:b/>
            <w:bCs/>
            <w:noProof/>
            <w:sz w:val="24"/>
            <w:szCs w:val="24"/>
          </w:rPr>
          <w:t>3.</w:t>
        </w:r>
        <w:r>
          <w:rPr>
            <w:rFonts w:ascii="Times New Roman" w:eastAsiaTheme="minorEastAsia" w:hAnsi="Times New Roman" w:cs="Times New Roman"/>
            <w:b/>
            <w:bCs/>
            <w:smallCaps w:val="0"/>
            <w:noProof/>
            <w:color w:val="auto"/>
            <w:kern w:val="2"/>
            <w:sz w:val="24"/>
            <w:szCs w:val="24"/>
            <w:lang w:val="en-IE" w:eastAsia="en-IE"/>
            <w14:ligatures w14:val="standardContextual"/>
          </w:rPr>
          <w:tab/>
        </w:r>
        <w:r>
          <w:rPr>
            <w:rStyle w:val="Hyperlink"/>
            <w:rFonts w:cs="Times New Roman"/>
            <w:b/>
            <w:bCs/>
            <w:noProof/>
            <w:sz w:val="24"/>
            <w:szCs w:val="24"/>
          </w:rPr>
          <w:t>Waste</w:t>
        </w:r>
        <w:r>
          <w:rPr>
            <w:rFonts w:ascii="Times New Roman" w:hAnsi="Times New Roman" w:cs="Times New Roman"/>
            <w:b/>
            <w:bCs/>
            <w:noProof/>
            <w:webHidden/>
            <w:sz w:val="24"/>
            <w:szCs w:val="24"/>
          </w:rPr>
          <w:tab/>
        </w:r>
        <w:r>
          <w:rPr>
            <w:rFonts w:ascii="Times New Roman" w:hAnsi="Times New Roman" w:cs="Times New Roman"/>
            <w:b/>
            <w:bCs/>
            <w:noProof/>
            <w:webHidden/>
            <w:sz w:val="24"/>
            <w:szCs w:val="24"/>
          </w:rPr>
          <w:fldChar w:fldCharType="begin"/>
        </w:r>
        <w:r>
          <w:rPr>
            <w:rFonts w:ascii="Times New Roman" w:hAnsi="Times New Roman" w:cs="Times New Roman"/>
            <w:b/>
            <w:bCs/>
            <w:noProof/>
            <w:webHidden/>
            <w:sz w:val="24"/>
            <w:szCs w:val="24"/>
          </w:rPr>
          <w:instrText xml:space="preserve"> PAGEREF _Toc232751136 \h </w:instrText>
        </w:r>
        <w:r>
          <w:rPr>
            <w:rFonts w:ascii="Times New Roman" w:hAnsi="Times New Roman" w:cs="Times New Roman"/>
            <w:b/>
            <w:bCs/>
            <w:noProof/>
            <w:webHidden/>
            <w:sz w:val="24"/>
            <w:szCs w:val="24"/>
          </w:rPr>
        </w:r>
        <w:r>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70</w:t>
        </w:r>
        <w:r>
          <w:rPr>
            <w:rFonts w:ascii="Times New Roman" w:hAnsi="Times New Roman" w:cs="Times New Roman"/>
            <w:b/>
            <w:bCs/>
            <w:noProof/>
            <w:webHidden/>
            <w:sz w:val="24"/>
            <w:szCs w:val="24"/>
          </w:rPr>
          <w:fldChar w:fldCharType="end"/>
        </w:r>
      </w:hyperlink>
    </w:p>
    <w:p w14:paraId="06B40525" w14:textId="1F56E5D5"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37" w:history="1">
        <w:r>
          <w:rPr>
            <w:rStyle w:val="Hyperlink"/>
            <w:rFonts w:cs="Times New Roman"/>
            <w:i w:val="0"/>
            <w:iCs w:val="0"/>
            <w:noProof/>
            <w:sz w:val="24"/>
            <w:szCs w:val="24"/>
          </w:rPr>
          <w:t>3.1.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Overview</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_Toc232751137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70</w:t>
        </w:r>
        <w:r>
          <w:rPr>
            <w:rFonts w:ascii="Times New Roman" w:hAnsi="Times New Roman" w:cs="Times New Roman"/>
            <w:i w:val="0"/>
            <w:iCs w:val="0"/>
            <w:noProof/>
            <w:webHidden/>
            <w:sz w:val="24"/>
            <w:szCs w:val="24"/>
          </w:rPr>
          <w:fldChar w:fldCharType="end"/>
        </w:r>
      </w:hyperlink>
    </w:p>
    <w:p w14:paraId="433616D0" w14:textId="301C5AE1"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38" w:history="1">
        <w:r>
          <w:rPr>
            <w:rStyle w:val="Hyperlink"/>
            <w:rFonts w:cs="Times New Roman"/>
            <w:i w:val="0"/>
            <w:iCs w:val="0"/>
            <w:noProof/>
            <w:sz w:val="24"/>
            <w:szCs w:val="24"/>
          </w:rPr>
          <w:t>3.2.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Scope of regulated activities and emissions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_Toc232751138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71</w:t>
        </w:r>
        <w:r>
          <w:rPr>
            <w:rFonts w:ascii="Times New Roman" w:hAnsi="Times New Roman" w:cs="Times New Roman"/>
            <w:i w:val="0"/>
            <w:iCs w:val="0"/>
            <w:noProof/>
            <w:webHidden/>
            <w:sz w:val="24"/>
            <w:szCs w:val="24"/>
          </w:rPr>
          <w:fldChar w:fldCharType="end"/>
        </w:r>
      </w:hyperlink>
    </w:p>
    <w:p w14:paraId="0D15F026" w14:textId="3E8FF7FF"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39" w:history="1">
        <w:r>
          <w:rPr>
            <w:rStyle w:val="Hyperlink"/>
            <w:rFonts w:cs="Times New Roman"/>
            <w:i w:val="0"/>
            <w:iCs w:val="0"/>
            <w:noProof/>
            <w:sz w:val="24"/>
            <w:szCs w:val="24"/>
          </w:rPr>
          <w:t>3.2.1.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Municipal waste incineration (MWI)</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_Toc232751139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71</w:t>
        </w:r>
        <w:r>
          <w:rPr>
            <w:rFonts w:ascii="Times New Roman" w:hAnsi="Times New Roman" w:cs="Times New Roman"/>
            <w:i w:val="0"/>
            <w:iCs w:val="0"/>
            <w:noProof/>
            <w:webHidden/>
            <w:sz w:val="24"/>
            <w:szCs w:val="24"/>
          </w:rPr>
          <w:fldChar w:fldCharType="end"/>
        </w:r>
      </w:hyperlink>
    </w:p>
    <w:p w14:paraId="1DAA9954" w14:textId="54F5CAB2"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0" w:history="1">
        <w:r>
          <w:rPr>
            <w:rStyle w:val="Hyperlink"/>
            <w:rFonts w:cs="Times New Roman"/>
            <w:i w:val="0"/>
            <w:iCs w:val="0"/>
            <w:noProof/>
            <w:sz w:val="24"/>
            <w:szCs w:val="24"/>
          </w:rPr>
          <w:t>3.2.2.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Hazardous waste incineration (HWI)</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74</w:t>
        </w:r>
        <w:r>
          <w:rPr>
            <w:rFonts w:ascii="Times New Roman" w:hAnsi="Times New Roman" w:cs="Times New Roman"/>
            <w:i w:val="0"/>
            <w:iCs w:val="0"/>
            <w:noProof/>
            <w:webHidden/>
            <w:sz w:val="24"/>
            <w:szCs w:val="24"/>
          </w:rPr>
          <w:fldChar w:fldCharType="end"/>
        </w:r>
      </w:hyperlink>
    </w:p>
    <w:p w14:paraId="34C8F5D8" w14:textId="5E2A8842"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1" w:history="1">
        <w:r>
          <w:rPr>
            <w:rStyle w:val="Hyperlink"/>
            <w:rFonts w:cs="Times New Roman"/>
            <w:i w:val="0"/>
            <w:iCs w:val="0"/>
            <w:noProof/>
            <w:sz w:val="24"/>
            <w:szCs w:val="24"/>
          </w:rPr>
          <w:t>3.2.3.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Landfilling of non-hazardous waste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75</w:t>
        </w:r>
        <w:r>
          <w:rPr>
            <w:rFonts w:ascii="Times New Roman" w:hAnsi="Times New Roman" w:cs="Times New Roman"/>
            <w:i w:val="0"/>
            <w:iCs w:val="0"/>
            <w:noProof/>
            <w:webHidden/>
            <w:sz w:val="24"/>
            <w:szCs w:val="24"/>
          </w:rPr>
          <w:fldChar w:fldCharType="end"/>
        </w:r>
      </w:hyperlink>
    </w:p>
    <w:p w14:paraId="1C8C4081" w14:textId="443BBF0F"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2" w:history="1">
        <w:r>
          <w:rPr>
            <w:rStyle w:val="Hyperlink"/>
            <w:rFonts w:cs="Times New Roman"/>
            <w:i w:val="0"/>
            <w:iCs w:val="0"/>
            <w:noProof/>
            <w:sz w:val="24"/>
            <w:szCs w:val="24"/>
          </w:rPr>
          <w:t>3.2.4.</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Discarded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77</w:t>
        </w:r>
        <w:r>
          <w:rPr>
            <w:rFonts w:ascii="Times New Roman" w:hAnsi="Times New Roman" w:cs="Times New Roman"/>
            <w:i w:val="0"/>
            <w:iCs w:val="0"/>
            <w:noProof/>
            <w:webHidden/>
            <w:sz w:val="24"/>
            <w:szCs w:val="24"/>
          </w:rPr>
          <w:fldChar w:fldCharType="end"/>
        </w:r>
      </w:hyperlink>
    </w:p>
    <w:p w14:paraId="4B9350F5" w14:textId="03E35F2B"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3" w:history="1">
        <w:r>
          <w:rPr>
            <w:rStyle w:val="Hyperlink"/>
            <w:rFonts w:cs="Times New Roman"/>
            <w:i w:val="0"/>
            <w:iCs w:val="0"/>
            <w:noProof/>
            <w:sz w:val="24"/>
            <w:szCs w:val="24"/>
          </w:rPr>
          <w:t>3.3.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Carbon price signal and emission abatement</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79</w:t>
        </w:r>
        <w:r>
          <w:rPr>
            <w:rFonts w:ascii="Times New Roman" w:hAnsi="Times New Roman" w:cs="Times New Roman"/>
            <w:i w:val="0"/>
            <w:iCs w:val="0"/>
            <w:noProof/>
            <w:webHidden/>
            <w:sz w:val="24"/>
            <w:szCs w:val="24"/>
          </w:rPr>
          <w:fldChar w:fldCharType="end"/>
        </w:r>
      </w:hyperlink>
    </w:p>
    <w:p w14:paraId="6D959467" w14:textId="13393306"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4" w:history="1">
        <w:r>
          <w:rPr>
            <w:rStyle w:val="Hyperlink"/>
            <w:rFonts w:cs="Times New Roman"/>
            <w:i w:val="0"/>
            <w:iCs w:val="0"/>
            <w:noProof/>
            <w:sz w:val="24"/>
            <w:szCs w:val="24"/>
          </w:rPr>
          <w:t>3.3.1.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Ability to pass-on the carbon cost and emissions abatement in the waste value chain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80</w:t>
        </w:r>
        <w:r>
          <w:rPr>
            <w:rFonts w:ascii="Times New Roman" w:hAnsi="Times New Roman" w:cs="Times New Roman"/>
            <w:i w:val="0"/>
            <w:iCs w:val="0"/>
            <w:noProof/>
            <w:webHidden/>
            <w:sz w:val="24"/>
            <w:szCs w:val="24"/>
          </w:rPr>
          <w:fldChar w:fldCharType="end"/>
        </w:r>
      </w:hyperlink>
    </w:p>
    <w:p w14:paraId="1E6B259C" w14:textId="255D5FB2"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5" w:history="1">
        <w:r>
          <w:rPr>
            <w:rStyle w:val="Hyperlink"/>
            <w:rFonts w:cs="Times New Roman"/>
            <w:i w:val="0"/>
            <w:iCs w:val="0"/>
            <w:noProof/>
            <w:sz w:val="24"/>
            <w:szCs w:val="24"/>
          </w:rPr>
          <w:t>3.3.2.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Emission abatement at installation level</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_Toc232751145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83</w:t>
        </w:r>
        <w:r>
          <w:rPr>
            <w:rFonts w:ascii="Times New Roman" w:hAnsi="Times New Roman" w:cs="Times New Roman"/>
            <w:i w:val="0"/>
            <w:iCs w:val="0"/>
            <w:noProof/>
            <w:webHidden/>
            <w:sz w:val="24"/>
            <w:szCs w:val="24"/>
          </w:rPr>
          <w:fldChar w:fldCharType="end"/>
        </w:r>
      </w:hyperlink>
    </w:p>
    <w:p w14:paraId="0F8EA49F" w14:textId="41B866F4"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6" w:history="1">
        <w:r>
          <w:rPr>
            <w:rStyle w:val="Hyperlink"/>
            <w:rFonts w:cs="Times New Roman"/>
            <w:i w:val="0"/>
            <w:iCs w:val="0"/>
            <w:noProof/>
            <w:sz w:val="24"/>
            <w:szCs w:val="24"/>
          </w:rPr>
          <w:t>3.3.3.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Complementary measures and revenue use</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87</w:t>
        </w:r>
        <w:r>
          <w:rPr>
            <w:rFonts w:ascii="Times New Roman" w:hAnsi="Times New Roman" w:cs="Times New Roman"/>
            <w:i w:val="0"/>
            <w:iCs w:val="0"/>
            <w:noProof/>
            <w:webHidden/>
            <w:sz w:val="24"/>
            <w:szCs w:val="24"/>
          </w:rPr>
          <w:fldChar w:fldCharType="end"/>
        </w:r>
      </w:hyperlink>
    </w:p>
    <w:p w14:paraId="6E4E1E28" w14:textId="46ABA045"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7" w:history="1">
        <w:r>
          <w:rPr>
            <w:rStyle w:val="Hyperlink"/>
            <w:rFonts w:cs="Times New Roman"/>
            <w:i w:val="0"/>
            <w:iCs w:val="0"/>
            <w:noProof/>
            <w:sz w:val="24"/>
            <w:szCs w:val="24"/>
          </w:rPr>
          <w:t>3.4.</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Monitoring and Reporting</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88</w:t>
        </w:r>
        <w:r>
          <w:rPr>
            <w:rFonts w:ascii="Times New Roman" w:hAnsi="Times New Roman" w:cs="Times New Roman"/>
            <w:i w:val="0"/>
            <w:iCs w:val="0"/>
            <w:noProof/>
            <w:webHidden/>
            <w:sz w:val="24"/>
            <w:szCs w:val="24"/>
          </w:rPr>
          <w:fldChar w:fldCharType="end"/>
        </w:r>
      </w:hyperlink>
    </w:p>
    <w:p w14:paraId="45E7DFCA" w14:textId="33BB2CA7"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8" w:history="1">
        <w:r>
          <w:rPr>
            <w:rStyle w:val="Hyperlink"/>
            <w:rFonts w:cs="Times New Roman"/>
            <w:i w:val="0"/>
            <w:iCs w:val="0"/>
            <w:noProof/>
            <w:sz w:val="24"/>
            <w:szCs w:val="24"/>
          </w:rPr>
          <w:t>3.4.1.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Threshold for inclusion</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90</w:t>
        </w:r>
        <w:r>
          <w:rPr>
            <w:rFonts w:ascii="Times New Roman" w:hAnsi="Times New Roman" w:cs="Times New Roman"/>
            <w:i w:val="0"/>
            <w:iCs w:val="0"/>
            <w:noProof/>
            <w:webHidden/>
            <w:sz w:val="24"/>
            <w:szCs w:val="24"/>
          </w:rPr>
          <w:fldChar w:fldCharType="end"/>
        </w:r>
      </w:hyperlink>
    </w:p>
    <w:p w14:paraId="6B811A94" w14:textId="27DC4B7C"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49" w:history="1">
        <w:r>
          <w:rPr>
            <w:rStyle w:val="Hyperlink"/>
            <w:rFonts w:cs="Times New Roman"/>
            <w:i w:val="0"/>
            <w:iCs w:val="0"/>
            <w:noProof/>
            <w:sz w:val="24"/>
            <w:szCs w:val="24"/>
          </w:rPr>
          <w:t>3.4.2.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Simplified MRV for small and ultra-small emitters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_Toc232751149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92</w:t>
        </w:r>
        <w:r>
          <w:rPr>
            <w:rFonts w:ascii="Times New Roman" w:hAnsi="Times New Roman" w:cs="Times New Roman"/>
            <w:i w:val="0"/>
            <w:iCs w:val="0"/>
            <w:noProof/>
            <w:webHidden/>
            <w:sz w:val="24"/>
            <w:szCs w:val="24"/>
          </w:rPr>
          <w:fldChar w:fldCharType="end"/>
        </w:r>
      </w:hyperlink>
    </w:p>
    <w:p w14:paraId="52E58392" w14:textId="7F3EA8D4"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50" w:history="1">
        <w:r>
          <w:rPr>
            <w:rStyle w:val="Hyperlink"/>
            <w:rFonts w:cs="Times New Roman"/>
            <w:i w:val="0"/>
            <w:iCs w:val="0"/>
            <w:noProof/>
            <w:sz w:val="24"/>
            <w:szCs w:val="24"/>
          </w:rPr>
          <w:t>3.5.</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Coherence with other policy frameworks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_Toc232751150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92</w:t>
        </w:r>
        <w:r>
          <w:rPr>
            <w:rFonts w:ascii="Times New Roman" w:hAnsi="Times New Roman" w:cs="Times New Roman"/>
            <w:i w:val="0"/>
            <w:iCs w:val="0"/>
            <w:noProof/>
            <w:webHidden/>
            <w:sz w:val="24"/>
            <w:szCs w:val="24"/>
          </w:rPr>
          <w:fldChar w:fldCharType="end"/>
        </w:r>
      </w:hyperlink>
    </w:p>
    <w:p w14:paraId="49F54FC8" w14:textId="288CA4E3" w:rsidR="00F25D82" w:rsidRPr="001D3DAB" w:rsidRDefault="00F25D82" w:rsidP="001D3DAB">
      <w:pPr>
        <w:pStyle w:val="TOC3"/>
        <w:tabs>
          <w:tab w:val="left" w:pos="1200"/>
          <w:tab w:val="right" w:leader="dot" w:pos="9016"/>
        </w:tabs>
        <w:spacing w:before="120" w:after="120"/>
        <w:rPr>
          <w:rStyle w:val="Hyperlink"/>
          <w:rFonts w:cs="Times New Roman"/>
          <w:i w:val="0"/>
          <w:iCs w:val="0"/>
          <w:noProof/>
          <w:sz w:val="24"/>
          <w:szCs w:val="24"/>
        </w:rPr>
      </w:pPr>
      <w:hyperlink w:anchor="_Toc232751151" w:history="1">
        <w:r>
          <w:rPr>
            <w:rStyle w:val="Hyperlink"/>
            <w:rFonts w:cs="Times New Roman"/>
            <w:i w:val="0"/>
            <w:iCs w:val="0"/>
            <w:noProof/>
            <w:sz w:val="24"/>
            <w:szCs w:val="24"/>
          </w:rPr>
          <w:t>3.6.</w:t>
        </w:r>
        <w:r>
          <w:rPr>
            <w:rStyle w:val="Hyperlink"/>
            <w:rFonts w:cs="Times New Roman"/>
            <w:i w:val="0"/>
            <w:iCs w:val="0"/>
            <w:noProof/>
            <w:sz w:val="24"/>
            <w:szCs w:val="24"/>
          </w:rPr>
          <w:tab/>
          <w:t>Policy measures</w:t>
        </w:r>
        <w:r>
          <w:rPr>
            <w:rStyle w:val="Hyperlink"/>
            <w:rFonts w:cs="Times New Roman"/>
            <w:i w:val="0"/>
            <w:iCs w:val="0"/>
            <w:noProof/>
            <w:webHidden/>
            <w:sz w:val="24"/>
            <w:szCs w:val="24"/>
          </w:rPr>
          <w:tab/>
        </w:r>
        <w:r>
          <w:rPr>
            <w:rStyle w:val="Hyperlink"/>
            <w:rFonts w:cs="Times New Roman"/>
            <w:i w:val="0"/>
            <w:iCs w:val="0"/>
            <w:noProof/>
            <w:webHidden/>
            <w:sz w:val="24"/>
            <w:szCs w:val="24"/>
          </w:rPr>
          <w:fldChar w:fldCharType="begin"/>
        </w:r>
        <w:r>
          <w:rPr>
            <w:rStyle w:val="Hyperlink"/>
            <w:rFonts w:cs="Times New Roman"/>
            <w:i w:val="0"/>
            <w:iCs w:val="0"/>
            <w:noProof/>
            <w:webHidden/>
            <w:sz w:val="24"/>
            <w:szCs w:val="24"/>
          </w:rPr>
          <w:instrText xml:space="preserve"> PAGEREF _Toc232751151 \h </w:instrText>
        </w:r>
        <w:r>
          <w:rPr>
            <w:rStyle w:val="Hyperlink"/>
            <w:rFonts w:cs="Times New Roman"/>
            <w:i w:val="0"/>
            <w:iCs w:val="0"/>
            <w:noProof/>
            <w:webHidden/>
            <w:sz w:val="24"/>
            <w:szCs w:val="24"/>
          </w:rPr>
        </w:r>
        <w:r>
          <w:rPr>
            <w:rStyle w:val="Hyperlink"/>
            <w:rFonts w:cs="Times New Roman"/>
            <w:i w:val="0"/>
            <w:iCs w:val="0"/>
            <w:noProof/>
            <w:webHidden/>
            <w:sz w:val="24"/>
            <w:szCs w:val="24"/>
          </w:rPr>
          <w:fldChar w:fldCharType="separate"/>
        </w:r>
        <w:r>
          <w:rPr>
            <w:rStyle w:val="Hyperlink"/>
            <w:rFonts w:cs="Times New Roman"/>
            <w:i w:val="0"/>
            <w:iCs w:val="0"/>
            <w:noProof/>
            <w:webHidden/>
            <w:sz w:val="24"/>
            <w:szCs w:val="24"/>
          </w:rPr>
          <w:t>95</w:t>
        </w:r>
        <w:r>
          <w:rPr>
            <w:rStyle w:val="Hyperlink"/>
            <w:rFonts w:cs="Times New Roman"/>
            <w:i w:val="0"/>
            <w:iCs w:val="0"/>
            <w:noProof/>
            <w:webHidden/>
            <w:sz w:val="24"/>
            <w:szCs w:val="24"/>
          </w:rPr>
          <w:fldChar w:fldCharType="end"/>
        </w:r>
      </w:hyperlink>
    </w:p>
    <w:p w14:paraId="63027A08" w14:textId="64278D4D"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52" w:history="1">
        <w:r>
          <w:rPr>
            <w:rStyle w:val="Hyperlink"/>
            <w:rFonts w:cs="Times New Roman"/>
            <w:i w:val="0"/>
            <w:iCs w:val="0"/>
            <w:noProof/>
            <w:sz w:val="24"/>
            <w:szCs w:val="24"/>
          </w:rPr>
          <w:t>3.6.1.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Description of the policy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_Toc232751152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95</w:t>
        </w:r>
        <w:r>
          <w:rPr>
            <w:rFonts w:ascii="Times New Roman" w:hAnsi="Times New Roman" w:cs="Times New Roman"/>
            <w:i w:val="0"/>
            <w:iCs w:val="0"/>
            <w:noProof/>
            <w:webHidden/>
            <w:sz w:val="24"/>
            <w:szCs w:val="24"/>
          </w:rPr>
          <w:fldChar w:fldCharType="end"/>
        </w:r>
      </w:hyperlink>
    </w:p>
    <w:p w14:paraId="71105E98" w14:textId="3ACA7B76" w:rsidR="00F25D82" w:rsidRPr="001D3DAB" w:rsidRDefault="00F25D82" w:rsidP="001D3DAB">
      <w:pPr>
        <w:pStyle w:val="TOC3"/>
        <w:tabs>
          <w:tab w:val="left" w:pos="120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53" w:history="1">
        <w:r>
          <w:rPr>
            <w:rStyle w:val="Hyperlink"/>
            <w:rFonts w:cs="Times New Roman"/>
            <w:i w:val="0"/>
            <w:iCs w:val="0"/>
            <w:noProof/>
            <w:sz w:val="24"/>
            <w:szCs w:val="24"/>
          </w:rPr>
          <w:t>3.7.</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Assessment of Policy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_Toc232751153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95</w:t>
        </w:r>
        <w:r>
          <w:rPr>
            <w:rFonts w:ascii="Times New Roman" w:hAnsi="Times New Roman" w:cs="Times New Roman"/>
            <w:i w:val="0"/>
            <w:iCs w:val="0"/>
            <w:noProof/>
            <w:webHidden/>
            <w:sz w:val="24"/>
            <w:szCs w:val="24"/>
          </w:rPr>
          <w:fldChar w:fldCharType="end"/>
        </w:r>
      </w:hyperlink>
    </w:p>
    <w:p w14:paraId="1C09D752" w14:textId="67858D8B"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54" w:history="1">
        <w:r>
          <w:rPr>
            <w:rStyle w:val="Hyperlink"/>
            <w:rFonts w:cs="Times New Roman"/>
            <w:i w:val="0"/>
            <w:iCs w:val="0"/>
            <w:noProof/>
            <w:sz w:val="24"/>
            <w:szCs w:val="24"/>
          </w:rPr>
          <w:t>3.7.1.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Environmental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_Toc232751154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95</w:t>
        </w:r>
        <w:r>
          <w:rPr>
            <w:rFonts w:ascii="Times New Roman" w:hAnsi="Times New Roman" w:cs="Times New Roman"/>
            <w:i w:val="0"/>
            <w:iCs w:val="0"/>
            <w:noProof/>
            <w:webHidden/>
            <w:sz w:val="24"/>
            <w:szCs w:val="24"/>
          </w:rPr>
          <w:fldChar w:fldCharType="end"/>
        </w:r>
      </w:hyperlink>
    </w:p>
    <w:p w14:paraId="1ED795F3" w14:textId="139E5C19"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63" w:history="1">
        <w:r>
          <w:rPr>
            <w:rStyle w:val="Hyperlink"/>
            <w:rFonts w:cs="Times New Roman"/>
            <w:i w:val="0"/>
            <w:iCs w:val="0"/>
            <w:noProof/>
            <w:sz w:val="24"/>
            <w:szCs w:val="24"/>
          </w:rPr>
          <w:t>3.7.2.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Economic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_Toc232751163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101</w:t>
        </w:r>
        <w:r>
          <w:rPr>
            <w:rFonts w:ascii="Times New Roman" w:hAnsi="Times New Roman" w:cs="Times New Roman"/>
            <w:i w:val="0"/>
            <w:iCs w:val="0"/>
            <w:noProof/>
            <w:webHidden/>
            <w:sz w:val="24"/>
            <w:szCs w:val="24"/>
          </w:rPr>
          <w:fldChar w:fldCharType="end"/>
        </w:r>
      </w:hyperlink>
    </w:p>
    <w:p w14:paraId="44FCA6AE" w14:textId="3785F5C7"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76" w:history="1">
        <w:r>
          <w:rPr>
            <w:rStyle w:val="Hyperlink"/>
            <w:rFonts w:cs="Times New Roman"/>
            <w:i w:val="0"/>
            <w:iCs w:val="0"/>
            <w:noProof/>
            <w:sz w:val="24"/>
            <w:szCs w:val="24"/>
          </w:rPr>
          <w:t>3.7.3.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Social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_Toc232751176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105</w:t>
        </w:r>
        <w:r>
          <w:rPr>
            <w:rFonts w:ascii="Times New Roman" w:hAnsi="Times New Roman" w:cs="Times New Roman"/>
            <w:i w:val="0"/>
            <w:iCs w:val="0"/>
            <w:noProof/>
            <w:webHidden/>
            <w:sz w:val="24"/>
            <w:szCs w:val="24"/>
          </w:rPr>
          <w:fldChar w:fldCharType="end"/>
        </w:r>
      </w:hyperlink>
    </w:p>
    <w:p w14:paraId="5D2631F7" w14:textId="3EAFB960"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81" w:history="1">
        <w:r>
          <w:rPr>
            <w:rStyle w:val="Hyperlink"/>
            <w:rFonts w:cs="Times New Roman"/>
            <w:i w:val="0"/>
            <w:iCs w:val="0"/>
            <w:noProof/>
            <w:sz w:val="24"/>
            <w:szCs w:val="24"/>
            <w:lang w:eastAsia="en-GB"/>
          </w:rPr>
          <w:t>3.7.4.</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lang w:eastAsia="en-GB"/>
          </w:rPr>
          <w:t>Summary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_Toc232751181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107</w:t>
        </w:r>
        <w:r>
          <w:rPr>
            <w:rFonts w:ascii="Times New Roman" w:hAnsi="Times New Roman" w:cs="Times New Roman"/>
            <w:i w:val="0"/>
            <w:iCs w:val="0"/>
            <w:noProof/>
            <w:webHidden/>
            <w:sz w:val="24"/>
            <w:szCs w:val="24"/>
          </w:rPr>
          <w:fldChar w:fldCharType="end"/>
        </w:r>
      </w:hyperlink>
    </w:p>
    <w:p w14:paraId="1D57B716" w14:textId="7BB22FBF" w:rsidR="00F25D82" w:rsidRPr="001D3DAB" w:rsidRDefault="00F25D82" w:rsidP="001D3DAB">
      <w:pPr>
        <w:pStyle w:val="TOC3"/>
        <w:tabs>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82" w:history="1">
        <w:r>
          <w:rPr>
            <w:rStyle w:val="Hyperlink"/>
            <w:rFonts w:cs="Times New Roman"/>
            <w:i w:val="0"/>
            <w:iCs w:val="0"/>
            <w:noProof/>
            <w:sz w:val="24"/>
            <w:szCs w:val="24"/>
          </w:rPr>
          <w:t>Appendix 1: Data on emissions from waste incineration and landfilling in the EU</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_Toc232751182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111</w:t>
        </w:r>
        <w:r>
          <w:rPr>
            <w:rFonts w:ascii="Times New Roman" w:hAnsi="Times New Roman" w:cs="Times New Roman"/>
            <w:i w:val="0"/>
            <w:iCs w:val="0"/>
            <w:noProof/>
            <w:webHidden/>
            <w:sz w:val="24"/>
            <w:szCs w:val="24"/>
          </w:rPr>
          <w:fldChar w:fldCharType="end"/>
        </w:r>
      </w:hyperlink>
    </w:p>
    <w:p w14:paraId="49177F1D" w14:textId="1351C042" w:rsidR="00F25D82" w:rsidRPr="001D3DAB" w:rsidRDefault="00F25D82" w:rsidP="001D3DAB">
      <w:pPr>
        <w:pStyle w:val="TOC3"/>
        <w:tabs>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83" w:history="1">
        <w:r>
          <w:rPr>
            <w:rStyle w:val="Hyperlink"/>
            <w:rFonts w:cs="Times New Roman"/>
            <w:i w:val="0"/>
            <w:iCs w:val="0"/>
            <w:noProof/>
            <w:sz w:val="24"/>
            <w:szCs w:val="24"/>
            <w:lang w:val="en-US" w:eastAsia="en-GB"/>
          </w:rPr>
          <w:t>Appendix 2: Selected case studies on emissions abatement options for waste incineration and landfilling</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_Toc232751183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116</w:t>
        </w:r>
        <w:r>
          <w:rPr>
            <w:rFonts w:ascii="Times New Roman" w:hAnsi="Times New Roman" w:cs="Times New Roman"/>
            <w:i w:val="0"/>
            <w:iCs w:val="0"/>
            <w:noProof/>
            <w:webHidden/>
            <w:sz w:val="24"/>
            <w:szCs w:val="24"/>
          </w:rPr>
          <w:fldChar w:fldCharType="end"/>
        </w:r>
      </w:hyperlink>
    </w:p>
    <w:p w14:paraId="25745740" w14:textId="31D4BCA1" w:rsidR="00F25D82" w:rsidRPr="001D3DAB" w:rsidRDefault="00F25D82" w:rsidP="001D3DAB">
      <w:pPr>
        <w:pStyle w:val="TOC3"/>
        <w:tabs>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84" w:history="1">
        <w:r>
          <w:rPr>
            <w:rStyle w:val="Hyperlink"/>
            <w:rFonts w:cs="Times New Roman"/>
            <w:i w:val="0"/>
            <w:iCs w:val="0"/>
            <w:noProof/>
            <w:sz w:val="24"/>
            <w:szCs w:val="24"/>
            <w:lang w:eastAsia="en-GB"/>
          </w:rPr>
          <w:t>Appendix 3:  MRV methodologies for waste incineration and landfilling</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_Toc232751184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119</w:t>
        </w:r>
        <w:r>
          <w:rPr>
            <w:rFonts w:ascii="Times New Roman" w:hAnsi="Times New Roman" w:cs="Times New Roman"/>
            <w:i w:val="0"/>
            <w:iCs w:val="0"/>
            <w:noProof/>
            <w:webHidden/>
            <w:sz w:val="24"/>
            <w:szCs w:val="24"/>
          </w:rPr>
          <w:fldChar w:fldCharType="end"/>
        </w:r>
      </w:hyperlink>
    </w:p>
    <w:p w14:paraId="7B43F24F" w14:textId="3B7E5376" w:rsidR="00F25D82" w:rsidRPr="001D3DAB" w:rsidRDefault="00F25D82" w:rsidP="001D3DAB">
      <w:pPr>
        <w:pStyle w:val="TOC2"/>
        <w:tabs>
          <w:tab w:val="left" w:pos="720"/>
          <w:tab w:val="right" w:leader="dot" w:pos="9016"/>
        </w:tabs>
        <w:spacing w:before="120" w:after="120"/>
        <w:rPr>
          <w:rFonts w:ascii="Times New Roman" w:eastAsiaTheme="minorEastAsia" w:hAnsi="Times New Roman" w:cs="Times New Roman"/>
          <w:b/>
          <w:bCs/>
          <w:smallCaps w:val="0"/>
          <w:noProof/>
          <w:color w:val="auto"/>
          <w:kern w:val="2"/>
          <w:sz w:val="24"/>
          <w:szCs w:val="24"/>
          <w:lang w:val="en-IE" w:eastAsia="en-IE"/>
          <w14:ligatures w14:val="standardContextual"/>
        </w:rPr>
      </w:pPr>
      <w:hyperlink w:anchor="_Toc232751185" w:history="1">
        <w:r>
          <w:rPr>
            <w:rStyle w:val="Hyperlink"/>
            <w:rFonts w:cs="Times New Roman"/>
            <w:b/>
            <w:bCs/>
            <w:noProof/>
            <w:sz w:val="24"/>
            <w:szCs w:val="24"/>
            <w:lang w:val="fr-BE"/>
          </w:rPr>
          <w:t>4.</w:t>
        </w:r>
        <w:r>
          <w:rPr>
            <w:rFonts w:ascii="Times New Roman" w:eastAsiaTheme="minorEastAsia" w:hAnsi="Times New Roman" w:cs="Times New Roman"/>
            <w:b/>
            <w:bCs/>
            <w:smallCaps w:val="0"/>
            <w:noProof/>
            <w:color w:val="auto"/>
            <w:kern w:val="2"/>
            <w:sz w:val="24"/>
            <w:szCs w:val="24"/>
            <w:lang w:val="en-IE" w:eastAsia="en-IE"/>
            <w14:ligatures w14:val="standardContextual"/>
          </w:rPr>
          <w:tab/>
        </w:r>
        <w:r>
          <w:rPr>
            <w:rStyle w:val="Hyperlink"/>
            <w:rFonts w:cs="Times New Roman"/>
            <w:b/>
            <w:bCs/>
            <w:noProof/>
            <w:sz w:val="24"/>
            <w:szCs w:val="24"/>
            <w:lang w:val="fr-BE"/>
          </w:rPr>
          <w:t>Non-permanent Carbon Capture and Utilisation (CCU)</w:t>
        </w:r>
        <w:r>
          <w:rPr>
            <w:rFonts w:ascii="Times New Roman" w:hAnsi="Times New Roman" w:cs="Times New Roman"/>
            <w:b/>
            <w:bCs/>
            <w:noProof/>
            <w:webHidden/>
            <w:sz w:val="24"/>
            <w:szCs w:val="24"/>
          </w:rPr>
          <w:tab/>
        </w:r>
        <w:r>
          <w:rPr>
            <w:rFonts w:ascii="Times New Roman" w:hAnsi="Times New Roman" w:cs="Times New Roman"/>
            <w:b/>
            <w:bCs/>
            <w:noProof/>
            <w:webHidden/>
            <w:sz w:val="24"/>
            <w:szCs w:val="24"/>
          </w:rPr>
          <w:fldChar w:fldCharType="begin"/>
        </w:r>
        <w:r>
          <w:rPr>
            <w:rFonts w:ascii="Times New Roman" w:hAnsi="Times New Roman" w:cs="Times New Roman"/>
            <w:b/>
            <w:bCs/>
            <w:noProof/>
            <w:webHidden/>
            <w:sz w:val="24"/>
            <w:szCs w:val="24"/>
          </w:rPr>
          <w:instrText xml:space="preserve"> PAGEREF _Toc232751185 \h </w:instrText>
        </w:r>
        <w:r>
          <w:rPr>
            <w:rFonts w:ascii="Times New Roman" w:hAnsi="Times New Roman" w:cs="Times New Roman"/>
            <w:b/>
            <w:bCs/>
            <w:noProof/>
            <w:webHidden/>
            <w:sz w:val="24"/>
            <w:szCs w:val="24"/>
          </w:rPr>
        </w:r>
        <w:r>
          <w:rPr>
            <w:rFonts w:ascii="Times New Roman" w:hAnsi="Times New Roman" w:cs="Times New Roman"/>
            <w:b/>
            <w:bCs/>
            <w:noProof/>
            <w:webHidden/>
            <w:sz w:val="24"/>
            <w:szCs w:val="24"/>
          </w:rPr>
          <w:fldChar w:fldCharType="separate"/>
        </w:r>
        <w:r>
          <w:rPr>
            <w:rFonts w:ascii="Times New Roman" w:hAnsi="Times New Roman" w:cs="Times New Roman"/>
            <w:b/>
            <w:bCs/>
            <w:noProof/>
            <w:webHidden/>
            <w:sz w:val="24"/>
            <w:szCs w:val="24"/>
          </w:rPr>
          <w:t>124</w:t>
        </w:r>
        <w:r>
          <w:rPr>
            <w:rFonts w:ascii="Times New Roman" w:hAnsi="Times New Roman" w:cs="Times New Roman"/>
            <w:b/>
            <w:bCs/>
            <w:noProof/>
            <w:webHidden/>
            <w:sz w:val="24"/>
            <w:szCs w:val="24"/>
          </w:rPr>
          <w:fldChar w:fldCharType="end"/>
        </w:r>
      </w:hyperlink>
    </w:p>
    <w:p w14:paraId="78B3CC83" w14:textId="07941FAB" w:rsidR="00F25D82" w:rsidRPr="001D3DAB" w:rsidRDefault="00F25D82" w:rsidP="001D3DAB">
      <w:pPr>
        <w:pStyle w:val="TOC3"/>
        <w:tabs>
          <w:tab w:val="left" w:pos="1200"/>
          <w:tab w:val="right" w:leader="dot" w:pos="9016"/>
        </w:tabs>
        <w:spacing w:before="120" w:after="120"/>
        <w:rPr>
          <w:rStyle w:val="Hyperlink"/>
          <w:rFonts w:cs="Times New Roman"/>
          <w:i w:val="0"/>
          <w:iCs w:val="0"/>
          <w:noProof/>
          <w:sz w:val="24"/>
          <w:szCs w:val="24"/>
        </w:rPr>
      </w:pPr>
      <w:hyperlink w:anchor="_Toc232751186" w:history="1">
        <w:r>
          <w:rPr>
            <w:rStyle w:val="Hyperlink"/>
            <w:rFonts w:cs="Times New Roman"/>
            <w:i w:val="0"/>
            <w:iCs w:val="0"/>
            <w:noProof/>
            <w:sz w:val="24"/>
            <w:szCs w:val="24"/>
          </w:rPr>
          <w:t>4.1.</w:t>
        </w:r>
        <w:r>
          <w:rPr>
            <w:rStyle w:val="Hyperlink"/>
            <w:rFonts w:cs="Times New Roman"/>
            <w:i w:val="0"/>
            <w:iCs w:val="0"/>
            <w:noProof/>
            <w:sz w:val="24"/>
            <w:szCs w:val="24"/>
          </w:rPr>
          <w:tab/>
          <w:t>Overview</w:t>
        </w:r>
        <w:r>
          <w:rPr>
            <w:rStyle w:val="Hyperlink"/>
            <w:rFonts w:cs="Times New Roman"/>
            <w:i w:val="0"/>
            <w:iCs w:val="0"/>
            <w:noProof/>
            <w:webHidden/>
            <w:sz w:val="24"/>
            <w:szCs w:val="24"/>
          </w:rPr>
          <w:tab/>
        </w:r>
        <w:r>
          <w:rPr>
            <w:rStyle w:val="Hyperlink"/>
            <w:rFonts w:cs="Times New Roman"/>
            <w:i w:val="0"/>
            <w:iCs w:val="0"/>
            <w:noProof/>
            <w:webHidden/>
            <w:sz w:val="24"/>
            <w:szCs w:val="24"/>
          </w:rPr>
          <w:fldChar w:fldCharType="begin"/>
        </w:r>
        <w:r>
          <w:rPr>
            <w:rStyle w:val="Hyperlink"/>
            <w:rFonts w:cs="Times New Roman"/>
            <w:i w:val="0"/>
            <w:iCs w:val="0"/>
            <w:noProof/>
            <w:webHidden/>
            <w:sz w:val="24"/>
            <w:szCs w:val="24"/>
          </w:rPr>
          <w:instrText xml:space="preserve"> PAGEREF _Toc232751186 \h </w:instrText>
        </w:r>
        <w:r>
          <w:rPr>
            <w:rStyle w:val="Hyperlink"/>
            <w:rFonts w:cs="Times New Roman"/>
            <w:i w:val="0"/>
            <w:iCs w:val="0"/>
            <w:noProof/>
            <w:webHidden/>
            <w:sz w:val="24"/>
            <w:szCs w:val="24"/>
          </w:rPr>
        </w:r>
        <w:r>
          <w:rPr>
            <w:rStyle w:val="Hyperlink"/>
            <w:rFonts w:cs="Times New Roman"/>
            <w:i w:val="0"/>
            <w:iCs w:val="0"/>
            <w:noProof/>
            <w:webHidden/>
            <w:sz w:val="24"/>
            <w:szCs w:val="24"/>
          </w:rPr>
          <w:fldChar w:fldCharType="separate"/>
        </w:r>
        <w:r>
          <w:rPr>
            <w:rStyle w:val="Hyperlink"/>
            <w:rFonts w:cs="Times New Roman"/>
            <w:i w:val="0"/>
            <w:iCs w:val="0"/>
            <w:noProof/>
            <w:webHidden/>
            <w:sz w:val="24"/>
            <w:szCs w:val="24"/>
          </w:rPr>
          <w:t>124</w:t>
        </w:r>
        <w:r>
          <w:rPr>
            <w:rStyle w:val="Hyperlink"/>
            <w:rFonts w:cs="Times New Roman"/>
            <w:i w:val="0"/>
            <w:iCs w:val="0"/>
            <w:noProof/>
            <w:webHidden/>
            <w:sz w:val="24"/>
            <w:szCs w:val="24"/>
          </w:rPr>
          <w:fldChar w:fldCharType="end"/>
        </w:r>
      </w:hyperlink>
    </w:p>
    <w:p w14:paraId="24B9BBB2" w14:textId="3391E6D7" w:rsidR="00F25D82" w:rsidRPr="001D3DAB" w:rsidRDefault="00F25D82" w:rsidP="001D3DAB">
      <w:pPr>
        <w:pStyle w:val="TOC3"/>
        <w:tabs>
          <w:tab w:val="left" w:pos="1200"/>
          <w:tab w:val="right" w:leader="dot" w:pos="9016"/>
        </w:tabs>
        <w:spacing w:before="120" w:after="120"/>
        <w:rPr>
          <w:rStyle w:val="Hyperlink"/>
          <w:rFonts w:cs="Times New Roman"/>
          <w:i w:val="0"/>
          <w:iCs w:val="0"/>
          <w:noProof/>
          <w:sz w:val="24"/>
          <w:szCs w:val="24"/>
        </w:rPr>
      </w:pPr>
      <w:hyperlink w:anchor="_Toc232751187" w:history="1">
        <w:r>
          <w:rPr>
            <w:rStyle w:val="Hyperlink"/>
            <w:rFonts w:cs="Times New Roman"/>
            <w:i w:val="0"/>
            <w:iCs w:val="0"/>
            <w:noProof/>
            <w:sz w:val="24"/>
            <w:szCs w:val="24"/>
          </w:rPr>
          <w:t>4.2.</w:t>
        </w:r>
        <w:r>
          <w:rPr>
            <w:rStyle w:val="Hyperlink"/>
            <w:rFonts w:cs="Times New Roman"/>
            <w:i w:val="0"/>
            <w:iCs w:val="0"/>
            <w:noProof/>
            <w:sz w:val="24"/>
            <w:szCs w:val="24"/>
          </w:rPr>
          <w:tab/>
          <w:t>Scoping</w:t>
        </w:r>
        <w:r>
          <w:rPr>
            <w:rStyle w:val="Hyperlink"/>
            <w:rFonts w:cs="Times New Roman"/>
            <w:i w:val="0"/>
            <w:iCs w:val="0"/>
            <w:noProof/>
            <w:webHidden/>
            <w:sz w:val="24"/>
            <w:szCs w:val="24"/>
          </w:rPr>
          <w:tab/>
        </w:r>
        <w:r>
          <w:rPr>
            <w:rStyle w:val="Hyperlink"/>
            <w:rFonts w:cs="Times New Roman"/>
            <w:i w:val="0"/>
            <w:iCs w:val="0"/>
            <w:noProof/>
            <w:webHidden/>
            <w:sz w:val="24"/>
            <w:szCs w:val="24"/>
          </w:rPr>
          <w:fldChar w:fldCharType="begin"/>
        </w:r>
        <w:r>
          <w:rPr>
            <w:rStyle w:val="Hyperlink"/>
            <w:rFonts w:cs="Times New Roman"/>
            <w:i w:val="0"/>
            <w:iCs w:val="0"/>
            <w:noProof/>
            <w:webHidden/>
            <w:sz w:val="24"/>
            <w:szCs w:val="24"/>
          </w:rPr>
          <w:instrText xml:space="preserve"> PAGEREF _Toc232751187 \h </w:instrText>
        </w:r>
        <w:r>
          <w:rPr>
            <w:rStyle w:val="Hyperlink"/>
            <w:rFonts w:cs="Times New Roman"/>
            <w:i w:val="0"/>
            <w:iCs w:val="0"/>
            <w:noProof/>
            <w:webHidden/>
            <w:sz w:val="24"/>
            <w:szCs w:val="24"/>
          </w:rPr>
        </w:r>
        <w:r>
          <w:rPr>
            <w:rStyle w:val="Hyperlink"/>
            <w:rFonts w:cs="Times New Roman"/>
            <w:i w:val="0"/>
            <w:iCs w:val="0"/>
            <w:noProof/>
            <w:webHidden/>
            <w:sz w:val="24"/>
            <w:szCs w:val="24"/>
          </w:rPr>
          <w:fldChar w:fldCharType="separate"/>
        </w:r>
        <w:r>
          <w:rPr>
            <w:rStyle w:val="Hyperlink"/>
            <w:rFonts w:cs="Times New Roman"/>
            <w:i w:val="0"/>
            <w:iCs w:val="0"/>
            <w:noProof/>
            <w:webHidden/>
            <w:sz w:val="24"/>
            <w:szCs w:val="24"/>
          </w:rPr>
          <w:t>126</w:t>
        </w:r>
        <w:r>
          <w:rPr>
            <w:rStyle w:val="Hyperlink"/>
            <w:rFonts w:cs="Times New Roman"/>
            <w:i w:val="0"/>
            <w:iCs w:val="0"/>
            <w:noProof/>
            <w:webHidden/>
            <w:sz w:val="24"/>
            <w:szCs w:val="24"/>
          </w:rPr>
          <w:fldChar w:fldCharType="end"/>
        </w:r>
      </w:hyperlink>
    </w:p>
    <w:p w14:paraId="04626A1E" w14:textId="24D1EA42"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88" w:history="1">
        <w:r>
          <w:rPr>
            <w:rStyle w:val="Hyperlink"/>
            <w:rFonts w:cs="Times New Roman"/>
            <w:i w:val="0"/>
            <w:iCs w:val="0"/>
            <w:noProof/>
            <w:sz w:val="24"/>
            <w:szCs w:val="24"/>
          </w:rPr>
          <w:t>4.2.1.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Description of importance and potential for CCU market, products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_Toc232751188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127</w:t>
        </w:r>
        <w:r>
          <w:rPr>
            <w:rFonts w:ascii="Times New Roman" w:hAnsi="Times New Roman" w:cs="Times New Roman"/>
            <w:i w:val="0"/>
            <w:iCs w:val="0"/>
            <w:noProof/>
            <w:webHidden/>
            <w:sz w:val="24"/>
            <w:szCs w:val="24"/>
          </w:rPr>
          <w:fldChar w:fldCharType="end"/>
        </w:r>
      </w:hyperlink>
    </w:p>
    <w:p w14:paraId="4E8DBB31" w14:textId="7AD3300B"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89" w:history="1">
        <w:r>
          <w:rPr>
            <w:rStyle w:val="Hyperlink"/>
            <w:rFonts w:cs="Times New Roman"/>
            <w:i w:val="0"/>
            <w:iCs w:val="0"/>
            <w:noProof/>
            <w:sz w:val="24"/>
            <w:szCs w:val="24"/>
          </w:rPr>
          <w:t>4.2.2.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Identification and description of accounting approaches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_Toc232751189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129</w:t>
        </w:r>
        <w:r>
          <w:rPr>
            <w:rFonts w:ascii="Times New Roman" w:hAnsi="Times New Roman" w:cs="Times New Roman"/>
            <w:i w:val="0"/>
            <w:iCs w:val="0"/>
            <w:noProof/>
            <w:webHidden/>
            <w:sz w:val="24"/>
            <w:szCs w:val="24"/>
          </w:rPr>
          <w:fldChar w:fldCharType="end"/>
        </w:r>
      </w:hyperlink>
    </w:p>
    <w:p w14:paraId="2E532CC8" w14:textId="25167455"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90" w:history="1">
        <w:r>
          <w:rPr>
            <w:rStyle w:val="Hyperlink"/>
            <w:rFonts w:cs="Times New Roman"/>
            <w:i w:val="0"/>
            <w:iCs w:val="0"/>
            <w:noProof/>
            <w:sz w:val="24"/>
            <w:szCs w:val="24"/>
          </w:rPr>
          <w:t>4.2.3.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Identification of potential non-permanent CCU products and their normal use or end-of-life treatment</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_Toc232751190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132</w:t>
        </w:r>
        <w:r>
          <w:rPr>
            <w:rFonts w:ascii="Times New Roman" w:hAnsi="Times New Roman" w:cs="Times New Roman"/>
            <w:i w:val="0"/>
            <w:iCs w:val="0"/>
            <w:noProof/>
            <w:webHidden/>
            <w:sz w:val="24"/>
            <w:szCs w:val="24"/>
          </w:rPr>
          <w:fldChar w:fldCharType="end"/>
        </w:r>
      </w:hyperlink>
    </w:p>
    <w:p w14:paraId="47E9B04D" w14:textId="782F0D0B"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91" w:history="1">
        <w:r>
          <w:rPr>
            <w:rStyle w:val="Hyperlink"/>
            <w:rFonts w:cs="Times New Roman"/>
            <w:i w:val="0"/>
            <w:iCs w:val="0"/>
            <w:noProof/>
            <w:sz w:val="24"/>
            <w:szCs w:val="24"/>
          </w:rPr>
          <w:t>4.2.4.</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Identification of potential loopholes for downstream accounting</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_Toc232751191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132</w:t>
        </w:r>
        <w:r>
          <w:rPr>
            <w:rFonts w:ascii="Times New Roman" w:hAnsi="Times New Roman" w:cs="Times New Roman"/>
            <w:i w:val="0"/>
            <w:iCs w:val="0"/>
            <w:noProof/>
            <w:webHidden/>
            <w:sz w:val="24"/>
            <w:szCs w:val="24"/>
          </w:rPr>
          <w:fldChar w:fldCharType="end"/>
        </w:r>
      </w:hyperlink>
    </w:p>
    <w:p w14:paraId="6B1D43ED" w14:textId="11EBAA2F" w:rsidR="00F25D82" w:rsidRPr="001D3DAB" w:rsidRDefault="00F25D82" w:rsidP="001D3DAB">
      <w:pPr>
        <w:pStyle w:val="TOC3"/>
        <w:tabs>
          <w:tab w:val="left" w:pos="1200"/>
          <w:tab w:val="right" w:leader="dot" w:pos="9016"/>
        </w:tabs>
        <w:spacing w:before="120" w:after="120"/>
        <w:rPr>
          <w:rStyle w:val="Hyperlink"/>
          <w:rFonts w:cs="Times New Roman"/>
          <w:i w:val="0"/>
          <w:iCs w:val="0"/>
          <w:noProof/>
          <w:sz w:val="24"/>
          <w:szCs w:val="24"/>
        </w:rPr>
      </w:pPr>
      <w:hyperlink w:anchor="_Toc232751192" w:history="1">
        <w:r>
          <w:rPr>
            <w:rStyle w:val="Hyperlink"/>
            <w:rFonts w:cs="Times New Roman"/>
            <w:i w:val="0"/>
            <w:iCs w:val="0"/>
            <w:noProof/>
            <w:sz w:val="24"/>
            <w:szCs w:val="24"/>
          </w:rPr>
          <w:t>4.3.</w:t>
        </w:r>
        <w:r>
          <w:rPr>
            <w:rStyle w:val="Hyperlink"/>
            <w:rFonts w:cs="Times New Roman"/>
            <w:i w:val="0"/>
            <w:iCs w:val="0"/>
            <w:noProof/>
            <w:sz w:val="24"/>
            <w:szCs w:val="24"/>
          </w:rPr>
          <w:tab/>
          <w:t>Policy measures</w:t>
        </w:r>
        <w:r>
          <w:rPr>
            <w:rStyle w:val="Hyperlink"/>
            <w:rFonts w:cs="Times New Roman"/>
            <w:i w:val="0"/>
            <w:iCs w:val="0"/>
            <w:noProof/>
            <w:webHidden/>
            <w:sz w:val="24"/>
            <w:szCs w:val="24"/>
          </w:rPr>
          <w:tab/>
        </w:r>
        <w:r>
          <w:rPr>
            <w:rStyle w:val="Hyperlink"/>
            <w:rFonts w:cs="Times New Roman"/>
            <w:i w:val="0"/>
            <w:iCs w:val="0"/>
            <w:noProof/>
            <w:webHidden/>
            <w:sz w:val="24"/>
            <w:szCs w:val="24"/>
          </w:rPr>
          <w:fldChar w:fldCharType="begin"/>
        </w:r>
        <w:r>
          <w:rPr>
            <w:rStyle w:val="Hyperlink"/>
            <w:rFonts w:cs="Times New Roman"/>
            <w:i w:val="0"/>
            <w:iCs w:val="0"/>
            <w:noProof/>
            <w:webHidden/>
            <w:sz w:val="24"/>
            <w:szCs w:val="24"/>
          </w:rPr>
          <w:instrText xml:space="preserve"> PAGEREF _Toc232751192 \h </w:instrText>
        </w:r>
        <w:r>
          <w:rPr>
            <w:rStyle w:val="Hyperlink"/>
            <w:rFonts w:cs="Times New Roman"/>
            <w:i w:val="0"/>
            <w:iCs w:val="0"/>
            <w:noProof/>
            <w:webHidden/>
            <w:sz w:val="24"/>
            <w:szCs w:val="24"/>
          </w:rPr>
        </w:r>
        <w:r>
          <w:rPr>
            <w:rStyle w:val="Hyperlink"/>
            <w:rFonts w:cs="Times New Roman"/>
            <w:i w:val="0"/>
            <w:iCs w:val="0"/>
            <w:noProof/>
            <w:webHidden/>
            <w:sz w:val="24"/>
            <w:szCs w:val="24"/>
          </w:rPr>
          <w:fldChar w:fldCharType="separate"/>
        </w:r>
        <w:r>
          <w:rPr>
            <w:rStyle w:val="Hyperlink"/>
            <w:rFonts w:cs="Times New Roman"/>
            <w:i w:val="0"/>
            <w:iCs w:val="0"/>
            <w:noProof/>
            <w:webHidden/>
            <w:sz w:val="24"/>
            <w:szCs w:val="24"/>
          </w:rPr>
          <w:t>134</w:t>
        </w:r>
        <w:r>
          <w:rPr>
            <w:rStyle w:val="Hyperlink"/>
            <w:rFonts w:cs="Times New Roman"/>
            <w:i w:val="0"/>
            <w:iCs w:val="0"/>
            <w:noProof/>
            <w:webHidden/>
            <w:sz w:val="24"/>
            <w:szCs w:val="24"/>
          </w:rPr>
          <w:fldChar w:fldCharType="end"/>
        </w:r>
      </w:hyperlink>
    </w:p>
    <w:p w14:paraId="5CC3BFA6" w14:textId="468B60A8"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93" w:history="1">
        <w:r>
          <w:rPr>
            <w:rStyle w:val="Hyperlink"/>
            <w:rFonts w:cs="Times New Roman"/>
            <w:i w:val="0"/>
            <w:iCs w:val="0"/>
            <w:noProof/>
            <w:sz w:val="24"/>
            <w:szCs w:val="24"/>
          </w:rPr>
          <w:t>4.3.1.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Description of the policy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_Toc232751193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134</w:t>
        </w:r>
        <w:r>
          <w:rPr>
            <w:rFonts w:ascii="Times New Roman" w:hAnsi="Times New Roman" w:cs="Times New Roman"/>
            <w:i w:val="0"/>
            <w:iCs w:val="0"/>
            <w:noProof/>
            <w:webHidden/>
            <w:sz w:val="24"/>
            <w:szCs w:val="24"/>
          </w:rPr>
          <w:fldChar w:fldCharType="end"/>
        </w:r>
      </w:hyperlink>
    </w:p>
    <w:p w14:paraId="5C9C3A84" w14:textId="5CF7D512"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94" w:history="1">
        <w:r>
          <w:rPr>
            <w:rStyle w:val="Hyperlink"/>
            <w:rFonts w:cs="Times New Roman"/>
            <w:i w:val="0"/>
            <w:iCs w:val="0"/>
            <w:noProof/>
            <w:sz w:val="24"/>
            <w:szCs w:val="24"/>
          </w:rPr>
          <w:t>4.3.2.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Description of discarded measures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_Toc232751194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135</w:t>
        </w:r>
        <w:r>
          <w:rPr>
            <w:rFonts w:ascii="Times New Roman" w:hAnsi="Times New Roman" w:cs="Times New Roman"/>
            <w:i w:val="0"/>
            <w:iCs w:val="0"/>
            <w:noProof/>
            <w:webHidden/>
            <w:sz w:val="24"/>
            <w:szCs w:val="24"/>
          </w:rPr>
          <w:fldChar w:fldCharType="end"/>
        </w:r>
      </w:hyperlink>
    </w:p>
    <w:p w14:paraId="707DB36A" w14:textId="6D983517" w:rsidR="00F25D82" w:rsidRPr="001D3DAB" w:rsidRDefault="00F25D82" w:rsidP="001D3DAB">
      <w:pPr>
        <w:pStyle w:val="TOC3"/>
        <w:tabs>
          <w:tab w:val="left" w:pos="1200"/>
          <w:tab w:val="right" w:leader="dot" w:pos="9016"/>
        </w:tabs>
        <w:spacing w:before="120" w:after="120"/>
        <w:rPr>
          <w:rStyle w:val="Hyperlink"/>
          <w:rFonts w:cs="Times New Roman"/>
          <w:i w:val="0"/>
          <w:iCs w:val="0"/>
          <w:noProof/>
          <w:sz w:val="24"/>
          <w:szCs w:val="24"/>
        </w:rPr>
      </w:pPr>
      <w:hyperlink w:anchor="_Toc232751195" w:history="1">
        <w:r>
          <w:rPr>
            <w:rStyle w:val="Hyperlink"/>
            <w:rFonts w:cs="Times New Roman"/>
            <w:i w:val="0"/>
            <w:iCs w:val="0"/>
            <w:noProof/>
            <w:sz w:val="24"/>
            <w:szCs w:val="24"/>
          </w:rPr>
          <w:t>4.4.</w:t>
        </w:r>
        <w:r>
          <w:rPr>
            <w:rStyle w:val="Hyperlink"/>
            <w:rFonts w:cs="Times New Roman"/>
            <w:i w:val="0"/>
            <w:iCs w:val="0"/>
            <w:noProof/>
            <w:sz w:val="24"/>
            <w:szCs w:val="24"/>
          </w:rPr>
          <w:tab/>
          <w:t>Assessment of the measures</w:t>
        </w:r>
        <w:r>
          <w:rPr>
            <w:rStyle w:val="Hyperlink"/>
            <w:rFonts w:cs="Times New Roman"/>
            <w:i w:val="0"/>
            <w:iCs w:val="0"/>
            <w:noProof/>
            <w:webHidden/>
            <w:sz w:val="24"/>
            <w:szCs w:val="24"/>
          </w:rPr>
          <w:tab/>
        </w:r>
        <w:r>
          <w:rPr>
            <w:rStyle w:val="Hyperlink"/>
            <w:rFonts w:cs="Times New Roman"/>
            <w:i w:val="0"/>
            <w:iCs w:val="0"/>
            <w:noProof/>
            <w:webHidden/>
            <w:sz w:val="24"/>
            <w:szCs w:val="24"/>
          </w:rPr>
          <w:fldChar w:fldCharType="begin"/>
        </w:r>
        <w:r>
          <w:rPr>
            <w:rStyle w:val="Hyperlink"/>
            <w:rFonts w:cs="Times New Roman"/>
            <w:i w:val="0"/>
            <w:iCs w:val="0"/>
            <w:noProof/>
            <w:webHidden/>
            <w:sz w:val="24"/>
            <w:szCs w:val="24"/>
          </w:rPr>
          <w:instrText xml:space="preserve"> PAGEREF _Toc232751195 \h </w:instrText>
        </w:r>
        <w:r>
          <w:rPr>
            <w:rStyle w:val="Hyperlink"/>
            <w:rFonts w:cs="Times New Roman"/>
            <w:i w:val="0"/>
            <w:iCs w:val="0"/>
            <w:noProof/>
            <w:webHidden/>
            <w:sz w:val="24"/>
            <w:szCs w:val="24"/>
          </w:rPr>
        </w:r>
        <w:r>
          <w:rPr>
            <w:rStyle w:val="Hyperlink"/>
            <w:rFonts w:cs="Times New Roman"/>
            <w:i w:val="0"/>
            <w:iCs w:val="0"/>
            <w:noProof/>
            <w:webHidden/>
            <w:sz w:val="24"/>
            <w:szCs w:val="24"/>
          </w:rPr>
          <w:fldChar w:fldCharType="separate"/>
        </w:r>
        <w:r>
          <w:rPr>
            <w:rStyle w:val="Hyperlink"/>
            <w:rFonts w:cs="Times New Roman"/>
            <w:i w:val="0"/>
            <w:iCs w:val="0"/>
            <w:noProof/>
            <w:webHidden/>
            <w:sz w:val="24"/>
            <w:szCs w:val="24"/>
          </w:rPr>
          <w:t>136</w:t>
        </w:r>
        <w:r>
          <w:rPr>
            <w:rStyle w:val="Hyperlink"/>
            <w:rFonts w:cs="Times New Roman"/>
            <w:i w:val="0"/>
            <w:iCs w:val="0"/>
            <w:noProof/>
            <w:webHidden/>
            <w:sz w:val="24"/>
            <w:szCs w:val="24"/>
          </w:rPr>
          <w:fldChar w:fldCharType="end"/>
        </w:r>
      </w:hyperlink>
    </w:p>
    <w:p w14:paraId="2158E511" w14:textId="434CB8B8"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96" w:history="1">
        <w:r>
          <w:rPr>
            <w:rStyle w:val="Hyperlink"/>
            <w:rFonts w:cs="Times New Roman"/>
            <w:i w:val="0"/>
            <w:iCs w:val="0"/>
            <w:noProof/>
            <w:sz w:val="24"/>
            <w:szCs w:val="24"/>
          </w:rPr>
          <w:t>4.4.1.</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Quantitative assessment</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_Toc232751196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137</w:t>
        </w:r>
        <w:r>
          <w:rPr>
            <w:rFonts w:ascii="Times New Roman" w:hAnsi="Times New Roman" w:cs="Times New Roman"/>
            <w:i w:val="0"/>
            <w:iCs w:val="0"/>
            <w:noProof/>
            <w:webHidden/>
            <w:sz w:val="24"/>
            <w:szCs w:val="24"/>
          </w:rPr>
          <w:fldChar w:fldCharType="end"/>
        </w:r>
      </w:hyperlink>
    </w:p>
    <w:p w14:paraId="6A5884E1" w14:textId="0D4DEA65"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197" w:history="1">
        <w:r>
          <w:rPr>
            <w:rStyle w:val="Hyperlink"/>
            <w:rFonts w:cs="Times New Roman"/>
            <w:i w:val="0"/>
            <w:iCs w:val="0"/>
            <w:noProof/>
            <w:sz w:val="24"/>
            <w:szCs w:val="24"/>
          </w:rPr>
          <w:t>4.4.2.</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Environmental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_Toc232751197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138</w:t>
        </w:r>
        <w:r>
          <w:rPr>
            <w:rFonts w:ascii="Times New Roman" w:hAnsi="Times New Roman" w:cs="Times New Roman"/>
            <w:i w:val="0"/>
            <w:iCs w:val="0"/>
            <w:noProof/>
            <w:webHidden/>
            <w:sz w:val="24"/>
            <w:szCs w:val="24"/>
          </w:rPr>
          <w:fldChar w:fldCharType="end"/>
        </w:r>
      </w:hyperlink>
    </w:p>
    <w:p w14:paraId="2A0B7D9C" w14:textId="4124C214"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200" w:history="1">
        <w:r>
          <w:rPr>
            <w:rStyle w:val="Hyperlink"/>
            <w:rFonts w:cs="Times New Roman"/>
            <w:i w:val="0"/>
            <w:iCs w:val="0"/>
            <w:noProof/>
            <w:sz w:val="24"/>
            <w:szCs w:val="24"/>
          </w:rPr>
          <w:t>4.4.3.</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Economic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_Toc232751200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142</w:t>
        </w:r>
        <w:r>
          <w:rPr>
            <w:rFonts w:ascii="Times New Roman" w:hAnsi="Times New Roman" w:cs="Times New Roman"/>
            <w:i w:val="0"/>
            <w:iCs w:val="0"/>
            <w:noProof/>
            <w:webHidden/>
            <w:sz w:val="24"/>
            <w:szCs w:val="24"/>
          </w:rPr>
          <w:fldChar w:fldCharType="end"/>
        </w:r>
      </w:hyperlink>
    </w:p>
    <w:p w14:paraId="3762543A" w14:textId="791AEF20"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208" w:history="1">
        <w:r>
          <w:rPr>
            <w:rStyle w:val="Hyperlink"/>
            <w:rFonts w:cs="Times New Roman"/>
            <w:i w:val="0"/>
            <w:iCs w:val="0"/>
            <w:noProof/>
            <w:sz w:val="24"/>
            <w:szCs w:val="24"/>
          </w:rPr>
          <w:t>4.4.4.</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Social impacts</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_Toc232751208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153</w:t>
        </w:r>
        <w:r>
          <w:rPr>
            <w:rFonts w:ascii="Times New Roman" w:hAnsi="Times New Roman" w:cs="Times New Roman"/>
            <w:i w:val="0"/>
            <w:iCs w:val="0"/>
            <w:noProof/>
            <w:webHidden/>
            <w:sz w:val="24"/>
            <w:szCs w:val="24"/>
          </w:rPr>
          <w:fldChar w:fldCharType="end"/>
        </w:r>
      </w:hyperlink>
    </w:p>
    <w:p w14:paraId="7698E64A" w14:textId="64D3E7EF" w:rsidR="00F25D82" w:rsidRPr="001D3DAB" w:rsidRDefault="00F25D82" w:rsidP="001D3DAB">
      <w:pPr>
        <w:pStyle w:val="TOC3"/>
        <w:tabs>
          <w:tab w:val="left" w:pos="1440"/>
          <w:tab w:val="right" w:leader="dot" w:pos="9016"/>
        </w:tabs>
        <w:spacing w:before="120" w:after="120"/>
        <w:rPr>
          <w:rFonts w:ascii="Times New Roman" w:eastAsiaTheme="minorEastAsia" w:hAnsi="Times New Roman" w:cs="Times New Roman"/>
          <w:i w:val="0"/>
          <w:iCs w:val="0"/>
          <w:noProof/>
          <w:color w:val="auto"/>
          <w:kern w:val="2"/>
          <w:sz w:val="24"/>
          <w:szCs w:val="24"/>
          <w:lang w:val="en-IE" w:eastAsia="en-IE"/>
          <w14:ligatures w14:val="standardContextual"/>
        </w:rPr>
      </w:pPr>
      <w:hyperlink w:anchor="_Toc232751211" w:history="1">
        <w:r>
          <w:rPr>
            <w:rStyle w:val="Hyperlink"/>
            <w:rFonts w:cs="Times New Roman"/>
            <w:i w:val="0"/>
            <w:iCs w:val="0"/>
            <w:noProof/>
            <w:sz w:val="24"/>
            <w:szCs w:val="24"/>
          </w:rPr>
          <w:t>4.4.5.</w:t>
        </w:r>
        <w:r>
          <w:rPr>
            <w:rFonts w:ascii="Times New Roman" w:eastAsiaTheme="minorEastAsia" w:hAnsi="Times New Roman" w:cs="Times New Roman"/>
            <w:i w:val="0"/>
            <w:iCs w:val="0"/>
            <w:noProof/>
            <w:color w:val="auto"/>
            <w:kern w:val="2"/>
            <w:sz w:val="24"/>
            <w:szCs w:val="24"/>
            <w:lang w:val="en-IE" w:eastAsia="en-IE"/>
            <w14:ligatures w14:val="standardContextual"/>
          </w:rPr>
          <w:tab/>
        </w:r>
        <w:r>
          <w:rPr>
            <w:rStyle w:val="Hyperlink"/>
            <w:rFonts w:cs="Times New Roman"/>
            <w:i w:val="0"/>
            <w:iCs w:val="0"/>
            <w:noProof/>
            <w:sz w:val="24"/>
            <w:szCs w:val="24"/>
          </w:rPr>
          <w:t>Summary</w:t>
        </w:r>
        <w:r>
          <w:rPr>
            <w:rFonts w:ascii="Times New Roman" w:hAnsi="Times New Roman" w:cs="Times New Roman"/>
            <w:i w:val="0"/>
            <w:iCs w:val="0"/>
            <w:noProof/>
            <w:webHidden/>
            <w:sz w:val="24"/>
            <w:szCs w:val="24"/>
          </w:rPr>
          <w:tab/>
        </w:r>
        <w:r>
          <w:rPr>
            <w:rFonts w:ascii="Times New Roman" w:hAnsi="Times New Roman" w:cs="Times New Roman"/>
            <w:i w:val="0"/>
            <w:iCs w:val="0"/>
            <w:noProof/>
            <w:webHidden/>
            <w:sz w:val="24"/>
            <w:szCs w:val="24"/>
          </w:rPr>
          <w:fldChar w:fldCharType="begin"/>
        </w:r>
        <w:r>
          <w:rPr>
            <w:rFonts w:ascii="Times New Roman" w:hAnsi="Times New Roman" w:cs="Times New Roman"/>
            <w:i w:val="0"/>
            <w:iCs w:val="0"/>
            <w:noProof/>
            <w:webHidden/>
            <w:sz w:val="24"/>
            <w:szCs w:val="24"/>
          </w:rPr>
          <w:instrText xml:space="preserve"> PAGEREF _Toc232751211 \h </w:instrText>
        </w:r>
        <w:r>
          <w:rPr>
            <w:rFonts w:ascii="Times New Roman" w:hAnsi="Times New Roman" w:cs="Times New Roman"/>
            <w:i w:val="0"/>
            <w:iCs w:val="0"/>
            <w:noProof/>
            <w:webHidden/>
            <w:sz w:val="24"/>
            <w:szCs w:val="24"/>
          </w:rPr>
        </w:r>
        <w:r>
          <w:rPr>
            <w:rFonts w:ascii="Times New Roman" w:hAnsi="Times New Roman" w:cs="Times New Roman"/>
            <w:i w:val="0"/>
            <w:iCs w:val="0"/>
            <w:noProof/>
            <w:webHidden/>
            <w:sz w:val="24"/>
            <w:szCs w:val="24"/>
          </w:rPr>
          <w:fldChar w:fldCharType="separate"/>
        </w:r>
        <w:r>
          <w:rPr>
            <w:rFonts w:ascii="Times New Roman" w:hAnsi="Times New Roman" w:cs="Times New Roman"/>
            <w:i w:val="0"/>
            <w:iCs w:val="0"/>
            <w:noProof/>
            <w:webHidden/>
            <w:sz w:val="24"/>
            <w:szCs w:val="24"/>
          </w:rPr>
          <w:t>153</w:t>
        </w:r>
        <w:r>
          <w:rPr>
            <w:rFonts w:ascii="Times New Roman" w:hAnsi="Times New Roman" w:cs="Times New Roman"/>
            <w:i w:val="0"/>
            <w:iCs w:val="0"/>
            <w:noProof/>
            <w:webHidden/>
            <w:sz w:val="24"/>
            <w:szCs w:val="24"/>
          </w:rPr>
          <w:fldChar w:fldCharType="end"/>
        </w:r>
      </w:hyperlink>
    </w:p>
    <w:p w14:paraId="62C78EE8" w14:textId="4EE4551A" w:rsidR="00F25D82" w:rsidRPr="001D3DAB" w:rsidRDefault="00F25D82" w:rsidP="001D3DAB">
      <w:pPr>
        <w:pStyle w:val="TOC3"/>
        <w:tabs>
          <w:tab w:val="left" w:pos="1200"/>
          <w:tab w:val="right" w:leader="dot" w:pos="9016"/>
        </w:tabs>
        <w:spacing w:before="120" w:after="120"/>
        <w:rPr>
          <w:rStyle w:val="Hyperlink"/>
          <w:rFonts w:cs="Times New Roman"/>
          <w:i w:val="0"/>
          <w:iCs w:val="0"/>
          <w:noProof/>
          <w:sz w:val="24"/>
          <w:szCs w:val="24"/>
        </w:rPr>
      </w:pPr>
      <w:hyperlink w:anchor="_Toc232751212" w:history="1">
        <w:r>
          <w:rPr>
            <w:rStyle w:val="Hyperlink"/>
            <w:rFonts w:cs="Times New Roman"/>
            <w:i w:val="0"/>
            <w:iCs w:val="0"/>
            <w:noProof/>
            <w:sz w:val="24"/>
            <w:szCs w:val="24"/>
          </w:rPr>
          <w:t>4.5.</w:t>
        </w:r>
        <w:r>
          <w:rPr>
            <w:rStyle w:val="Hyperlink"/>
            <w:rFonts w:cs="Times New Roman"/>
            <w:i w:val="0"/>
            <w:iCs w:val="0"/>
            <w:noProof/>
            <w:sz w:val="24"/>
            <w:szCs w:val="24"/>
          </w:rPr>
          <w:tab/>
          <w:t>Conclusions</w:t>
        </w:r>
        <w:r>
          <w:rPr>
            <w:rStyle w:val="Hyperlink"/>
            <w:rFonts w:cs="Times New Roman"/>
            <w:i w:val="0"/>
            <w:iCs w:val="0"/>
            <w:noProof/>
            <w:webHidden/>
            <w:sz w:val="24"/>
            <w:szCs w:val="24"/>
          </w:rPr>
          <w:tab/>
        </w:r>
        <w:r>
          <w:rPr>
            <w:rStyle w:val="Hyperlink"/>
            <w:rFonts w:cs="Times New Roman"/>
            <w:i w:val="0"/>
            <w:iCs w:val="0"/>
            <w:noProof/>
            <w:webHidden/>
            <w:sz w:val="24"/>
            <w:szCs w:val="24"/>
          </w:rPr>
          <w:fldChar w:fldCharType="begin"/>
        </w:r>
        <w:r>
          <w:rPr>
            <w:rStyle w:val="Hyperlink"/>
            <w:rFonts w:cs="Times New Roman"/>
            <w:i w:val="0"/>
            <w:iCs w:val="0"/>
            <w:noProof/>
            <w:webHidden/>
            <w:sz w:val="24"/>
            <w:szCs w:val="24"/>
          </w:rPr>
          <w:instrText xml:space="preserve"> PAGEREF _Toc232751212 \h </w:instrText>
        </w:r>
        <w:r>
          <w:rPr>
            <w:rStyle w:val="Hyperlink"/>
            <w:rFonts w:cs="Times New Roman"/>
            <w:i w:val="0"/>
            <w:iCs w:val="0"/>
            <w:noProof/>
            <w:webHidden/>
            <w:sz w:val="24"/>
            <w:szCs w:val="24"/>
          </w:rPr>
        </w:r>
        <w:r>
          <w:rPr>
            <w:rStyle w:val="Hyperlink"/>
            <w:rFonts w:cs="Times New Roman"/>
            <w:i w:val="0"/>
            <w:iCs w:val="0"/>
            <w:noProof/>
            <w:webHidden/>
            <w:sz w:val="24"/>
            <w:szCs w:val="24"/>
          </w:rPr>
          <w:fldChar w:fldCharType="separate"/>
        </w:r>
        <w:r>
          <w:rPr>
            <w:rStyle w:val="Hyperlink"/>
            <w:rFonts w:cs="Times New Roman"/>
            <w:i w:val="0"/>
            <w:iCs w:val="0"/>
            <w:noProof/>
            <w:webHidden/>
            <w:sz w:val="24"/>
            <w:szCs w:val="24"/>
          </w:rPr>
          <w:t>155</w:t>
        </w:r>
        <w:r>
          <w:rPr>
            <w:rStyle w:val="Hyperlink"/>
            <w:rFonts w:cs="Times New Roman"/>
            <w:i w:val="0"/>
            <w:iCs w:val="0"/>
            <w:noProof/>
            <w:webHidden/>
            <w:sz w:val="24"/>
            <w:szCs w:val="24"/>
          </w:rPr>
          <w:fldChar w:fldCharType="end"/>
        </w:r>
      </w:hyperlink>
    </w:p>
    <w:p w14:paraId="1CC23506" w14:textId="3ABFD25A" w:rsidR="00F25D82" w:rsidRPr="001D3DAB" w:rsidRDefault="00F25D82" w:rsidP="001D3DAB">
      <w:pPr>
        <w:pStyle w:val="TOC1"/>
        <w:tabs>
          <w:tab w:val="right" w:leader="dot" w:pos="9016"/>
        </w:tabs>
        <w:rPr>
          <w:rFonts w:ascii="Times New Roman" w:eastAsiaTheme="minorEastAsia" w:hAnsi="Times New Roman" w:cs="Times New Roman"/>
          <w:b w:val="0"/>
          <w:bCs w:val="0"/>
          <w:caps w:val="0"/>
          <w:noProof/>
          <w:color w:val="auto"/>
          <w:kern w:val="2"/>
          <w:sz w:val="24"/>
          <w:szCs w:val="24"/>
          <w:lang w:val="en-IE" w:eastAsia="en-IE"/>
          <w14:ligatures w14:val="standardContextual"/>
        </w:rPr>
      </w:pPr>
      <w:hyperlink w:anchor="_Toc232751213" w:history="1">
        <w:r>
          <w:rPr>
            <w:rStyle w:val="Hyperlink"/>
            <w:rFonts w:cs="Times New Roman"/>
            <w:noProof/>
            <w:sz w:val="24"/>
            <w:szCs w:val="24"/>
          </w:rPr>
          <w:t>Annex 14: Linking</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_Toc232751213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156</w:t>
        </w:r>
        <w:r>
          <w:rPr>
            <w:rFonts w:ascii="Times New Roman" w:hAnsi="Times New Roman" w:cs="Times New Roman"/>
            <w:noProof/>
            <w:webHidden/>
            <w:sz w:val="24"/>
            <w:szCs w:val="24"/>
          </w:rPr>
          <w:fldChar w:fldCharType="end"/>
        </w:r>
      </w:hyperlink>
    </w:p>
    <w:p w14:paraId="6178D961" w14:textId="41B3386A" w:rsidR="00F25D82" w:rsidRPr="001D3DAB" w:rsidRDefault="00F25D82" w:rsidP="001D3DAB">
      <w:pPr>
        <w:pStyle w:val="TOC2"/>
        <w:tabs>
          <w:tab w:val="left" w:pos="720"/>
          <w:tab w:val="right" w:leader="dot" w:pos="9016"/>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1214" w:history="1">
        <w:r>
          <w:rPr>
            <w:rStyle w:val="Hyperlink"/>
            <w:rFonts w:cs="Times New Roman"/>
            <w:noProof/>
            <w:sz w:val="24"/>
            <w:szCs w:val="24"/>
          </w:rPr>
          <w:t>1.</w:t>
        </w:r>
        <w:r>
          <w:rPr>
            <w:rFonts w:ascii="Times New Roman" w:eastAsiaTheme="minorEastAsia" w:hAnsi="Times New Roman" w:cs="Times New Roman"/>
            <w:smallCaps w:val="0"/>
            <w:noProof/>
            <w:color w:val="auto"/>
            <w:kern w:val="2"/>
            <w:sz w:val="24"/>
            <w:szCs w:val="24"/>
            <w:lang w:val="en-IE" w:eastAsia="en-IE"/>
            <w14:ligatures w14:val="standardContextual"/>
          </w:rPr>
          <w:tab/>
        </w:r>
        <w:r>
          <w:rPr>
            <w:rStyle w:val="Hyperlink"/>
            <w:rFonts w:cs="Times New Roman"/>
            <w:noProof/>
            <w:sz w:val="24"/>
            <w:szCs w:val="24"/>
          </w:rPr>
          <w:t>Why and why not to link?</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_Toc232751214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156</w:t>
        </w:r>
        <w:r>
          <w:rPr>
            <w:rFonts w:ascii="Times New Roman" w:hAnsi="Times New Roman" w:cs="Times New Roman"/>
            <w:noProof/>
            <w:webHidden/>
            <w:sz w:val="24"/>
            <w:szCs w:val="24"/>
          </w:rPr>
          <w:fldChar w:fldCharType="end"/>
        </w:r>
      </w:hyperlink>
    </w:p>
    <w:p w14:paraId="743852E6" w14:textId="0CE00A8F" w:rsidR="00F25D82" w:rsidRPr="001D3DAB" w:rsidRDefault="00F25D82" w:rsidP="001D3DAB">
      <w:pPr>
        <w:pStyle w:val="TOC2"/>
        <w:tabs>
          <w:tab w:val="left" w:pos="720"/>
          <w:tab w:val="right" w:leader="dot" w:pos="9016"/>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1215" w:history="1">
        <w:r>
          <w:rPr>
            <w:rStyle w:val="Hyperlink"/>
            <w:rFonts w:cs="Times New Roman"/>
            <w:noProof/>
            <w:sz w:val="24"/>
            <w:szCs w:val="24"/>
          </w:rPr>
          <w:t>2.</w:t>
        </w:r>
        <w:r>
          <w:rPr>
            <w:rFonts w:ascii="Times New Roman" w:eastAsiaTheme="minorEastAsia" w:hAnsi="Times New Roman" w:cs="Times New Roman"/>
            <w:smallCaps w:val="0"/>
            <w:noProof/>
            <w:color w:val="auto"/>
            <w:kern w:val="2"/>
            <w:sz w:val="24"/>
            <w:szCs w:val="24"/>
            <w:lang w:val="en-IE" w:eastAsia="en-IE"/>
            <w14:ligatures w14:val="standardContextual"/>
          </w:rPr>
          <w:tab/>
        </w:r>
        <w:r>
          <w:rPr>
            <w:rStyle w:val="Hyperlink"/>
            <w:rFonts w:cs="Times New Roman"/>
            <w:noProof/>
            <w:sz w:val="24"/>
            <w:szCs w:val="24"/>
          </w:rPr>
          <w:t>With whom to link?</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_Toc232751215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156</w:t>
        </w:r>
        <w:r>
          <w:rPr>
            <w:rFonts w:ascii="Times New Roman" w:hAnsi="Times New Roman" w:cs="Times New Roman"/>
            <w:noProof/>
            <w:webHidden/>
            <w:sz w:val="24"/>
            <w:szCs w:val="24"/>
          </w:rPr>
          <w:fldChar w:fldCharType="end"/>
        </w:r>
      </w:hyperlink>
    </w:p>
    <w:p w14:paraId="2FD13AA4" w14:textId="223F5D40" w:rsidR="00F25D82" w:rsidRPr="001D3DAB" w:rsidRDefault="00F25D82" w:rsidP="001D3DAB">
      <w:pPr>
        <w:pStyle w:val="TOC2"/>
        <w:tabs>
          <w:tab w:val="left" w:pos="720"/>
          <w:tab w:val="right" w:leader="dot" w:pos="9016"/>
        </w:tabs>
        <w:spacing w:before="120" w:after="120"/>
        <w:rPr>
          <w:rFonts w:ascii="Times New Roman" w:eastAsiaTheme="minorEastAsia" w:hAnsi="Times New Roman" w:cs="Times New Roman"/>
          <w:smallCaps w:val="0"/>
          <w:noProof/>
          <w:color w:val="auto"/>
          <w:kern w:val="2"/>
          <w:sz w:val="24"/>
          <w:szCs w:val="24"/>
          <w:lang w:val="en-IE" w:eastAsia="en-IE"/>
          <w14:ligatures w14:val="standardContextual"/>
        </w:rPr>
      </w:pPr>
      <w:hyperlink w:anchor="_Toc232751216" w:history="1">
        <w:r>
          <w:rPr>
            <w:rStyle w:val="Hyperlink"/>
            <w:rFonts w:cs="Times New Roman"/>
            <w:noProof/>
            <w:sz w:val="24"/>
            <w:szCs w:val="24"/>
          </w:rPr>
          <w:t>3.</w:t>
        </w:r>
        <w:r>
          <w:rPr>
            <w:rFonts w:ascii="Times New Roman" w:eastAsiaTheme="minorEastAsia" w:hAnsi="Times New Roman" w:cs="Times New Roman"/>
            <w:smallCaps w:val="0"/>
            <w:noProof/>
            <w:color w:val="auto"/>
            <w:kern w:val="2"/>
            <w:sz w:val="24"/>
            <w:szCs w:val="24"/>
            <w:lang w:val="en-IE" w:eastAsia="en-IE"/>
            <w14:ligatures w14:val="standardContextual"/>
          </w:rPr>
          <w:tab/>
        </w:r>
        <w:r>
          <w:rPr>
            <w:rStyle w:val="Hyperlink"/>
            <w:rFonts w:cs="Times New Roman"/>
            <w:noProof/>
            <w:sz w:val="24"/>
            <w:szCs w:val="24"/>
          </w:rPr>
          <w:t>Conclusion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_Toc232751216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157</w:t>
        </w:r>
        <w:r>
          <w:rPr>
            <w:rFonts w:ascii="Times New Roman" w:hAnsi="Times New Roman" w:cs="Times New Roman"/>
            <w:noProof/>
            <w:webHidden/>
            <w:sz w:val="24"/>
            <w:szCs w:val="24"/>
          </w:rPr>
          <w:fldChar w:fldCharType="end"/>
        </w:r>
      </w:hyperlink>
    </w:p>
    <w:p w14:paraId="6D803B69" w14:textId="08C36D70" w:rsidR="00E5237D" w:rsidRPr="000653A9" w:rsidRDefault="0006475C" w:rsidP="00F25D82">
      <w:pPr>
        <w:spacing w:before="0" w:after="0"/>
        <w:rPr>
          <w:rStyle w:val="BookTitle"/>
          <w:rFonts w:ascii="Times New Roman" w:eastAsia="Times New Roman" w:hAnsi="Times New Roman" w:cs="Times New Roman"/>
          <w:bCs w:val="0"/>
          <w:i w:val="0"/>
          <w:iCs w:val="0"/>
          <w:noProof/>
          <w:color w:val="auto"/>
          <w:sz w:val="28"/>
          <w:szCs w:val="22"/>
        </w:rPr>
      </w:pPr>
      <w:r>
        <w:rPr>
          <w:rStyle w:val="BookTitle"/>
          <w:rFonts w:ascii="Times New Roman" w:hAnsi="Times New Roman" w:cs="Times New Roman"/>
          <w:b w:val="0"/>
          <w:bCs w:val="0"/>
          <w:i w:val="0"/>
          <w:iCs w:val="0"/>
          <w:noProof/>
        </w:rPr>
        <w:fldChar w:fldCharType="end"/>
      </w:r>
      <w:r w:rsidR="00E5237D" w:rsidRPr="000653A9">
        <w:rPr>
          <w:rStyle w:val="BookTitle"/>
          <w:rFonts w:ascii="Times New Roman" w:hAnsi="Times New Roman" w:cs="Times New Roman"/>
          <w:b w:val="0"/>
          <w:bCs w:val="0"/>
          <w:i w:val="0"/>
          <w:iCs w:val="0"/>
          <w:noProof/>
        </w:rPr>
        <w:br w:type="page"/>
      </w:r>
    </w:p>
    <w:p w14:paraId="6CE934E5" w14:textId="2BD0253F" w:rsidR="009010D9" w:rsidRPr="009010D9" w:rsidRDefault="009010D9" w:rsidP="009010D9">
      <w:pPr>
        <w:pStyle w:val="Heading1COM"/>
        <w:numPr>
          <w:ilvl w:val="0"/>
          <w:numId w:val="0"/>
        </w:numPr>
        <w:ind w:left="360" w:hanging="360"/>
        <w:jc w:val="center"/>
        <w:rPr>
          <w:rStyle w:val="BookTitle"/>
          <w:rFonts w:ascii="Times New Roman" w:hAnsi="Times New Roman" w:cs="Times New Roman"/>
          <w:i w:val="0"/>
          <w:iCs w:val="0"/>
          <w:smallCaps w:val="0"/>
          <w:noProof/>
          <w:sz w:val="44"/>
          <w:szCs w:val="44"/>
        </w:rPr>
      </w:pPr>
      <w:bookmarkStart w:id="3" w:name="_Toc230857883"/>
      <w:bookmarkStart w:id="4" w:name="_Toc232751074"/>
      <w:bookmarkStart w:id="5" w:name="_Toc230857884"/>
      <w:r w:rsidRPr="009010D9">
        <w:rPr>
          <w:noProof/>
          <w:sz w:val="32"/>
          <w:szCs w:val="24"/>
        </w:rPr>
        <w:lastRenderedPageBreak/>
        <w:t>Annex 12: Stationary Installations</w:t>
      </w:r>
      <w:bookmarkEnd w:id="3"/>
      <w:bookmarkEnd w:id="4"/>
    </w:p>
    <w:p w14:paraId="4ED217D5" w14:textId="77777777" w:rsidR="009010D9" w:rsidRDefault="009010D9" w:rsidP="009010D9">
      <w:pPr>
        <w:rPr>
          <w:rStyle w:val="BookTitle"/>
          <w:rFonts w:ascii="Times New Roman" w:hAnsi="Times New Roman" w:cs="Times New Roman"/>
          <w:b w:val="0"/>
          <w:bCs w:val="0"/>
          <w:i w:val="0"/>
          <w:iCs w:val="0"/>
          <w:noProof/>
        </w:rPr>
      </w:pPr>
    </w:p>
    <w:p w14:paraId="61CC8822" w14:textId="0A99F17E" w:rsidR="00534C1A" w:rsidRPr="000653A9" w:rsidRDefault="00534C1A" w:rsidP="009539AB">
      <w:pPr>
        <w:pStyle w:val="Heading2COM"/>
        <w:numPr>
          <w:ilvl w:val="0"/>
          <w:numId w:val="0"/>
        </w:numPr>
        <w:outlineLvl w:val="1"/>
        <w15:collapsed w:val="0"/>
        <w:rPr>
          <w:rStyle w:val="BookTitle"/>
          <w:rFonts w:ascii="Times New Roman" w:hAnsi="Times New Roman" w:cs="Times New Roman"/>
          <w:b/>
          <w:bCs w:val="0"/>
          <w:i w:val="0"/>
          <w:iCs w:val="0"/>
          <w:noProof/>
        </w:rPr>
      </w:pPr>
      <w:bookmarkStart w:id="6" w:name="_Toc232751075"/>
      <w:r w:rsidRPr="000653A9">
        <w:rPr>
          <w:rStyle w:val="BookTitle"/>
          <w:rFonts w:ascii="Times New Roman" w:hAnsi="Times New Roman" w:cs="Times New Roman"/>
          <w:b/>
          <w:bCs w:val="0"/>
          <w:i w:val="0"/>
          <w:iCs w:val="0"/>
          <w:noProof/>
        </w:rPr>
        <w:t>List of Tables</w:t>
      </w:r>
      <w:bookmarkEnd w:id="5"/>
      <w:bookmarkEnd w:id="6"/>
    </w:p>
    <w:p w14:paraId="7638FFF6" w14:textId="77777777" w:rsidR="00CC4F87" w:rsidRDefault="002B6CC8">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r>
        <w:rPr>
          <w:rStyle w:val="BookTitle"/>
          <w:rFonts w:ascii="Times New Roman" w:hAnsi="Times New Roman" w:cs="Times New Roman"/>
          <w:b w:val="0"/>
          <w:bCs w:val="0"/>
          <w:i w:val="0"/>
          <w:iCs w:val="0"/>
          <w:noProof/>
        </w:rPr>
        <w:fldChar w:fldCharType="begin"/>
      </w:r>
      <w:r>
        <w:rPr>
          <w:rStyle w:val="BookTitle"/>
          <w:rFonts w:ascii="Times New Roman" w:hAnsi="Times New Roman" w:cs="Times New Roman"/>
          <w:b w:val="0"/>
          <w:bCs w:val="0"/>
          <w:i w:val="0"/>
          <w:iCs w:val="0"/>
          <w:noProof/>
        </w:rPr>
        <w:instrText xml:space="preserve"> TOC \h \z \t "Table title" \c </w:instrText>
      </w:r>
      <w:r>
        <w:rPr>
          <w:rStyle w:val="BookTitle"/>
          <w:rFonts w:ascii="Times New Roman" w:hAnsi="Times New Roman" w:cs="Times New Roman"/>
          <w:b w:val="0"/>
          <w:bCs w:val="0"/>
          <w:i w:val="0"/>
          <w:iCs w:val="0"/>
          <w:noProof/>
        </w:rPr>
        <w:fldChar w:fldCharType="separate"/>
      </w:r>
      <w:hyperlink w:anchor="_Toc234435104" w:history="1">
        <w:r>
          <w:rPr>
            <w:rStyle w:val="Hyperlink"/>
            <w:noProof/>
          </w:rPr>
          <w:t>Table 1:</w:t>
        </w:r>
        <w:r>
          <w:rPr>
            <w:rFonts w:asciiTheme="minorHAnsi" w:eastAsiaTheme="minorEastAsia" w:hAnsiTheme="minorHAnsi" w:cstheme="minorBidi"/>
            <w:noProof/>
            <w:color w:val="auto"/>
            <w:kern w:val="2"/>
            <w:lang w:val="en-IE" w:eastAsia="en-IE"/>
            <w14:ligatures w14:val="standardContextual"/>
          </w:rPr>
          <w:tab/>
        </w:r>
        <w:r>
          <w:rPr>
            <w:rStyle w:val="Hyperlink"/>
            <w:noProof/>
          </w:rPr>
          <w:t>Sectors deemed to be exposed to a genuine risk of carbon leakage due to indirect emission costs (excluding sectors that have become newly eligible as of 1 January 2025)</w:t>
        </w:r>
        <w:r>
          <w:rPr>
            <w:noProof/>
            <w:webHidden/>
          </w:rPr>
          <w:tab/>
        </w:r>
        <w:r>
          <w:rPr>
            <w:noProof/>
            <w:webHidden/>
          </w:rPr>
          <w:fldChar w:fldCharType="begin"/>
        </w:r>
        <w:r>
          <w:rPr>
            <w:noProof/>
            <w:webHidden/>
          </w:rPr>
          <w:instrText xml:space="preserve"> PAGEREF _Toc234435104 \h </w:instrText>
        </w:r>
        <w:r>
          <w:rPr>
            <w:noProof/>
            <w:webHidden/>
          </w:rPr>
        </w:r>
        <w:r>
          <w:rPr>
            <w:noProof/>
            <w:webHidden/>
          </w:rPr>
          <w:fldChar w:fldCharType="separate"/>
        </w:r>
        <w:r>
          <w:rPr>
            <w:noProof/>
            <w:webHidden/>
          </w:rPr>
          <w:t>11</w:t>
        </w:r>
        <w:r>
          <w:rPr>
            <w:noProof/>
            <w:webHidden/>
          </w:rPr>
          <w:fldChar w:fldCharType="end"/>
        </w:r>
      </w:hyperlink>
    </w:p>
    <w:p w14:paraId="0B42372F" w14:textId="70D7C54F"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05" w:history="1">
        <w:r>
          <w:rPr>
            <w:rStyle w:val="Hyperlink"/>
            <w:noProof/>
          </w:rPr>
          <w:t>Table 2:</w:t>
        </w:r>
        <w:r>
          <w:rPr>
            <w:rFonts w:asciiTheme="minorHAnsi" w:eastAsiaTheme="minorEastAsia" w:hAnsiTheme="minorHAnsi" w:cstheme="minorBidi"/>
            <w:noProof/>
            <w:color w:val="auto"/>
            <w:kern w:val="2"/>
            <w:lang w:val="en-IE" w:eastAsia="en-IE"/>
            <w14:ligatures w14:val="standardContextual"/>
          </w:rPr>
          <w:tab/>
        </w:r>
        <w:r>
          <w:rPr>
            <w:rStyle w:val="Hyperlink"/>
            <w:noProof/>
          </w:rPr>
          <w:t>Indirect cost compensation by Member State</w:t>
        </w:r>
        <w:r>
          <w:rPr>
            <w:noProof/>
            <w:webHidden/>
          </w:rPr>
          <w:tab/>
        </w:r>
        <w:r>
          <w:rPr>
            <w:noProof/>
            <w:webHidden/>
          </w:rPr>
          <w:fldChar w:fldCharType="begin"/>
        </w:r>
        <w:r>
          <w:rPr>
            <w:noProof/>
            <w:webHidden/>
          </w:rPr>
          <w:instrText xml:space="preserve"> PAGEREF _Toc234435105 \h </w:instrText>
        </w:r>
        <w:r>
          <w:rPr>
            <w:noProof/>
            <w:webHidden/>
          </w:rPr>
        </w:r>
        <w:r>
          <w:rPr>
            <w:noProof/>
            <w:webHidden/>
          </w:rPr>
          <w:fldChar w:fldCharType="separate"/>
        </w:r>
        <w:r>
          <w:rPr>
            <w:noProof/>
            <w:webHidden/>
          </w:rPr>
          <w:t>12</w:t>
        </w:r>
        <w:r>
          <w:rPr>
            <w:noProof/>
            <w:webHidden/>
          </w:rPr>
          <w:fldChar w:fldCharType="end"/>
        </w:r>
      </w:hyperlink>
    </w:p>
    <w:p w14:paraId="064BB941" w14:textId="00B4BE9F"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06" w:history="1">
        <w:r>
          <w:rPr>
            <w:rStyle w:val="Hyperlink"/>
            <w:noProof/>
          </w:rPr>
          <w:t>Table 3:</w:t>
        </w:r>
        <w:r>
          <w:rPr>
            <w:rFonts w:asciiTheme="minorHAnsi" w:eastAsiaTheme="minorEastAsia" w:hAnsiTheme="minorHAnsi" w:cstheme="minorBidi"/>
            <w:noProof/>
            <w:color w:val="auto"/>
            <w:kern w:val="2"/>
            <w:lang w:val="en-IE" w:eastAsia="en-IE"/>
            <w14:ligatures w14:val="standardContextual"/>
          </w:rPr>
          <w:tab/>
        </w:r>
        <w:r>
          <w:rPr>
            <w:rStyle w:val="Hyperlink"/>
            <w:noProof/>
          </w:rPr>
          <w:t>Summary of GEM-E3 scenarios and policy options they address</w:t>
        </w:r>
        <w:r>
          <w:rPr>
            <w:noProof/>
            <w:webHidden/>
          </w:rPr>
          <w:tab/>
        </w:r>
        <w:r>
          <w:rPr>
            <w:noProof/>
            <w:webHidden/>
          </w:rPr>
          <w:fldChar w:fldCharType="begin"/>
        </w:r>
        <w:r>
          <w:rPr>
            <w:noProof/>
            <w:webHidden/>
          </w:rPr>
          <w:instrText xml:space="preserve"> PAGEREF _Toc234435106 \h </w:instrText>
        </w:r>
        <w:r>
          <w:rPr>
            <w:noProof/>
            <w:webHidden/>
          </w:rPr>
        </w:r>
        <w:r>
          <w:rPr>
            <w:noProof/>
            <w:webHidden/>
          </w:rPr>
          <w:fldChar w:fldCharType="separate"/>
        </w:r>
        <w:r>
          <w:rPr>
            <w:noProof/>
            <w:webHidden/>
          </w:rPr>
          <w:t>15</w:t>
        </w:r>
        <w:r>
          <w:rPr>
            <w:noProof/>
            <w:webHidden/>
          </w:rPr>
          <w:fldChar w:fldCharType="end"/>
        </w:r>
      </w:hyperlink>
    </w:p>
    <w:p w14:paraId="220EA86A" w14:textId="23C50CA3"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07" w:history="1">
        <w:r>
          <w:rPr>
            <w:rStyle w:val="Hyperlink"/>
            <w:noProof/>
          </w:rPr>
          <w:t>Table 4:</w:t>
        </w:r>
        <w:r>
          <w:rPr>
            <w:rFonts w:asciiTheme="minorHAnsi" w:eastAsiaTheme="minorEastAsia" w:hAnsiTheme="minorHAnsi" w:cstheme="minorBidi"/>
            <w:noProof/>
            <w:color w:val="auto"/>
            <w:kern w:val="2"/>
            <w:lang w:val="en-IE" w:eastAsia="en-IE"/>
            <w14:ligatures w14:val="standardContextual"/>
          </w:rPr>
          <w:tab/>
        </w:r>
        <w:r>
          <w:rPr>
            <w:rStyle w:val="Hyperlink"/>
            <w:noProof/>
          </w:rPr>
          <w:t>Overview of the 2031-40 free allocation in the baseline compared to the policy measures</w:t>
        </w:r>
        <w:r>
          <w:rPr>
            <w:noProof/>
            <w:webHidden/>
          </w:rPr>
          <w:tab/>
        </w:r>
        <w:r>
          <w:rPr>
            <w:noProof/>
            <w:webHidden/>
          </w:rPr>
          <w:fldChar w:fldCharType="begin"/>
        </w:r>
        <w:r>
          <w:rPr>
            <w:noProof/>
            <w:webHidden/>
          </w:rPr>
          <w:instrText xml:space="preserve"> PAGEREF _Toc234435107 \h </w:instrText>
        </w:r>
        <w:r>
          <w:rPr>
            <w:noProof/>
            <w:webHidden/>
          </w:rPr>
        </w:r>
        <w:r>
          <w:rPr>
            <w:noProof/>
            <w:webHidden/>
          </w:rPr>
          <w:fldChar w:fldCharType="separate"/>
        </w:r>
        <w:r>
          <w:rPr>
            <w:noProof/>
            <w:webHidden/>
          </w:rPr>
          <w:t>18</w:t>
        </w:r>
        <w:r>
          <w:rPr>
            <w:noProof/>
            <w:webHidden/>
          </w:rPr>
          <w:fldChar w:fldCharType="end"/>
        </w:r>
      </w:hyperlink>
    </w:p>
    <w:p w14:paraId="275FAE05" w14:textId="009E3564"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08" w:history="1">
        <w:r>
          <w:rPr>
            <w:rStyle w:val="Hyperlink"/>
            <w:noProof/>
          </w:rPr>
          <w:t>Table 5:</w:t>
        </w:r>
        <w:r>
          <w:rPr>
            <w:rFonts w:asciiTheme="minorHAnsi" w:eastAsiaTheme="minorEastAsia" w:hAnsiTheme="minorHAnsi" w:cstheme="minorBidi"/>
            <w:noProof/>
            <w:color w:val="auto"/>
            <w:kern w:val="2"/>
            <w:lang w:val="en-IE" w:eastAsia="en-IE"/>
            <w14:ligatures w14:val="standardContextual"/>
          </w:rPr>
          <w:tab/>
        </w:r>
        <w:r>
          <w:rPr>
            <w:rStyle w:val="Hyperlink"/>
            <w:noProof/>
          </w:rPr>
          <w:t>Estimation of the total volume of free allowances available under the baseline for 2031-40</w:t>
        </w:r>
        <w:r>
          <w:rPr>
            <w:noProof/>
            <w:webHidden/>
          </w:rPr>
          <w:tab/>
        </w:r>
        <w:r>
          <w:rPr>
            <w:noProof/>
            <w:webHidden/>
          </w:rPr>
          <w:fldChar w:fldCharType="begin"/>
        </w:r>
        <w:r>
          <w:rPr>
            <w:noProof/>
            <w:webHidden/>
          </w:rPr>
          <w:instrText xml:space="preserve"> PAGEREF _Toc234435108 \h </w:instrText>
        </w:r>
        <w:r>
          <w:rPr>
            <w:noProof/>
            <w:webHidden/>
          </w:rPr>
        </w:r>
        <w:r>
          <w:rPr>
            <w:noProof/>
            <w:webHidden/>
          </w:rPr>
          <w:fldChar w:fldCharType="separate"/>
        </w:r>
        <w:r>
          <w:rPr>
            <w:noProof/>
            <w:webHidden/>
          </w:rPr>
          <w:t>20</w:t>
        </w:r>
        <w:r>
          <w:rPr>
            <w:noProof/>
            <w:webHidden/>
          </w:rPr>
          <w:fldChar w:fldCharType="end"/>
        </w:r>
      </w:hyperlink>
    </w:p>
    <w:p w14:paraId="1CA3C28C" w14:textId="65087AF2"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09" w:history="1">
        <w:r>
          <w:rPr>
            <w:rStyle w:val="Hyperlink"/>
            <w:noProof/>
          </w:rPr>
          <w:t>Table 6:</w:t>
        </w:r>
        <w:r>
          <w:rPr>
            <w:rFonts w:asciiTheme="minorHAnsi" w:eastAsiaTheme="minorEastAsia" w:hAnsiTheme="minorHAnsi" w:cstheme="minorBidi"/>
            <w:noProof/>
            <w:color w:val="auto"/>
            <w:kern w:val="2"/>
            <w:lang w:val="en-IE" w:eastAsia="en-IE"/>
            <w14:ligatures w14:val="standardContextual"/>
          </w:rPr>
          <w:tab/>
        </w:r>
        <w:r>
          <w:rPr>
            <w:rStyle w:val="Hyperlink"/>
            <w:noProof/>
          </w:rPr>
          <w:t>Estimation of the total volume of free allowances available under CL1 for 2031-40</w:t>
        </w:r>
        <w:r>
          <w:rPr>
            <w:noProof/>
            <w:webHidden/>
          </w:rPr>
          <w:tab/>
        </w:r>
        <w:r>
          <w:rPr>
            <w:noProof/>
            <w:webHidden/>
          </w:rPr>
          <w:fldChar w:fldCharType="begin"/>
        </w:r>
        <w:r>
          <w:rPr>
            <w:noProof/>
            <w:webHidden/>
          </w:rPr>
          <w:instrText xml:space="preserve"> PAGEREF _Toc234435109 \h </w:instrText>
        </w:r>
        <w:r>
          <w:rPr>
            <w:noProof/>
            <w:webHidden/>
          </w:rPr>
        </w:r>
        <w:r>
          <w:rPr>
            <w:noProof/>
            <w:webHidden/>
          </w:rPr>
          <w:fldChar w:fldCharType="separate"/>
        </w:r>
        <w:r>
          <w:rPr>
            <w:noProof/>
            <w:webHidden/>
          </w:rPr>
          <w:t>21</w:t>
        </w:r>
        <w:r>
          <w:rPr>
            <w:noProof/>
            <w:webHidden/>
          </w:rPr>
          <w:fldChar w:fldCharType="end"/>
        </w:r>
      </w:hyperlink>
    </w:p>
    <w:p w14:paraId="516B2856" w14:textId="65E0248E"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0" w:history="1">
        <w:r>
          <w:rPr>
            <w:rStyle w:val="Hyperlink"/>
            <w:noProof/>
          </w:rPr>
          <w:t>Table 7:</w:t>
        </w:r>
        <w:r>
          <w:rPr>
            <w:rFonts w:asciiTheme="minorHAnsi" w:eastAsiaTheme="minorEastAsia" w:hAnsiTheme="minorHAnsi" w:cstheme="minorBidi"/>
            <w:noProof/>
            <w:color w:val="auto"/>
            <w:kern w:val="2"/>
            <w:lang w:val="en-IE" w:eastAsia="en-IE"/>
            <w14:ligatures w14:val="standardContextual"/>
          </w:rPr>
          <w:tab/>
        </w:r>
        <w:r>
          <w:rPr>
            <w:rStyle w:val="Hyperlink"/>
            <w:noProof/>
          </w:rPr>
          <w:t>Estimation of the total volume of free allowances available under CL2_90 for 2031-40</w:t>
        </w:r>
        <w:r>
          <w:rPr>
            <w:noProof/>
            <w:webHidden/>
          </w:rPr>
          <w:tab/>
        </w:r>
        <w:r>
          <w:rPr>
            <w:noProof/>
            <w:webHidden/>
          </w:rPr>
          <w:fldChar w:fldCharType="begin"/>
        </w:r>
        <w:r>
          <w:rPr>
            <w:noProof/>
            <w:webHidden/>
          </w:rPr>
          <w:instrText xml:space="preserve"> PAGEREF _Toc234435110 \h </w:instrText>
        </w:r>
        <w:r>
          <w:rPr>
            <w:noProof/>
            <w:webHidden/>
          </w:rPr>
        </w:r>
        <w:r>
          <w:rPr>
            <w:noProof/>
            <w:webHidden/>
          </w:rPr>
          <w:fldChar w:fldCharType="separate"/>
        </w:r>
        <w:r>
          <w:rPr>
            <w:noProof/>
            <w:webHidden/>
          </w:rPr>
          <w:t>23</w:t>
        </w:r>
        <w:r>
          <w:rPr>
            <w:noProof/>
            <w:webHidden/>
          </w:rPr>
          <w:fldChar w:fldCharType="end"/>
        </w:r>
      </w:hyperlink>
    </w:p>
    <w:p w14:paraId="16F73CEB" w14:textId="5C6957B7"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1" w:history="1">
        <w:r>
          <w:rPr>
            <w:rStyle w:val="Hyperlink"/>
            <w:noProof/>
          </w:rPr>
          <w:t>Table 8:</w:t>
        </w:r>
        <w:r>
          <w:rPr>
            <w:rFonts w:asciiTheme="minorHAnsi" w:eastAsiaTheme="minorEastAsia" w:hAnsiTheme="minorHAnsi" w:cstheme="minorBidi"/>
            <w:noProof/>
            <w:color w:val="auto"/>
            <w:kern w:val="2"/>
            <w:lang w:val="en-IE" w:eastAsia="en-IE"/>
            <w14:ligatures w14:val="standardContextual"/>
          </w:rPr>
          <w:tab/>
        </w:r>
        <w:r>
          <w:rPr>
            <w:rStyle w:val="Hyperlink"/>
            <w:noProof/>
          </w:rPr>
          <w:t>Estimation of the total volume of free allowances available under CL2_90 (CBAM variant) for 2031-40</w:t>
        </w:r>
        <w:r>
          <w:rPr>
            <w:noProof/>
            <w:webHidden/>
          </w:rPr>
          <w:tab/>
        </w:r>
        <w:r>
          <w:rPr>
            <w:noProof/>
            <w:webHidden/>
          </w:rPr>
          <w:fldChar w:fldCharType="begin"/>
        </w:r>
        <w:r>
          <w:rPr>
            <w:noProof/>
            <w:webHidden/>
          </w:rPr>
          <w:instrText xml:space="preserve"> PAGEREF _Toc234435111 \h </w:instrText>
        </w:r>
        <w:r>
          <w:rPr>
            <w:noProof/>
            <w:webHidden/>
          </w:rPr>
        </w:r>
        <w:r>
          <w:rPr>
            <w:noProof/>
            <w:webHidden/>
          </w:rPr>
          <w:fldChar w:fldCharType="separate"/>
        </w:r>
        <w:r>
          <w:rPr>
            <w:noProof/>
            <w:webHidden/>
          </w:rPr>
          <w:t>24</w:t>
        </w:r>
        <w:r>
          <w:rPr>
            <w:noProof/>
            <w:webHidden/>
          </w:rPr>
          <w:fldChar w:fldCharType="end"/>
        </w:r>
      </w:hyperlink>
    </w:p>
    <w:p w14:paraId="25E8B666" w14:textId="316D88AF"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2" w:history="1">
        <w:r>
          <w:rPr>
            <w:rStyle w:val="Hyperlink"/>
            <w:noProof/>
          </w:rPr>
          <w:t>Table 9:</w:t>
        </w:r>
        <w:r>
          <w:rPr>
            <w:rFonts w:asciiTheme="minorHAnsi" w:eastAsiaTheme="minorEastAsia" w:hAnsiTheme="minorHAnsi" w:cstheme="minorBidi"/>
            <w:noProof/>
            <w:color w:val="auto"/>
            <w:kern w:val="2"/>
            <w:lang w:val="en-IE" w:eastAsia="en-IE"/>
            <w14:ligatures w14:val="standardContextual"/>
          </w:rPr>
          <w:tab/>
        </w:r>
        <w:r>
          <w:rPr>
            <w:rStyle w:val="Hyperlink"/>
            <w:noProof/>
          </w:rPr>
          <w:t>Estimation of the total volume of free allowances available under CL2_50 for 2031-40</w:t>
        </w:r>
        <w:r>
          <w:rPr>
            <w:noProof/>
            <w:webHidden/>
          </w:rPr>
          <w:tab/>
        </w:r>
        <w:r>
          <w:rPr>
            <w:noProof/>
            <w:webHidden/>
          </w:rPr>
          <w:fldChar w:fldCharType="begin"/>
        </w:r>
        <w:r>
          <w:rPr>
            <w:noProof/>
            <w:webHidden/>
          </w:rPr>
          <w:instrText xml:space="preserve"> PAGEREF _Toc234435112 \h </w:instrText>
        </w:r>
        <w:r>
          <w:rPr>
            <w:noProof/>
            <w:webHidden/>
          </w:rPr>
        </w:r>
        <w:r>
          <w:rPr>
            <w:noProof/>
            <w:webHidden/>
          </w:rPr>
          <w:fldChar w:fldCharType="separate"/>
        </w:r>
        <w:r>
          <w:rPr>
            <w:noProof/>
            <w:webHidden/>
          </w:rPr>
          <w:t>25</w:t>
        </w:r>
        <w:r>
          <w:rPr>
            <w:noProof/>
            <w:webHidden/>
          </w:rPr>
          <w:fldChar w:fldCharType="end"/>
        </w:r>
      </w:hyperlink>
    </w:p>
    <w:p w14:paraId="6BAA3547" w14:textId="68DBEAF0"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3" w:history="1">
        <w:r>
          <w:rPr>
            <w:rStyle w:val="Hyperlink"/>
            <w:noProof/>
          </w:rPr>
          <w:t>Table 10:</w:t>
        </w:r>
        <w:r>
          <w:rPr>
            <w:rFonts w:asciiTheme="minorHAnsi" w:eastAsiaTheme="minorEastAsia" w:hAnsiTheme="minorHAnsi" w:cstheme="minorBidi"/>
            <w:noProof/>
            <w:color w:val="auto"/>
            <w:kern w:val="2"/>
            <w:lang w:val="en-IE" w:eastAsia="en-IE"/>
            <w14:ligatures w14:val="standardContextual"/>
          </w:rPr>
          <w:tab/>
        </w:r>
        <w:r>
          <w:rPr>
            <w:rStyle w:val="Hyperlink"/>
            <w:noProof/>
          </w:rPr>
          <w:t>Estimation of the total volume of free allowances available under CL2_50 (CBAM variant) for 2031-40</w:t>
        </w:r>
        <w:r>
          <w:rPr>
            <w:noProof/>
            <w:webHidden/>
          </w:rPr>
          <w:tab/>
        </w:r>
        <w:r>
          <w:rPr>
            <w:noProof/>
            <w:webHidden/>
          </w:rPr>
          <w:fldChar w:fldCharType="begin"/>
        </w:r>
        <w:r>
          <w:rPr>
            <w:noProof/>
            <w:webHidden/>
          </w:rPr>
          <w:instrText xml:space="preserve"> PAGEREF _Toc234435113 \h </w:instrText>
        </w:r>
        <w:r>
          <w:rPr>
            <w:noProof/>
            <w:webHidden/>
          </w:rPr>
        </w:r>
        <w:r>
          <w:rPr>
            <w:noProof/>
            <w:webHidden/>
          </w:rPr>
          <w:fldChar w:fldCharType="separate"/>
        </w:r>
        <w:r>
          <w:rPr>
            <w:noProof/>
            <w:webHidden/>
          </w:rPr>
          <w:t>27</w:t>
        </w:r>
        <w:r>
          <w:rPr>
            <w:noProof/>
            <w:webHidden/>
          </w:rPr>
          <w:fldChar w:fldCharType="end"/>
        </w:r>
      </w:hyperlink>
    </w:p>
    <w:p w14:paraId="7BCAD6E8" w14:textId="03BAA882"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4" w:history="1">
        <w:r>
          <w:rPr>
            <w:rStyle w:val="Hyperlink"/>
            <w:noProof/>
          </w:rPr>
          <w:t>Table 11:</w:t>
        </w:r>
        <w:r>
          <w:rPr>
            <w:rFonts w:asciiTheme="minorHAnsi" w:eastAsiaTheme="minorEastAsia" w:hAnsiTheme="minorHAnsi" w:cstheme="minorBidi"/>
            <w:noProof/>
            <w:color w:val="auto"/>
            <w:kern w:val="2"/>
            <w:lang w:val="en-IE" w:eastAsia="en-IE"/>
            <w14:ligatures w14:val="standardContextual"/>
          </w:rPr>
          <w:tab/>
        </w:r>
        <w:r>
          <w:rPr>
            <w:rStyle w:val="Hyperlink"/>
            <w:noProof/>
          </w:rPr>
          <w:t>Estimation of the total volume of free allowances available under CL3 for 2031-40</w:t>
        </w:r>
        <w:r>
          <w:rPr>
            <w:noProof/>
            <w:webHidden/>
          </w:rPr>
          <w:tab/>
        </w:r>
        <w:r>
          <w:rPr>
            <w:noProof/>
            <w:webHidden/>
          </w:rPr>
          <w:fldChar w:fldCharType="begin"/>
        </w:r>
        <w:r>
          <w:rPr>
            <w:noProof/>
            <w:webHidden/>
          </w:rPr>
          <w:instrText xml:space="preserve"> PAGEREF _Toc234435114 \h </w:instrText>
        </w:r>
        <w:r>
          <w:rPr>
            <w:noProof/>
            <w:webHidden/>
          </w:rPr>
        </w:r>
        <w:r>
          <w:rPr>
            <w:noProof/>
            <w:webHidden/>
          </w:rPr>
          <w:fldChar w:fldCharType="separate"/>
        </w:r>
        <w:r>
          <w:rPr>
            <w:noProof/>
            <w:webHidden/>
          </w:rPr>
          <w:t>27</w:t>
        </w:r>
        <w:r>
          <w:rPr>
            <w:noProof/>
            <w:webHidden/>
          </w:rPr>
          <w:fldChar w:fldCharType="end"/>
        </w:r>
      </w:hyperlink>
    </w:p>
    <w:p w14:paraId="2FA374B3" w14:textId="51115FC0"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6" w:history="1">
        <w:r>
          <w:rPr>
            <w:rStyle w:val="Hyperlink"/>
            <w:noProof/>
          </w:rPr>
          <w:t>Table 12:</w:t>
        </w:r>
        <w:r>
          <w:rPr>
            <w:rFonts w:asciiTheme="minorHAnsi" w:eastAsiaTheme="minorEastAsia" w:hAnsiTheme="minorHAnsi" w:cstheme="minorBidi"/>
            <w:noProof/>
            <w:color w:val="auto"/>
            <w:kern w:val="2"/>
            <w:lang w:val="en-IE" w:eastAsia="en-IE"/>
            <w14:ligatures w14:val="standardContextual"/>
          </w:rPr>
          <w:tab/>
        </w:r>
        <w:r>
          <w:rPr>
            <w:rStyle w:val="Hyperlink"/>
            <w:noProof/>
          </w:rPr>
          <w:t>Decomposition of factors that could affect the total cost of indirect carbon cost compensation post-2030</w:t>
        </w:r>
        <w:r>
          <w:rPr>
            <w:noProof/>
            <w:webHidden/>
          </w:rPr>
          <w:tab/>
        </w:r>
        <w:r>
          <w:rPr>
            <w:noProof/>
            <w:webHidden/>
          </w:rPr>
          <w:fldChar w:fldCharType="begin"/>
        </w:r>
        <w:r>
          <w:rPr>
            <w:noProof/>
            <w:webHidden/>
          </w:rPr>
          <w:instrText xml:space="preserve"> PAGEREF _Toc234435116 \h </w:instrText>
        </w:r>
        <w:r>
          <w:rPr>
            <w:noProof/>
            <w:webHidden/>
          </w:rPr>
        </w:r>
        <w:r>
          <w:rPr>
            <w:noProof/>
            <w:webHidden/>
          </w:rPr>
          <w:fldChar w:fldCharType="separate"/>
        </w:r>
        <w:r>
          <w:rPr>
            <w:noProof/>
            <w:webHidden/>
          </w:rPr>
          <w:t>31</w:t>
        </w:r>
        <w:r>
          <w:rPr>
            <w:noProof/>
            <w:webHidden/>
          </w:rPr>
          <w:fldChar w:fldCharType="end"/>
        </w:r>
      </w:hyperlink>
    </w:p>
    <w:p w14:paraId="2CC0B897" w14:textId="03187BB8"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7" w:history="1">
        <w:r>
          <w:rPr>
            <w:rStyle w:val="Hyperlink"/>
            <w:noProof/>
          </w:rPr>
          <w:t>Table 13:</w:t>
        </w:r>
        <w:r>
          <w:rPr>
            <w:rFonts w:asciiTheme="minorHAnsi" w:eastAsiaTheme="minorEastAsia" w:hAnsiTheme="minorHAnsi" w:cstheme="minorBidi"/>
            <w:noProof/>
            <w:color w:val="auto"/>
            <w:kern w:val="2"/>
            <w:lang w:val="en-IE" w:eastAsia="en-IE"/>
            <w14:ligatures w14:val="standardContextual"/>
          </w:rPr>
          <w:tab/>
        </w:r>
        <w:r>
          <w:rPr>
            <w:rStyle w:val="Hyperlink"/>
            <w:noProof/>
          </w:rPr>
          <w:t>Percentage change in the unit cost of production relative to the baseline scenario (2040)</w:t>
        </w:r>
        <w:r>
          <w:rPr>
            <w:noProof/>
            <w:webHidden/>
          </w:rPr>
          <w:tab/>
        </w:r>
        <w:r>
          <w:rPr>
            <w:noProof/>
            <w:webHidden/>
          </w:rPr>
          <w:fldChar w:fldCharType="begin"/>
        </w:r>
        <w:r>
          <w:rPr>
            <w:noProof/>
            <w:webHidden/>
          </w:rPr>
          <w:instrText xml:space="preserve"> PAGEREF _Toc234435117 \h </w:instrText>
        </w:r>
        <w:r>
          <w:rPr>
            <w:noProof/>
            <w:webHidden/>
          </w:rPr>
        </w:r>
        <w:r>
          <w:rPr>
            <w:noProof/>
            <w:webHidden/>
          </w:rPr>
          <w:fldChar w:fldCharType="separate"/>
        </w:r>
        <w:r>
          <w:rPr>
            <w:noProof/>
            <w:webHidden/>
          </w:rPr>
          <w:t>44</w:t>
        </w:r>
        <w:r>
          <w:rPr>
            <w:noProof/>
            <w:webHidden/>
          </w:rPr>
          <w:fldChar w:fldCharType="end"/>
        </w:r>
      </w:hyperlink>
    </w:p>
    <w:p w14:paraId="78765038" w14:textId="39489AE9"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8" w:history="1">
        <w:r>
          <w:rPr>
            <w:rStyle w:val="Hyperlink"/>
            <w:noProof/>
          </w:rPr>
          <w:t>Table 14:</w:t>
        </w:r>
        <w:r>
          <w:rPr>
            <w:rFonts w:asciiTheme="minorHAnsi" w:eastAsiaTheme="minorEastAsia" w:hAnsiTheme="minorHAnsi" w:cstheme="minorBidi"/>
            <w:noProof/>
            <w:color w:val="auto"/>
            <w:kern w:val="2"/>
            <w:lang w:val="en-IE" w:eastAsia="en-IE"/>
            <w14:ligatures w14:val="standardContextual"/>
          </w:rPr>
          <w:tab/>
        </w:r>
        <w:r>
          <w:rPr>
            <w:rStyle w:val="Hyperlink"/>
            <w:rFonts w:eastAsia="Arial"/>
            <w:noProof/>
          </w:rPr>
          <w:t>Percentage</w:t>
        </w:r>
        <w:r>
          <w:rPr>
            <w:rStyle w:val="Hyperlink"/>
            <w:noProof/>
          </w:rPr>
          <w:t xml:space="preserve"> change in unit cost of production levels for variants CL290_9085 and CL290C_9085 compared to scenarios CL2_90 and CL2_90C.</w:t>
        </w:r>
        <w:r>
          <w:rPr>
            <w:noProof/>
            <w:webHidden/>
          </w:rPr>
          <w:tab/>
        </w:r>
        <w:r>
          <w:rPr>
            <w:noProof/>
            <w:webHidden/>
          </w:rPr>
          <w:fldChar w:fldCharType="begin"/>
        </w:r>
        <w:r>
          <w:rPr>
            <w:noProof/>
            <w:webHidden/>
          </w:rPr>
          <w:instrText xml:space="preserve"> PAGEREF _Toc234435118 \h </w:instrText>
        </w:r>
        <w:r>
          <w:rPr>
            <w:noProof/>
            <w:webHidden/>
          </w:rPr>
        </w:r>
        <w:r>
          <w:rPr>
            <w:noProof/>
            <w:webHidden/>
          </w:rPr>
          <w:fldChar w:fldCharType="separate"/>
        </w:r>
        <w:r>
          <w:rPr>
            <w:noProof/>
            <w:webHidden/>
          </w:rPr>
          <w:t>44</w:t>
        </w:r>
        <w:r>
          <w:rPr>
            <w:noProof/>
            <w:webHidden/>
          </w:rPr>
          <w:fldChar w:fldCharType="end"/>
        </w:r>
      </w:hyperlink>
    </w:p>
    <w:p w14:paraId="6DF06C9A" w14:textId="0DFC50EF"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19" w:history="1">
        <w:r>
          <w:rPr>
            <w:rStyle w:val="Hyperlink"/>
            <w:rFonts w:eastAsia="Arial"/>
            <w:noProof/>
          </w:rPr>
          <w:t>Table 15:</w:t>
        </w:r>
        <w:r>
          <w:rPr>
            <w:rFonts w:asciiTheme="minorHAnsi" w:eastAsiaTheme="minorEastAsia" w:hAnsiTheme="minorHAnsi" w:cstheme="minorBidi"/>
            <w:noProof/>
            <w:color w:val="auto"/>
            <w:kern w:val="2"/>
            <w:lang w:val="en-IE" w:eastAsia="en-IE"/>
            <w14:ligatures w14:val="standardContextual"/>
          </w:rPr>
          <w:tab/>
        </w:r>
        <w:r>
          <w:rPr>
            <w:rStyle w:val="Hyperlink"/>
            <w:rFonts w:eastAsia="Arial"/>
            <w:noProof/>
          </w:rPr>
          <w:t>Percentage</w:t>
        </w:r>
        <w:r>
          <w:rPr>
            <w:rStyle w:val="Hyperlink"/>
            <w:noProof/>
            <w:lang w:eastAsia="en-GB"/>
          </w:rPr>
          <w:t xml:space="preserve"> change in production levels in 2040 relative to the baseline scenario</w:t>
        </w:r>
        <w:r>
          <w:rPr>
            <w:noProof/>
            <w:webHidden/>
          </w:rPr>
          <w:tab/>
        </w:r>
        <w:r>
          <w:rPr>
            <w:noProof/>
            <w:webHidden/>
          </w:rPr>
          <w:fldChar w:fldCharType="begin"/>
        </w:r>
        <w:r>
          <w:rPr>
            <w:noProof/>
            <w:webHidden/>
          </w:rPr>
          <w:instrText xml:space="preserve"> PAGEREF _Toc234435119 \h </w:instrText>
        </w:r>
        <w:r>
          <w:rPr>
            <w:noProof/>
            <w:webHidden/>
          </w:rPr>
        </w:r>
        <w:r>
          <w:rPr>
            <w:noProof/>
            <w:webHidden/>
          </w:rPr>
          <w:fldChar w:fldCharType="separate"/>
        </w:r>
        <w:r>
          <w:rPr>
            <w:noProof/>
            <w:webHidden/>
          </w:rPr>
          <w:t>45</w:t>
        </w:r>
        <w:r>
          <w:rPr>
            <w:noProof/>
            <w:webHidden/>
          </w:rPr>
          <w:fldChar w:fldCharType="end"/>
        </w:r>
      </w:hyperlink>
    </w:p>
    <w:p w14:paraId="3B833E51" w14:textId="24A89B0C" w:rsidR="000C2DAA" w:rsidRDefault="000C2DAA">
      <w:pPr>
        <w:pStyle w:val="TableofFigures"/>
        <w:tabs>
          <w:tab w:val="left" w:pos="144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0" w:history="1">
        <w:r>
          <w:rPr>
            <w:rStyle w:val="Hyperlink"/>
            <w:rFonts w:eastAsia="Arial"/>
            <w:noProof/>
          </w:rPr>
          <w:t>Table 16:</w:t>
        </w:r>
        <w:r>
          <w:rPr>
            <w:rFonts w:asciiTheme="minorHAnsi" w:eastAsiaTheme="minorEastAsia" w:hAnsiTheme="minorHAnsi" w:cstheme="minorBidi"/>
            <w:noProof/>
            <w:color w:val="auto"/>
            <w:kern w:val="2"/>
            <w:lang w:val="en-IE" w:eastAsia="en-IE"/>
            <w14:ligatures w14:val="standardContextual"/>
          </w:rPr>
          <w:tab/>
        </w:r>
        <w:r>
          <w:rPr>
            <w:rStyle w:val="Hyperlink"/>
            <w:rFonts w:eastAsia="Arial"/>
            <w:noProof/>
          </w:rPr>
          <w:t>Percentage</w:t>
        </w:r>
        <w:r>
          <w:rPr>
            <w:rStyle w:val="Hyperlink"/>
            <w:noProof/>
          </w:rPr>
          <w:t xml:space="preserve"> change in production levels for variants CL290_9085 and CL290C_9085 compared to scenarios CL2_90 and CL2_90C.</w:t>
        </w:r>
        <w:r>
          <w:rPr>
            <w:noProof/>
            <w:webHidden/>
          </w:rPr>
          <w:tab/>
        </w:r>
        <w:r>
          <w:rPr>
            <w:noProof/>
            <w:webHidden/>
          </w:rPr>
          <w:fldChar w:fldCharType="begin"/>
        </w:r>
        <w:r>
          <w:rPr>
            <w:noProof/>
            <w:webHidden/>
          </w:rPr>
          <w:instrText xml:space="preserve"> PAGEREF _Toc234435120 \h </w:instrText>
        </w:r>
        <w:r>
          <w:rPr>
            <w:noProof/>
            <w:webHidden/>
          </w:rPr>
        </w:r>
        <w:r>
          <w:rPr>
            <w:noProof/>
            <w:webHidden/>
          </w:rPr>
          <w:fldChar w:fldCharType="separate"/>
        </w:r>
        <w:r>
          <w:rPr>
            <w:noProof/>
            <w:webHidden/>
          </w:rPr>
          <w:t>45</w:t>
        </w:r>
        <w:r>
          <w:rPr>
            <w:noProof/>
            <w:webHidden/>
          </w:rPr>
          <w:fldChar w:fldCharType="end"/>
        </w:r>
      </w:hyperlink>
    </w:p>
    <w:p w14:paraId="34FA7255" w14:textId="017CF27E"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1" w:history="1">
        <w:r>
          <w:rPr>
            <w:rStyle w:val="Hyperlink"/>
            <w:rFonts w:eastAsia="Arial"/>
            <w:noProof/>
          </w:rPr>
          <w:t>Table 17:</w:t>
        </w:r>
        <w:r>
          <w:rPr>
            <w:rFonts w:asciiTheme="minorHAnsi" w:eastAsiaTheme="minorEastAsia" w:hAnsiTheme="minorHAnsi" w:cstheme="minorBidi"/>
            <w:noProof/>
            <w:color w:val="auto"/>
            <w:kern w:val="2"/>
            <w:lang w:val="en-IE" w:eastAsia="en-IE"/>
            <w14:ligatures w14:val="standardContextual"/>
          </w:rPr>
          <w:tab/>
        </w:r>
        <w:r>
          <w:rPr>
            <w:rStyle w:val="Hyperlink"/>
            <w:rFonts w:eastAsia="Arial"/>
            <w:noProof/>
          </w:rPr>
          <w:t>Percentage</w:t>
        </w:r>
        <w:r>
          <w:rPr>
            <w:rStyle w:val="Hyperlink"/>
            <w:noProof/>
          </w:rPr>
          <w:t xml:space="preserve"> change in export levels in 2040 relative to the baseline scenario</w:t>
        </w:r>
        <w:r>
          <w:rPr>
            <w:noProof/>
            <w:webHidden/>
          </w:rPr>
          <w:tab/>
        </w:r>
        <w:r>
          <w:rPr>
            <w:noProof/>
            <w:webHidden/>
          </w:rPr>
          <w:fldChar w:fldCharType="begin"/>
        </w:r>
        <w:r>
          <w:rPr>
            <w:noProof/>
            <w:webHidden/>
          </w:rPr>
          <w:instrText xml:space="preserve"> PAGEREF _Toc234435121 \h </w:instrText>
        </w:r>
        <w:r>
          <w:rPr>
            <w:noProof/>
            <w:webHidden/>
          </w:rPr>
        </w:r>
        <w:r>
          <w:rPr>
            <w:noProof/>
            <w:webHidden/>
          </w:rPr>
          <w:fldChar w:fldCharType="separate"/>
        </w:r>
        <w:r>
          <w:rPr>
            <w:noProof/>
            <w:webHidden/>
          </w:rPr>
          <w:t>46</w:t>
        </w:r>
        <w:r>
          <w:rPr>
            <w:noProof/>
            <w:webHidden/>
          </w:rPr>
          <w:fldChar w:fldCharType="end"/>
        </w:r>
      </w:hyperlink>
    </w:p>
    <w:p w14:paraId="0700F69B" w14:textId="1B77A2B0" w:rsidR="000C2DAA" w:rsidRDefault="000C2DAA">
      <w:pPr>
        <w:pStyle w:val="TableofFigures"/>
        <w:tabs>
          <w:tab w:val="left" w:pos="144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2" w:history="1">
        <w:r>
          <w:rPr>
            <w:rStyle w:val="Hyperlink"/>
            <w:noProof/>
          </w:rPr>
          <w:t>Table 18:</w:t>
        </w:r>
        <w:r>
          <w:rPr>
            <w:rFonts w:asciiTheme="minorHAnsi" w:eastAsiaTheme="minorEastAsia" w:hAnsiTheme="minorHAnsi" w:cstheme="minorBidi"/>
            <w:noProof/>
            <w:color w:val="auto"/>
            <w:kern w:val="2"/>
            <w:lang w:val="en-IE" w:eastAsia="en-IE"/>
            <w14:ligatures w14:val="standardContextual"/>
          </w:rPr>
          <w:tab/>
        </w:r>
        <w:r>
          <w:rPr>
            <w:rStyle w:val="Hyperlink"/>
            <w:noProof/>
          </w:rPr>
          <w:t>Percentage change in sectoral export levels for variants CL290_9085 and CL290C_9085 compared to scenarios CL2_90 and CL2_90C.</w:t>
        </w:r>
        <w:r>
          <w:rPr>
            <w:noProof/>
            <w:webHidden/>
          </w:rPr>
          <w:tab/>
        </w:r>
        <w:r>
          <w:rPr>
            <w:noProof/>
            <w:webHidden/>
          </w:rPr>
          <w:fldChar w:fldCharType="begin"/>
        </w:r>
        <w:r>
          <w:rPr>
            <w:noProof/>
            <w:webHidden/>
          </w:rPr>
          <w:instrText xml:space="preserve"> PAGEREF _Toc234435122 \h </w:instrText>
        </w:r>
        <w:r>
          <w:rPr>
            <w:noProof/>
            <w:webHidden/>
          </w:rPr>
        </w:r>
        <w:r>
          <w:rPr>
            <w:noProof/>
            <w:webHidden/>
          </w:rPr>
          <w:fldChar w:fldCharType="separate"/>
        </w:r>
        <w:r>
          <w:rPr>
            <w:noProof/>
            <w:webHidden/>
          </w:rPr>
          <w:t>46</w:t>
        </w:r>
        <w:r>
          <w:rPr>
            <w:noProof/>
            <w:webHidden/>
          </w:rPr>
          <w:fldChar w:fldCharType="end"/>
        </w:r>
      </w:hyperlink>
    </w:p>
    <w:p w14:paraId="4B0155F9" w14:textId="07C6D051"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3" w:history="1">
        <w:r>
          <w:rPr>
            <w:rStyle w:val="Hyperlink"/>
            <w:noProof/>
          </w:rPr>
          <w:t>Table 19:</w:t>
        </w:r>
        <w:r>
          <w:rPr>
            <w:rFonts w:asciiTheme="minorHAnsi" w:eastAsiaTheme="minorEastAsia" w:hAnsiTheme="minorHAnsi" w:cstheme="minorBidi"/>
            <w:noProof/>
            <w:color w:val="auto"/>
            <w:kern w:val="2"/>
            <w:lang w:val="en-IE" w:eastAsia="en-IE"/>
            <w14:ligatures w14:val="standardContextual"/>
          </w:rPr>
          <w:tab/>
        </w:r>
        <w:r>
          <w:rPr>
            <w:rStyle w:val="Hyperlink"/>
            <w:noProof/>
          </w:rPr>
          <w:t>Percentage change in GDP and its components in 2040 relative to baseline scenario</w:t>
        </w:r>
        <w:r>
          <w:rPr>
            <w:noProof/>
            <w:webHidden/>
          </w:rPr>
          <w:tab/>
        </w:r>
        <w:r>
          <w:rPr>
            <w:noProof/>
            <w:webHidden/>
          </w:rPr>
          <w:fldChar w:fldCharType="begin"/>
        </w:r>
        <w:r>
          <w:rPr>
            <w:noProof/>
            <w:webHidden/>
          </w:rPr>
          <w:instrText xml:space="preserve"> PAGEREF _Toc234435123 \h </w:instrText>
        </w:r>
        <w:r>
          <w:rPr>
            <w:noProof/>
            <w:webHidden/>
          </w:rPr>
        </w:r>
        <w:r>
          <w:rPr>
            <w:noProof/>
            <w:webHidden/>
          </w:rPr>
          <w:fldChar w:fldCharType="separate"/>
        </w:r>
        <w:r>
          <w:rPr>
            <w:noProof/>
            <w:webHidden/>
          </w:rPr>
          <w:t>47</w:t>
        </w:r>
        <w:r>
          <w:rPr>
            <w:noProof/>
            <w:webHidden/>
          </w:rPr>
          <w:fldChar w:fldCharType="end"/>
        </w:r>
      </w:hyperlink>
    </w:p>
    <w:p w14:paraId="0D4C1E1B" w14:textId="347A6AE9"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4" w:history="1">
        <w:r>
          <w:rPr>
            <w:rStyle w:val="Hyperlink"/>
            <w:noProof/>
            <w:lang w:eastAsia="en-GB"/>
          </w:rPr>
          <w:t>Table 20:</w:t>
        </w:r>
        <w:r>
          <w:rPr>
            <w:rFonts w:asciiTheme="minorHAnsi" w:eastAsiaTheme="minorEastAsia" w:hAnsiTheme="minorHAnsi" w:cstheme="minorBidi"/>
            <w:noProof/>
            <w:color w:val="auto"/>
            <w:kern w:val="2"/>
            <w:lang w:val="en-IE" w:eastAsia="en-IE"/>
            <w14:ligatures w14:val="standardContextual"/>
          </w:rPr>
          <w:tab/>
        </w:r>
        <w:r>
          <w:rPr>
            <w:rStyle w:val="Hyperlink"/>
            <w:noProof/>
            <w:lang w:eastAsia="en-GB"/>
          </w:rPr>
          <w:t>Estimated CSCF under the different carbon leakage prevention measure of the total volume of free allowances available under the baseline and policy scenarios for 2031-40</w:t>
        </w:r>
        <w:r>
          <w:rPr>
            <w:noProof/>
            <w:webHidden/>
          </w:rPr>
          <w:tab/>
        </w:r>
        <w:r>
          <w:rPr>
            <w:noProof/>
            <w:webHidden/>
          </w:rPr>
          <w:fldChar w:fldCharType="begin"/>
        </w:r>
        <w:r>
          <w:rPr>
            <w:noProof/>
            <w:webHidden/>
          </w:rPr>
          <w:instrText xml:space="preserve"> PAGEREF _Toc234435124 \h </w:instrText>
        </w:r>
        <w:r>
          <w:rPr>
            <w:noProof/>
            <w:webHidden/>
          </w:rPr>
        </w:r>
        <w:r>
          <w:rPr>
            <w:noProof/>
            <w:webHidden/>
          </w:rPr>
          <w:fldChar w:fldCharType="separate"/>
        </w:r>
        <w:r>
          <w:rPr>
            <w:noProof/>
            <w:webHidden/>
          </w:rPr>
          <w:t>48</w:t>
        </w:r>
        <w:r>
          <w:rPr>
            <w:noProof/>
            <w:webHidden/>
          </w:rPr>
          <w:fldChar w:fldCharType="end"/>
        </w:r>
      </w:hyperlink>
    </w:p>
    <w:p w14:paraId="3C2BB3D2" w14:textId="3D415119"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6" w:history="1">
        <w:r>
          <w:rPr>
            <w:rStyle w:val="Hyperlink"/>
            <w:noProof/>
          </w:rPr>
          <w:t>Table 21:</w:t>
        </w:r>
        <w:r>
          <w:rPr>
            <w:rFonts w:asciiTheme="minorHAnsi" w:eastAsiaTheme="minorEastAsia" w:hAnsiTheme="minorHAnsi" w:cstheme="minorBidi"/>
            <w:noProof/>
            <w:color w:val="auto"/>
            <w:kern w:val="2"/>
            <w:lang w:val="en-IE" w:eastAsia="en-IE"/>
            <w14:ligatures w14:val="standardContextual"/>
          </w:rPr>
          <w:tab/>
        </w:r>
        <w:r>
          <w:rPr>
            <w:rStyle w:val="Hyperlink"/>
            <w:noProof/>
          </w:rPr>
          <w:t>Sectoral employment change for ETS sectors in 2040 relative to the baseline</w:t>
        </w:r>
        <w:r>
          <w:rPr>
            <w:noProof/>
            <w:webHidden/>
          </w:rPr>
          <w:tab/>
        </w:r>
        <w:r>
          <w:rPr>
            <w:noProof/>
            <w:webHidden/>
          </w:rPr>
          <w:fldChar w:fldCharType="begin"/>
        </w:r>
        <w:r>
          <w:rPr>
            <w:noProof/>
            <w:webHidden/>
          </w:rPr>
          <w:instrText xml:space="preserve"> PAGEREF _Toc234435126 \h </w:instrText>
        </w:r>
        <w:r>
          <w:rPr>
            <w:noProof/>
            <w:webHidden/>
          </w:rPr>
        </w:r>
        <w:r>
          <w:rPr>
            <w:noProof/>
            <w:webHidden/>
          </w:rPr>
          <w:fldChar w:fldCharType="separate"/>
        </w:r>
        <w:r>
          <w:rPr>
            <w:noProof/>
            <w:webHidden/>
          </w:rPr>
          <w:t>53</w:t>
        </w:r>
        <w:r>
          <w:rPr>
            <w:noProof/>
            <w:webHidden/>
          </w:rPr>
          <w:fldChar w:fldCharType="end"/>
        </w:r>
      </w:hyperlink>
    </w:p>
    <w:p w14:paraId="739E5A19" w14:textId="26C041B4" w:rsidR="000C2DAA" w:rsidRDefault="000C2DAA">
      <w:pPr>
        <w:pStyle w:val="TableofFigures"/>
        <w:tabs>
          <w:tab w:val="left" w:pos="144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7" w:history="1">
        <w:r>
          <w:rPr>
            <w:rStyle w:val="Hyperlink"/>
            <w:noProof/>
          </w:rPr>
          <w:t>Table 22:</w:t>
        </w:r>
        <w:r>
          <w:rPr>
            <w:rFonts w:asciiTheme="minorHAnsi" w:eastAsiaTheme="minorEastAsia" w:hAnsiTheme="minorHAnsi" w:cstheme="minorBidi"/>
            <w:noProof/>
            <w:color w:val="auto"/>
            <w:kern w:val="2"/>
            <w:lang w:val="en-IE" w:eastAsia="en-IE"/>
            <w14:ligatures w14:val="standardContextual"/>
          </w:rPr>
          <w:tab/>
        </w:r>
        <w:r>
          <w:rPr>
            <w:rStyle w:val="Hyperlink"/>
            <w:noProof/>
          </w:rPr>
          <w:t>Percentage change in sectoral employment levels for variants CL290_9085 and CL290C_9085 compared to scenarios CL2_90 and CL2_90C.</w:t>
        </w:r>
        <w:r>
          <w:rPr>
            <w:noProof/>
            <w:webHidden/>
          </w:rPr>
          <w:tab/>
        </w:r>
        <w:r>
          <w:rPr>
            <w:noProof/>
            <w:webHidden/>
          </w:rPr>
          <w:fldChar w:fldCharType="begin"/>
        </w:r>
        <w:r>
          <w:rPr>
            <w:noProof/>
            <w:webHidden/>
          </w:rPr>
          <w:instrText xml:space="preserve"> PAGEREF _Toc234435127 \h </w:instrText>
        </w:r>
        <w:r>
          <w:rPr>
            <w:noProof/>
            <w:webHidden/>
          </w:rPr>
        </w:r>
        <w:r>
          <w:rPr>
            <w:noProof/>
            <w:webHidden/>
          </w:rPr>
          <w:fldChar w:fldCharType="separate"/>
        </w:r>
        <w:r>
          <w:rPr>
            <w:noProof/>
            <w:webHidden/>
          </w:rPr>
          <w:t>54</w:t>
        </w:r>
        <w:r>
          <w:rPr>
            <w:noProof/>
            <w:webHidden/>
          </w:rPr>
          <w:fldChar w:fldCharType="end"/>
        </w:r>
      </w:hyperlink>
    </w:p>
    <w:p w14:paraId="1CF376FB" w14:textId="386B972F"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8" w:history="1">
        <w:r>
          <w:rPr>
            <w:rStyle w:val="Hyperlink"/>
            <w:noProof/>
          </w:rPr>
          <w:t>Table 23:</w:t>
        </w:r>
        <w:r>
          <w:rPr>
            <w:rFonts w:asciiTheme="minorHAnsi" w:eastAsiaTheme="minorEastAsia" w:hAnsiTheme="minorHAnsi" w:cstheme="minorBidi"/>
            <w:noProof/>
            <w:color w:val="auto"/>
            <w:kern w:val="2"/>
            <w:lang w:val="en-IE" w:eastAsia="en-IE"/>
            <w14:ligatures w14:val="standardContextual"/>
          </w:rPr>
          <w:tab/>
        </w:r>
        <w:r>
          <w:rPr>
            <w:rStyle w:val="Hyperlink"/>
            <w:noProof/>
          </w:rPr>
          <w:t>Change in the EU 27 emissions in 2040 relative to baseline scenario (in MtCO2eq)</w:t>
        </w:r>
        <w:r>
          <w:rPr>
            <w:noProof/>
            <w:webHidden/>
          </w:rPr>
          <w:tab/>
        </w:r>
        <w:r>
          <w:rPr>
            <w:noProof/>
            <w:webHidden/>
          </w:rPr>
          <w:fldChar w:fldCharType="begin"/>
        </w:r>
        <w:r>
          <w:rPr>
            <w:noProof/>
            <w:webHidden/>
          </w:rPr>
          <w:instrText xml:space="preserve"> PAGEREF _Toc234435128 \h </w:instrText>
        </w:r>
        <w:r>
          <w:rPr>
            <w:noProof/>
            <w:webHidden/>
          </w:rPr>
        </w:r>
        <w:r>
          <w:rPr>
            <w:noProof/>
            <w:webHidden/>
          </w:rPr>
          <w:fldChar w:fldCharType="separate"/>
        </w:r>
        <w:r>
          <w:rPr>
            <w:noProof/>
            <w:webHidden/>
          </w:rPr>
          <w:t>55</w:t>
        </w:r>
        <w:r>
          <w:rPr>
            <w:noProof/>
            <w:webHidden/>
          </w:rPr>
          <w:fldChar w:fldCharType="end"/>
        </w:r>
      </w:hyperlink>
    </w:p>
    <w:p w14:paraId="43284570" w14:textId="46A1236D" w:rsidR="000C2DAA" w:rsidRDefault="000C2DAA">
      <w:pPr>
        <w:pStyle w:val="TableofFigures"/>
        <w:tabs>
          <w:tab w:val="left" w:pos="144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29" w:history="1">
        <w:r>
          <w:rPr>
            <w:rStyle w:val="Hyperlink"/>
            <w:noProof/>
          </w:rPr>
          <w:t>Table 24:</w:t>
        </w:r>
        <w:r>
          <w:rPr>
            <w:rFonts w:asciiTheme="minorHAnsi" w:eastAsiaTheme="minorEastAsia" w:hAnsiTheme="minorHAnsi" w:cstheme="minorBidi"/>
            <w:noProof/>
            <w:color w:val="auto"/>
            <w:kern w:val="2"/>
            <w:lang w:val="en-IE" w:eastAsia="en-IE"/>
            <w14:ligatures w14:val="standardContextual"/>
          </w:rPr>
          <w:tab/>
        </w:r>
        <w:r>
          <w:rPr>
            <w:rStyle w:val="Hyperlink"/>
            <w:noProof/>
          </w:rPr>
          <w:t>Change in the non-EU 27 emissions in 2040 relative to the PRIMES baseline scenario (in MtCO2eq)</w:t>
        </w:r>
        <w:r>
          <w:rPr>
            <w:noProof/>
            <w:webHidden/>
          </w:rPr>
          <w:tab/>
        </w:r>
        <w:r>
          <w:rPr>
            <w:noProof/>
            <w:webHidden/>
          </w:rPr>
          <w:fldChar w:fldCharType="begin"/>
        </w:r>
        <w:r>
          <w:rPr>
            <w:noProof/>
            <w:webHidden/>
          </w:rPr>
          <w:instrText xml:space="preserve"> PAGEREF _Toc234435129 \h </w:instrText>
        </w:r>
        <w:r>
          <w:rPr>
            <w:noProof/>
            <w:webHidden/>
          </w:rPr>
        </w:r>
        <w:r>
          <w:rPr>
            <w:noProof/>
            <w:webHidden/>
          </w:rPr>
          <w:fldChar w:fldCharType="separate"/>
        </w:r>
        <w:r>
          <w:rPr>
            <w:noProof/>
            <w:webHidden/>
          </w:rPr>
          <w:t>56</w:t>
        </w:r>
        <w:r>
          <w:rPr>
            <w:noProof/>
            <w:webHidden/>
          </w:rPr>
          <w:fldChar w:fldCharType="end"/>
        </w:r>
      </w:hyperlink>
    </w:p>
    <w:p w14:paraId="7AFCB3BF" w14:textId="504CBC89" w:rsidR="000C2DAA" w:rsidRDefault="000C2DAA">
      <w:pPr>
        <w:pStyle w:val="TableofFigures"/>
        <w:tabs>
          <w:tab w:val="left" w:pos="144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30" w:history="1">
        <w:r>
          <w:rPr>
            <w:rStyle w:val="Hyperlink"/>
            <w:noProof/>
          </w:rPr>
          <w:t>Table 25:</w:t>
        </w:r>
        <w:r>
          <w:rPr>
            <w:rFonts w:asciiTheme="minorHAnsi" w:eastAsiaTheme="minorEastAsia" w:hAnsiTheme="minorHAnsi" w:cstheme="minorBidi"/>
            <w:noProof/>
            <w:color w:val="auto"/>
            <w:kern w:val="2"/>
            <w:lang w:val="en-IE" w:eastAsia="en-IE"/>
            <w14:ligatures w14:val="standardContextual"/>
          </w:rPr>
          <w:tab/>
        </w:r>
        <w:r>
          <w:rPr>
            <w:rStyle w:val="Hyperlink"/>
            <w:noProof/>
          </w:rPr>
          <w:t>Difference EU27 and non-EU27 emissions levels for variants CL290_9085 and CL290C_9085 compared to scenarios CL2_90 and CL2_90C.</w:t>
        </w:r>
        <w:r>
          <w:rPr>
            <w:noProof/>
            <w:webHidden/>
          </w:rPr>
          <w:tab/>
        </w:r>
        <w:r>
          <w:rPr>
            <w:noProof/>
            <w:webHidden/>
          </w:rPr>
          <w:fldChar w:fldCharType="begin"/>
        </w:r>
        <w:r>
          <w:rPr>
            <w:noProof/>
            <w:webHidden/>
          </w:rPr>
          <w:instrText xml:space="preserve"> PAGEREF _Toc234435130 \h </w:instrText>
        </w:r>
        <w:r>
          <w:rPr>
            <w:noProof/>
            <w:webHidden/>
          </w:rPr>
        </w:r>
        <w:r>
          <w:rPr>
            <w:noProof/>
            <w:webHidden/>
          </w:rPr>
          <w:fldChar w:fldCharType="separate"/>
        </w:r>
        <w:r>
          <w:rPr>
            <w:noProof/>
            <w:webHidden/>
          </w:rPr>
          <w:t>56</w:t>
        </w:r>
        <w:r>
          <w:rPr>
            <w:noProof/>
            <w:webHidden/>
          </w:rPr>
          <w:fldChar w:fldCharType="end"/>
        </w:r>
      </w:hyperlink>
    </w:p>
    <w:p w14:paraId="4B88B354" w14:textId="60405C28"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31" w:history="1">
        <w:r>
          <w:rPr>
            <w:rStyle w:val="Hyperlink"/>
            <w:noProof/>
          </w:rPr>
          <w:t>Table 26:</w:t>
        </w:r>
        <w:r>
          <w:rPr>
            <w:rFonts w:asciiTheme="minorHAnsi" w:eastAsiaTheme="minorEastAsia" w:hAnsiTheme="minorHAnsi" w:cstheme="minorBidi"/>
            <w:noProof/>
            <w:color w:val="auto"/>
            <w:kern w:val="2"/>
            <w:lang w:val="en-IE" w:eastAsia="en-IE"/>
            <w14:ligatures w14:val="standardContextual"/>
          </w:rPr>
          <w:tab/>
        </w:r>
        <w:r>
          <w:rPr>
            <w:rStyle w:val="Hyperlink"/>
            <w:noProof/>
          </w:rPr>
          <w:t>Summary of impact assessment for individual measures for carbon leakage relative to baseline</w:t>
        </w:r>
        <w:r>
          <w:rPr>
            <w:noProof/>
            <w:webHidden/>
          </w:rPr>
          <w:tab/>
        </w:r>
        <w:r>
          <w:rPr>
            <w:noProof/>
            <w:webHidden/>
          </w:rPr>
          <w:fldChar w:fldCharType="begin"/>
        </w:r>
        <w:r>
          <w:rPr>
            <w:noProof/>
            <w:webHidden/>
          </w:rPr>
          <w:instrText xml:space="preserve"> PAGEREF _Toc234435131 \h </w:instrText>
        </w:r>
        <w:r>
          <w:rPr>
            <w:noProof/>
            <w:webHidden/>
          </w:rPr>
        </w:r>
        <w:r>
          <w:rPr>
            <w:noProof/>
            <w:webHidden/>
          </w:rPr>
          <w:fldChar w:fldCharType="separate"/>
        </w:r>
        <w:r>
          <w:rPr>
            <w:noProof/>
            <w:webHidden/>
          </w:rPr>
          <w:t>58</w:t>
        </w:r>
        <w:r>
          <w:rPr>
            <w:noProof/>
            <w:webHidden/>
          </w:rPr>
          <w:fldChar w:fldCharType="end"/>
        </w:r>
      </w:hyperlink>
    </w:p>
    <w:p w14:paraId="56546A9E" w14:textId="7732C549"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32" w:history="1">
        <w:r>
          <w:rPr>
            <w:rStyle w:val="Hyperlink"/>
            <w:noProof/>
          </w:rPr>
          <w:t>Table 27:</w:t>
        </w:r>
        <w:r>
          <w:rPr>
            <w:rFonts w:asciiTheme="minorHAnsi" w:eastAsiaTheme="minorEastAsia" w:hAnsiTheme="minorHAnsi" w:cstheme="minorBidi"/>
            <w:noProof/>
            <w:color w:val="auto"/>
            <w:kern w:val="2"/>
            <w:lang w:val="en-IE" w:eastAsia="en-IE"/>
            <w14:ligatures w14:val="standardContextual"/>
          </w:rPr>
          <w:tab/>
        </w:r>
        <w:r>
          <w:rPr>
            <w:rStyle w:val="Hyperlink"/>
            <w:noProof/>
          </w:rPr>
          <w:t>Summary of impact assessment for individual measures for indirect carbon cost relative to baseline</w:t>
        </w:r>
        <w:r>
          <w:rPr>
            <w:noProof/>
            <w:webHidden/>
          </w:rPr>
          <w:tab/>
        </w:r>
        <w:r>
          <w:rPr>
            <w:noProof/>
            <w:webHidden/>
          </w:rPr>
          <w:fldChar w:fldCharType="begin"/>
        </w:r>
        <w:r>
          <w:rPr>
            <w:noProof/>
            <w:webHidden/>
          </w:rPr>
          <w:instrText xml:space="preserve"> PAGEREF _Toc234435132 \h </w:instrText>
        </w:r>
        <w:r>
          <w:rPr>
            <w:noProof/>
            <w:webHidden/>
          </w:rPr>
        </w:r>
        <w:r>
          <w:rPr>
            <w:noProof/>
            <w:webHidden/>
          </w:rPr>
          <w:fldChar w:fldCharType="separate"/>
        </w:r>
        <w:r>
          <w:rPr>
            <w:noProof/>
            <w:webHidden/>
          </w:rPr>
          <w:t>58</w:t>
        </w:r>
        <w:r>
          <w:rPr>
            <w:noProof/>
            <w:webHidden/>
          </w:rPr>
          <w:fldChar w:fldCharType="end"/>
        </w:r>
      </w:hyperlink>
    </w:p>
    <w:p w14:paraId="7F8B05B6" w14:textId="0B4A44AB"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33" w:history="1">
        <w:r>
          <w:rPr>
            <w:rStyle w:val="Hyperlink"/>
            <w:noProof/>
          </w:rPr>
          <w:t>Table 28:</w:t>
        </w:r>
        <w:r>
          <w:rPr>
            <w:rFonts w:asciiTheme="minorHAnsi" w:eastAsiaTheme="minorEastAsia" w:hAnsiTheme="minorHAnsi" w:cstheme="minorBidi"/>
            <w:noProof/>
            <w:color w:val="auto"/>
            <w:kern w:val="2"/>
            <w:lang w:val="en-IE" w:eastAsia="en-IE"/>
            <w14:ligatures w14:val="standardContextual"/>
          </w:rPr>
          <w:tab/>
        </w:r>
        <w:r>
          <w:rPr>
            <w:rStyle w:val="Hyperlink"/>
            <w:noProof/>
          </w:rPr>
          <w:t>Administrative costs paid per operator in the EU</w:t>
        </w:r>
        <w:r>
          <w:rPr>
            <w:noProof/>
            <w:webHidden/>
          </w:rPr>
          <w:tab/>
        </w:r>
        <w:r>
          <w:rPr>
            <w:noProof/>
            <w:webHidden/>
          </w:rPr>
          <w:fldChar w:fldCharType="begin"/>
        </w:r>
        <w:r>
          <w:rPr>
            <w:noProof/>
            <w:webHidden/>
          </w:rPr>
          <w:instrText xml:space="preserve"> PAGEREF _Toc234435133 \h </w:instrText>
        </w:r>
        <w:r>
          <w:rPr>
            <w:noProof/>
            <w:webHidden/>
          </w:rPr>
        </w:r>
        <w:r>
          <w:rPr>
            <w:noProof/>
            <w:webHidden/>
          </w:rPr>
          <w:fldChar w:fldCharType="separate"/>
        </w:r>
        <w:r>
          <w:rPr>
            <w:noProof/>
            <w:webHidden/>
          </w:rPr>
          <w:t>62</w:t>
        </w:r>
        <w:r>
          <w:rPr>
            <w:noProof/>
            <w:webHidden/>
          </w:rPr>
          <w:fldChar w:fldCharType="end"/>
        </w:r>
      </w:hyperlink>
    </w:p>
    <w:p w14:paraId="136720EA" w14:textId="160208F7" w:rsidR="000C2DAA" w:rsidRDefault="000C2DAA">
      <w:pPr>
        <w:pStyle w:val="TableofFigures"/>
        <w:tabs>
          <w:tab w:val="left" w:pos="1200"/>
          <w:tab w:val="right" w:leader="dot" w:pos="9016"/>
        </w:tabs>
        <w:rPr>
          <w:rFonts w:asciiTheme="minorHAnsi" w:eastAsiaTheme="minorEastAsia" w:hAnsiTheme="minorHAnsi" w:cstheme="minorBidi"/>
          <w:noProof/>
          <w:color w:val="auto"/>
          <w:kern w:val="2"/>
          <w:lang w:val="en-IE" w:eastAsia="en-IE"/>
          <w14:ligatures w14:val="standardContextual"/>
        </w:rPr>
      </w:pPr>
      <w:hyperlink w:anchor="_Toc234435134" w:history="1">
        <w:r>
          <w:rPr>
            <w:rStyle w:val="Hyperlink"/>
            <w:noProof/>
          </w:rPr>
          <w:t>Table 29:</w:t>
        </w:r>
        <w:r>
          <w:rPr>
            <w:rFonts w:asciiTheme="minorHAnsi" w:eastAsiaTheme="minorEastAsia" w:hAnsiTheme="minorHAnsi" w:cstheme="minorBidi"/>
            <w:noProof/>
            <w:color w:val="auto"/>
            <w:kern w:val="2"/>
            <w:lang w:val="en-IE" w:eastAsia="en-IE"/>
            <w14:ligatures w14:val="standardContextual"/>
          </w:rPr>
          <w:tab/>
        </w:r>
        <w:r>
          <w:rPr>
            <w:rStyle w:val="Hyperlink"/>
            <w:noProof/>
          </w:rPr>
          <w:t>Estimated emissions and installation coverage from lowering the 20 MW threshold</w:t>
        </w:r>
        <w:r>
          <w:rPr>
            <w:noProof/>
            <w:webHidden/>
          </w:rPr>
          <w:tab/>
        </w:r>
        <w:r>
          <w:rPr>
            <w:noProof/>
            <w:webHidden/>
          </w:rPr>
          <w:fldChar w:fldCharType="begin"/>
        </w:r>
        <w:r>
          <w:rPr>
            <w:noProof/>
            <w:webHidden/>
          </w:rPr>
          <w:instrText xml:space="preserve"> PAGEREF _Toc234435134 \h </w:instrText>
        </w:r>
        <w:r>
          <w:rPr>
            <w:noProof/>
            <w:webHidden/>
          </w:rPr>
        </w:r>
        <w:r>
          <w:rPr>
            <w:noProof/>
            <w:webHidden/>
          </w:rPr>
          <w:fldChar w:fldCharType="separate"/>
        </w:r>
        <w:r>
          <w:rPr>
            <w:noProof/>
            <w:webHidden/>
          </w:rPr>
          <w:t>67</w:t>
        </w:r>
        <w:r>
          <w:rPr>
            <w:noProof/>
            <w:webHidden/>
          </w:rPr>
          <w:fldChar w:fldCharType="end"/>
        </w:r>
      </w:hyperlink>
    </w:p>
    <w:p w14:paraId="3F8588B4" w14:textId="19C00AAD" w:rsidR="00534C1A" w:rsidRPr="000653A9" w:rsidRDefault="002B6CC8" w:rsidP="194D85F9">
      <w:pPr>
        <w:spacing w:after="0"/>
        <w:rPr>
          <w:rStyle w:val="BookTitle"/>
          <w:rFonts w:ascii="Times New Roman" w:eastAsia="Times New Roman" w:hAnsi="Times New Roman" w:cs="Times New Roman"/>
          <w:b w:val="0"/>
          <w:bCs w:val="0"/>
          <w:i w:val="0"/>
          <w:iCs w:val="0"/>
          <w:noProof/>
        </w:rPr>
      </w:pPr>
      <w:r>
        <w:rPr>
          <w:rStyle w:val="BookTitle"/>
          <w:rFonts w:ascii="Times New Roman" w:hAnsi="Times New Roman" w:cs="Times New Roman"/>
          <w:b w:val="0"/>
          <w:bCs w:val="0"/>
          <w:i w:val="0"/>
          <w:iCs w:val="0"/>
          <w:noProof/>
        </w:rPr>
        <w:fldChar w:fldCharType="end"/>
      </w:r>
    </w:p>
    <w:p w14:paraId="118EC4E5" w14:textId="77777777" w:rsidR="000637A3" w:rsidRPr="000653A9" w:rsidRDefault="000637A3">
      <w:pPr>
        <w:spacing w:before="0" w:line="259" w:lineRule="auto"/>
        <w:rPr>
          <w:rStyle w:val="BookTitle"/>
          <w:rFonts w:ascii="Times New Roman" w:eastAsia="Times New Roman" w:hAnsi="Times New Roman" w:cs="Times New Roman"/>
          <w:bCs w:val="0"/>
          <w:i w:val="0"/>
          <w:iCs w:val="0"/>
          <w:noProof/>
          <w:color w:val="auto"/>
          <w:sz w:val="28"/>
          <w:szCs w:val="22"/>
        </w:rPr>
      </w:pPr>
      <w:r w:rsidRPr="000653A9">
        <w:rPr>
          <w:rStyle w:val="BookTitle"/>
          <w:rFonts w:ascii="Times New Roman" w:hAnsi="Times New Roman" w:cs="Times New Roman"/>
          <w:b w:val="0"/>
          <w:bCs w:val="0"/>
          <w:i w:val="0"/>
          <w:iCs w:val="0"/>
          <w:noProof/>
        </w:rPr>
        <w:br w:type="page"/>
      </w:r>
    </w:p>
    <w:p w14:paraId="5018E964" w14:textId="41D7DEE5" w:rsidR="005B4918" w:rsidRPr="000653A9" w:rsidRDefault="00042D33" w:rsidP="009539AB">
      <w:pPr>
        <w:pStyle w:val="Heading2COM"/>
        <w:numPr>
          <w:ilvl w:val="0"/>
          <w:numId w:val="0"/>
        </w:numPr>
        <w:outlineLvl w:val="1"/>
        <w15:collapsed w:val="0"/>
        <w:rPr>
          <w:rStyle w:val="BookTitle"/>
          <w:rFonts w:ascii="Times New Roman" w:hAnsi="Times New Roman" w:cs="Times New Roman"/>
          <w:b/>
          <w:bCs w:val="0"/>
          <w:i w:val="0"/>
          <w:iCs w:val="0"/>
          <w:noProof/>
        </w:rPr>
      </w:pPr>
      <w:bookmarkStart w:id="7" w:name="_Toc230857885"/>
      <w:bookmarkStart w:id="8" w:name="_Toc232751076"/>
      <w:r w:rsidRPr="000653A9">
        <w:rPr>
          <w:rStyle w:val="BookTitle"/>
          <w:rFonts w:ascii="Times New Roman" w:hAnsi="Times New Roman" w:cs="Times New Roman"/>
          <w:b/>
          <w:bCs w:val="0"/>
          <w:i w:val="0"/>
          <w:iCs w:val="0"/>
          <w:noProof/>
        </w:rPr>
        <w:t xml:space="preserve">List of </w:t>
      </w:r>
      <w:r w:rsidR="00534C1A" w:rsidRPr="000653A9">
        <w:rPr>
          <w:rStyle w:val="BookTitle"/>
          <w:rFonts w:ascii="Times New Roman" w:hAnsi="Times New Roman" w:cs="Times New Roman"/>
          <w:b/>
          <w:bCs w:val="0"/>
          <w:i w:val="0"/>
          <w:iCs w:val="0"/>
          <w:noProof/>
        </w:rPr>
        <w:t>Figures</w:t>
      </w:r>
      <w:bookmarkEnd w:id="7"/>
      <w:bookmarkEnd w:id="8"/>
    </w:p>
    <w:p w14:paraId="5EB995C9" w14:textId="77777777" w:rsidR="00CC4F87" w:rsidRDefault="003204F6">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r>
        <w:rPr>
          <w:rStyle w:val="BookTitle"/>
          <w:rFonts w:ascii="Times New Roman" w:hAnsi="Times New Roman" w:cs="Times New Roman"/>
          <w:b w:val="0"/>
          <w:bCs w:val="0"/>
          <w:i w:val="0"/>
          <w:iCs w:val="0"/>
          <w:noProof/>
        </w:rPr>
        <w:fldChar w:fldCharType="begin"/>
      </w:r>
      <w:r>
        <w:rPr>
          <w:rStyle w:val="BookTitle"/>
          <w:rFonts w:ascii="Times New Roman" w:hAnsi="Times New Roman" w:cs="Times New Roman"/>
          <w:b w:val="0"/>
          <w:bCs w:val="0"/>
          <w:i w:val="0"/>
          <w:iCs w:val="0"/>
          <w:noProof/>
        </w:rPr>
        <w:instrText xml:space="preserve"> TOC \h \z \t "Figure title" \c </w:instrText>
      </w:r>
      <w:r>
        <w:rPr>
          <w:rStyle w:val="BookTitle"/>
          <w:rFonts w:ascii="Times New Roman" w:hAnsi="Times New Roman" w:cs="Times New Roman"/>
          <w:b w:val="0"/>
          <w:bCs w:val="0"/>
          <w:i w:val="0"/>
          <w:iCs w:val="0"/>
          <w:noProof/>
        </w:rPr>
        <w:fldChar w:fldCharType="separate"/>
      </w:r>
      <w:hyperlink w:anchor="_Toc224659134" w:history="1">
        <w:r>
          <w:rPr>
            <w:rStyle w:val="Hyperlink"/>
            <w:noProof/>
            <w:sz w:val="24"/>
          </w:rPr>
          <w:t>Figure 1:</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Verified emissions for CBAM and non-CBAM sectors between 2021-23</w:t>
        </w:r>
        <w:r>
          <w:rPr>
            <w:noProof/>
            <w:webHidden/>
          </w:rPr>
          <w:tab/>
        </w:r>
        <w:r>
          <w:rPr>
            <w:noProof/>
            <w:webHidden/>
          </w:rPr>
          <w:fldChar w:fldCharType="begin"/>
        </w:r>
        <w:r>
          <w:rPr>
            <w:noProof/>
            <w:webHidden/>
          </w:rPr>
          <w:instrText xml:space="preserve"> PAGEREF _Toc224659134 \h </w:instrText>
        </w:r>
        <w:r>
          <w:rPr>
            <w:noProof/>
            <w:webHidden/>
          </w:rPr>
        </w:r>
        <w:r>
          <w:rPr>
            <w:noProof/>
            <w:webHidden/>
          </w:rPr>
          <w:fldChar w:fldCharType="separate"/>
        </w:r>
        <w:r>
          <w:rPr>
            <w:noProof/>
            <w:webHidden/>
          </w:rPr>
          <w:t>9</w:t>
        </w:r>
        <w:r>
          <w:rPr>
            <w:noProof/>
            <w:webHidden/>
          </w:rPr>
          <w:fldChar w:fldCharType="end"/>
        </w:r>
      </w:hyperlink>
    </w:p>
    <w:p w14:paraId="74A53EB7" w14:textId="69B8F6B6"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35" w:history="1">
        <w:r>
          <w:rPr>
            <w:rStyle w:val="Hyperlink"/>
            <w:noProof/>
            <w:sz w:val="24"/>
          </w:rPr>
          <w:t>Figure 2:</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Total free allocation across the policy options</w:t>
        </w:r>
        <w:r>
          <w:rPr>
            <w:noProof/>
            <w:webHidden/>
          </w:rPr>
          <w:tab/>
        </w:r>
        <w:r>
          <w:rPr>
            <w:noProof/>
            <w:webHidden/>
          </w:rPr>
          <w:fldChar w:fldCharType="begin"/>
        </w:r>
        <w:r>
          <w:rPr>
            <w:noProof/>
            <w:webHidden/>
          </w:rPr>
          <w:instrText xml:space="preserve"> PAGEREF _Toc224659135 \h </w:instrText>
        </w:r>
        <w:r>
          <w:rPr>
            <w:noProof/>
            <w:webHidden/>
          </w:rPr>
        </w:r>
        <w:r>
          <w:rPr>
            <w:noProof/>
            <w:webHidden/>
          </w:rPr>
          <w:fldChar w:fldCharType="separate"/>
        </w:r>
        <w:r>
          <w:rPr>
            <w:noProof/>
            <w:webHidden/>
          </w:rPr>
          <w:t>19</w:t>
        </w:r>
        <w:r>
          <w:rPr>
            <w:noProof/>
            <w:webHidden/>
          </w:rPr>
          <w:fldChar w:fldCharType="end"/>
        </w:r>
      </w:hyperlink>
    </w:p>
    <w:p w14:paraId="4CE3D208" w14:textId="0B12C531"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37" w:history="1">
        <w:r>
          <w:rPr>
            <w:rStyle w:val="Hyperlink"/>
            <w:noProof/>
            <w:sz w:val="24"/>
          </w:rPr>
          <w:t>Figure 3:</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Distribution of free allocation under the baseline for 2031-40</w:t>
        </w:r>
        <w:r>
          <w:rPr>
            <w:noProof/>
            <w:webHidden/>
          </w:rPr>
          <w:tab/>
        </w:r>
        <w:r>
          <w:rPr>
            <w:noProof/>
            <w:webHidden/>
          </w:rPr>
          <w:fldChar w:fldCharType="begin"/>
        </w:r>
        <w:r>
          <w:rPr>
            <w:noProof/>
            <w:webHidden/>
          </w:rPr>
          <w:instrText xml:space="preserve"> PAGEREF _Toc224659137 \h </w:instrText>
        </w:r>
        <w:r>
          <w:rPr>
            <w:noProof/>
            <w:webHidden/>
          </w:rPr>
        </w:r>
        <w:r>
          <w:rPr>
            <w:noProof/>
            <w:webHidden/>
          </w:rPr>
          <w:fldChar w:fldCharType="separate"/>
        </w:r>
        <w:r>
          <w:rPr>
            <w:noProof/>
            <w:webHidden/>
          </w:rPr>
          <w:t>21</w:t>
        </w:r>
        <w:r>
          <w:rPr>
            <w:noProof/>
            <w:webHidden/>
          </w:rPr>
          <w:fldChar w:fldCharType="end"/>
        </w:r>
      </w:hyperlink>
    </w:p>
    <w:p w14:paraId="5AFD576C" w14:textId="73689EE0"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38" w:history="1">
        <w:r>
          <w:rPr>
            <w:rStyle w:val="Hyperlink"/>
            <w:noProof/>
            <w:sz w:val="24"/>
          </w:rPr>
          <w:t>Figure 4:</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Distribution of free allocation under CL1 for 2031-40</w:t>
        </w:r>
        <w:r>
          <w:rPr>
            <w:noProof/>
            <w:webHidden/>
          </w:rPr>
          <w:tab/>
        </w:r>
        <w:r>
          <w:rPr>
            <w:noProof/>
            <w:webHidden/>
          </w:rPr>
          <w:fldChar w:fldCharType="begin"/>
        </w:r>
        <w:r>
          <w:rPr>
            <w:noProof/>
            <w:webHidden/>
          </w:rPr>
          <w:instrText xml:space="preserve"> PAGEREF _Toc224659138 \h </w:instrText>
        </w:r>
        <w:r>
          <w:rPr>
            <w:noProof/>
            <w:webHidden/>
          </w:rPr>
        </w:r>
        <w:r>
          <w:rPr>
            <w:noProof/>
            <w:webHidden/>
          </w:rPr>
          <w:fldChar w:fldCharType="separate"/>
        </w:r>
        <w:r>
          <w:rPr>
            <w:noProof/>
            <w:webHidden/>
          </w:rPr>
          <w:t>22</w:t>
        </w:r>
        <w:r>
          <w:rPr>
            <w:noProof/>
            <w:webHidden/>
          </w:rPr>
          <w:fldChar w:fldCharType="end"/>
        </w:r>
      </w:hyperlink>
    </w:p>
    <w:p w14:paraId="440FA4E6" w14:textId="1F72051F"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39" w:history="1">
        <w:r>
          <w:rPr>
            <w:rStyle w:val="Hyperlink"/>
            <w:noProof/>
            <w:sz w:val="24"/>
          </w:rPr>
          <w:t>Figure 5:</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Distribution of free allocation under CL2_90 for 2031-40</w:t>
        </w:r>
        <w:r>
          <w:rPr>
            <w:noProof/>
            <w:webHidden/>
          </w:rPr>
          <w:tab/>
        </w:r>
        <w:r>
          <w:rPr>
            <w:noProof/>
            <w:webHidden/>
          </w:rPr>
          <w:fldChar w:fldCharType="begin"/>
        </w:r>
        <w:r>
          <w:rPr>
            <w:noProof/>
            <w:webHidden/>
          </w:rPr>
          <w:instrText xml:space="preserve"> PAGEREF _Toc224659139 \h </w:instrText>
        </w:r>
        <w:r>
          <w:rPr>
            <w:noProof/>
            <w:webHidden/>
          </w:rPr>
        </w:r>
        <w:r>
          <w:rPr>
            <w:noProof/>
            <w:webHidden/>
          </w:rPr>
          <w:fldChar w:fldCharType="separate"/>
        </w:r>
        <w:r>
          <w:rPr>
            <w:noProof/>
            <w:webHidden/>
          </w:rPr>
          <w:t>23</w:t>
        </w:r>
        <w:r>
          <w:rPr>
            <w:noProof/>
            <w:webHidden/>
          </w:rPr>
          <w:fldChar w:fldCharType="end"/>
        </w:r>
      </w:hyperlink>
    </w:p>
    <w:p w14:paraId="2735DD27" w14:textId="1C9D6AC2"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0" w:history="1">
        <w:r>
          <w:rPr>
            <w:rStyle w:val="Hyperlink"/>
            <w:noProof/>
            <w:sz w:val="24"/>
          </w:rPr>
          <w:t>Figure 6:</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Distribution of free allocation under CL2_90 (CBAM variant) for 2031-40</w:t>
        </w:r>
        <w:r>
          <w:rPr>
            <w:noProof/>
            <w:webHidden/>
          </w:rPr>
          <w:tab/>
        </w:r>
        <w:r>
          <w:rPr>
            <w:noProof/>
            <w:webHidden/>
          </w:rPr>
          <w:fldChar w:fldCharType="begin"/>
        </w:r>
        <w:r>
          <w:rPr>
            <w:noProof/>
            <w:webHidden/>
          </w:rPr>
          <w:instrText xml:space="preserve"> PAGEREF _Toc224659140 \h </w:instrText>
        </w:r>
        <w:r>
          <w:rPr>
            <w:noProof/>
            <w:webHidden/>
          </w:rPr>
        </w:r>
        <w:r>
          <w:rPr>
            <w:noProof/>
            <w:webHidden/>
          </w:rPr>
          <w:fldChar w:fldCharType="separate"/>
        </w:r>
        <w:r>
          <w:rPr>
            <w:noProof/>
            <w:webHidden/>
          </w:rPr>
          <w:t>25</w:t>
        </w:r>
        <w:r>
          <w:rPr>
            <w:noProof/>
            <w:webHidden/>
          </w:rPr>
          <w:fldChar w:fldCharType="end"/>
        </w:r>
      </w:hyperlink>
    </w:p>
    <w:p w14:paraId="5871F397" w14:textId="727321EE"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1" w:history="1">
        <w:r>
          <w:rPr>
            <w:rStyle w:val="Hyperlink"/>
            <w:noProof/>
            <w:sz w:val="24"/>
          </w:rPr>
          <w:t>Figure 7:</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Distribution of free allocation under CL2_50 for 2031-40</w:t>
        </w:r>
        <w:r>
          <w:rPr>
            <w:noProof/>
            <w:webHidden/>
          </w:rPr>
          <w:tab/>
        </w:r>
        <w:r>
          <w:rPr>
            <w:noProof/>
            <w:webHidden/>
          </w:rPr>
          <w:fldChar w:fldCharType="begin"/>
        </w:r>
        <w:r>
          <w:rPr>
            <w:noProof/>
            <w:webHidden/>
          </w:rPr>
          <w:instrText xml:space="preserve"> PAGEREF _Toc224659141 \h </w:instrText>
        </w:r>
        <w:r>
          <w:rPr>
            <w:noProof/>
            <w:webHidden/>
          </w:rPr>
        </w:r>
        <w:r>
          <w:rPr>
            <w:noProof/>
            <w:webHidden/>
          </w:rPr>
          <w:fldChar w:fldCharType="separate"/>
        </w:r>
        <w:r>
          <w:rPr>
            <w:noProof/>
            <w:webHidden/>
          </w:rPr>
          <w:t>26</w:t>
        </w:r>
        <w:r>
          <w:rPr>
            <w:noProof/>
            <w:webHidden/>
          </w:rPr>
          <w:fldChar w:fldCharType="end"/>
        </w:r>
      </w:hyperlink>
    </w:p>
    <w:p w14:paraId="269ABA34" w14:textId="2D25D549"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2" w:history="1">
        <w:r>
          <w:rPr>
            <w:rStyle w:val="Hyperlink"/>
            <w:noProof/>
            <w:sz w:val="24"/>
          </w:rPr>
          <w:t>Figure 8:</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Distribution of free allocation based under CL3 for 2031-40</w:t>
        </w:r>
        <w:r>
          <w:rPr>
            <w:noProof/>
            <w:webHidden/>
          </w:rPr>
          <w:tab/>
        </w:r>
        <w:r>
          <w:rPr>
            <w:noProof/>
            <w:webHidden/>
          </w:rPr>
          <w:fldChar w:fldCharType="begin"/>
        </w:r>
        <w:r>
          <w:rPr>
            <w:noProof/>
            <w:webHidden/>
          </w:rPr>
          <w:instrText xml:space="preserve"> PAGEREF _Toc224659142 \h </w:instrText>
        </w:r>
        <w:r>
          <w:rPr>
            <w:noProof/>
            <w:webHidden/>
          </w:rPr>
        </w:r>
        <w:r>
          <w:rPr>
            <w:noProof/>
            <w:webHidden/>
          </w:rPr>
          <w:fldChar w:fldCharType="separate"/>
        </w:r>
        <w:r>
          <w:rPr>
            <w:noProof/>
            <w:webHidden/>
          </w:rPr>
          <w:t>28</w:t>
        </w:r>
        <w:r>
          <w:rPr>
            <w:noProof/>
            <w:webHidden/>
          </w:rPr>
          <w:fldChar w:fldCharType="end"/>
        </w:r>
      </w:hyperlink>
    </w:p>
    <w:p w14:paraId="18E62845" w14:textId="452C2B8D"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3" w:history="1">
        <w:r>
          <w:rPr>
            <w:rStyle w:val="Hyperlink"/>
            <w:noProof/>
            <w:sz w:val="24"/>
          </w:rPr>
          <w:t>Figure 9:</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comparison of indirect cost compensation and share of indirect emissions per Member State (2021-2023 average)</w:t>
        </w:r>
        <w:r>
          <w:rPr>
            <w:noProof/>
            <w:webHidden/>
          </w:rPr>
          <w:tab/>
        </w:r>
        <w:r>
          <w:rPr>
            <w:noProof/>
            <w:webHidden/>
          </w:rPr>
          <w:fldChar w:fldCharType="begin"/>
        </w:r>
        <w:r>
          <w:rPr>
            <w:noProof/>
            <w:webHidden/>
          </w:rPr>
          <w:instrText xml:space="preserve"> PAGEREF _Toc224659143 \h </w:instrText>
        </w:r>
        <w:r>
          <w:rPr>
            <w:noProof/>
            <w:webHidden/>
          </w:rPr>
        </w:r>
        <w:r>
          <w:rPr>
            <w:noProof/>
            <w:webHidden/>
          </w:rPr>
          <w:fldChar w:fldCharType="separate"/>
        </w:r>
        <w:r>
          <w:rPr>
            <w:noProof/>
            <w:webHidden/>
          </w:rPr>
          <w:t>33</w:t>
        </w:r>
        <w:r>
          <w:rPr>
            <w:noProof/>
            <w:webHidden/>
          </w:rPr>
          <w:fldChar w:fldCharType="end"/>
        </w:r>
      </w:hyperlink>
    </w:p>
    <w:p w14:paraId="50A3AE91" w14:textId="04E7A907"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4" w:history="1">
        <w:r>
          <w:rPr>
            <w:rStyle w:val="Hyperlink"/>
            <w:noProof/>
            <w:sz w:val="24"/>
          </w:rPr>
          <w:t>Figure 10:</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Share of sub-installations and emissions (average 2021-23) by category size in tCO2 for selected non-CBAM sectors</w:t>
        </w:r>
        <w:r>
          <w:rPr>
            <w:noProof/>
            <w:webHidden/>
          </w:rPr>
          <w:tab/>
        </w:r>
        <w:r>
          <w:rPr>
            <w:noProof/>
            <w:webHidden/>
          </w:rPr>
          <w:fldChar w:fldCharType="begin"/>
        </w:r>
        <w:r>
          <w:rPr>
            <w:noProof/>
            <w:webHidden/>
          </w:rPr>
          <w:instrText xml:space="preserve"> PAGEREF _Toc224659144 \h </w:instrText>
        </w:r>
        <w:r>
          <w:rPr>
            <w:noProof/>
            <w:webHidden/>
          </w:rPr>
        </w:r>
        <w:r>
          <w:rPr>
            <w:noProof/>
            <w:webHidden/>
          </w:rPr>
          <w:fldChar w:fldCharType="separate"/>
        </w:r>
        <w:r>
          <w:rPr>
            <w:noProof/>
            <w:webHidden/>
          </w:rPr>
          <w:t>38</w:t>
        </w:r>
        <w:r>
          <w:rPr>
            <w:noProof/>
            <w:webHidden/>
          </w:rPr>
          <w:fldChar w:fldCharType="end"/>
        </w:r>
      </w:hyperlink>
    </w:p>
    <w:p w14:paraId="326CBFCD" w14:textId="725A60CE"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5" w:history="1">
        <w:r>
          <w:rPr>
            <w:rStyle w:val="Hyperlink"/>
            <w:noProof/>
            <w:sz w:val="24"/>
          </w:rPr>
          <w:t>Figure 11:</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Share of sub-installations and emissions (average 2021-23) by category size in tCO2 for selected CBAM sectors</w:t>
        </w:r>
        <w:r>
          <w:rPr>
            <w:noProof/>
            <w:webHidden/>
          </w:rPr>
          <w:tab/>
        </w:r>
        <w:r>
          <w:rPr>
            <w:noProof/>
            <w:webHidden/>
          </w:rPr>
          <w:fldChar w:fldCharType="begin"/>
        </w:r>
        <w:r>
          <w:rPr>
            <w:noProof/>
            <w:webHidden/>
          </w:rPr>
          <w:instrText xml:space="preserve"> PAGEREF _Toc224659145 \h </w:instrText>
        </w:r>
        <w:r>
          <w:rPr>
            <w:noProof/>
            <w:webHidden/>
          </w:rPr>
        </w:r>
        <w:r>
          <w:rPr>
            <w:noProof/>
            <w:webHidden/>
          </w:rPr>
          <w:fldChar w:fldCharType="separate"/>
        </w:r>
        <w:r>
          <w:rPr>
            <w:noProof/>
            <w:webHidden/>
          </w:rPr>
          <w:t>39</w:t>
        </w:r>
        <w:r>
          <w:rPr>
            <w:noProof/>
            <w:webHidden/>
          </w:rPr>
          <w:fldChar w:fldCharType="end"/>
        </w:r>
      </w:hyperlink>
    </w:p>
    <w:p w14:paraId="1106EE1F" w14:textId="1C94EF7C"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6" w:history="1">
        <w:r>
          <w:rPr>
            <w:rStyle w:val="Hyperlink"/>
            <w:noProof/>
            <w:sz w:val="24"/>
          </w:rPr>
          <w:t>Figure 12:</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Share of installations and electricity consumption (average 2021-23) by category size in MWh/ year for selected sectors that are currently eligible for indirect cost compensation</w:t>
        </w:r>
        <w:r>
          <w:rPr>
            <w:noProof/>
            <w:webHidden/>
          </w:rPr>
          <w:tab/>
        </w:r>
        <w:r>
          <w:rPr>
            <w:noProof/>
            <w:webHidden/>
          </w:rPr>
          <w:fldChar w:fldCharType="begin"/>
        </w:r>
        <w:r>
          <w:rPr>
            <w:noProof/>
            <w:webHidden/>
          </w:rPr>
          <w:instrText xml:space="preserve"> PAGEREF _Toc224659146 \h </w:instrText>
        </w:r>
        <w:r>
          <w:rPr>
            <w:noProof/>
            <w:webHidden/>
          </w:rPr>
        </w:r>
        <w:r>
          <w:rPr>
            <w:noProof/>
            <w:webHidden/>
          </w:rPr>
          <w:fldChar w:fldCharType="separate"/>
        </w:r>
        <w:r>
          <w:rPr>
            <w:noProof/>
            <w:webHidden/>
          </w:rPr>
          <w:t>41</w:t>
        </w:r>
        <w:r>
          <w:rPr>
            <w:noProof/>
            <w:webHidden/>
          </w:rPr>
          <w:fldChar w:fldCharType="end"/>
        </w:r>
      </w:hyperlink>
    </w:p>
    <w:p w14:paraId="51E9DC26" w14:textId="552E2033"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7" w:history="1">
        <w:r>
          <w:rPr>
            <w:rStyle w:val="Hyperlink"/>
            <w:noProof/>
            <w:sz w:val="24"/>
          </w:rPr>
          <w:t>Figure 13:</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Estimated electricity price for large industrial consumers</w:t>
        </w:r>
        <w:r>
          <w:rPr>
            <w:noProof/>
            <w:webHidden/>
          </w:rPr>
          <w:tab/>
        </w:r>
        <w:r>
          <w:rPr>
            <w:noProof/>
            <w:webHidden/>
          </w:rPr>
          <w:fldChar w:fldCharType="begin"/>
        </w:r>
        <w:r>
          <w:rPr>
            <w:noProof/>
            <w:webHidden/>
          </w:rPr>
          <w:instrText xml:space="preserve"> PAGEREF _Toc224659147 \h </w:instrText>
        </w:r>
        <w:r>
          <w:rPr>
            <w:noProof/>
            <w:webHidden/>
          </w:rPr>
        </w:r>
        <w:r>
          <w:rPr>
            <w:noProof/>
            <w:webHidden/>
          </w:rPr>
          <w:fldChar w:fldCharType="separate"/>
        </w:r>
        <w:r>
          <w:rPr>
            <w:noProof/>
            <w:webHidden/>
          </w:rPr>
          <w:t>49</w:t>
        </w:r>
        <w:r>
          <w:rPr>
            <w:noProof/>
            <w:webHidden/>
          </w:rPr>
          <w:fldChar w:fldCharType="end"/>
        </w:r>
      </w:hyperlink>
    </w:p>
    <w:p w14:paraId="13AF8330" w14:textId="4A29388E"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8" w:history="1">
        <w:r>
          <w:rPr>
            <w:rStyle w:val="Hyperlink"/>
            <w:noProof/>
            <w:sz w:val="24"/>
          </w:rPr>
          <w:t>Figure 14:</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Proxy curve of emissions by capacity</w:t>
        </w:r>
        <w:r>
          <w:rPr>
            <w:noProof/>
            <w:webHidden/>
          </w:rPr>
          <w:tab/>
        </w:r>
        <w:r>
          <w:rPr>
            <w:noProof/>
            <w:webHidden/>
          </w:rPr>
          <w:fldChar w:fldCharType="begin"/>
        </w:r>
        <w:r>
          <w:rPr>
            <w:noProof/>
            <w:webHidden/>
          </w:rPr>
          <w:instrText xml:space="preserve"> PAGEREF _Toc224659148 \h </w:instrText>
        </w:r>
        <w:r>
          <w:rPr>
            <w:noProof/>
            <w:webHidden/>
          </w:rPr>
        </w:r>
        <w:r>
          <w:rPr>
            <w:noProof/>
            <w:webHidden/>
          </w:rPr>
          <w:fldChar w:fldCharType="separate"/>
        </w:r>
        <w:r>
          <w:rPr>
            <w:noProof/>
            <w:webHidden/>
          </w:rPr>
          <w:t>60</w:t>
        </w:r>
        <w:r>
          <w:rPr>
            <w:noProof/>
            <w:webHidden/>
          </w:rPr>
          <w:fldChar w:fldCharType="end"/>
        </w:r>
      </w:hyperlink>
    </w:p>
    <w:p w14:paraId="4F4872B2" w14:textId="7791429A"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49" w:history="1">
        <w:r>
          <w:rPr>
            <w:rStyle w:val="Hyperlink"/>
            <w:noProof/>
            <w:sz w:val="24"/>
          </w:rPr>
          <w:t>Figure 15:</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Distribution of installations by capacity</w:t>
        </w:r>
        <w:r>
          <w:rPr>
            <w:noProof/>
            <w:webHidden/>
          </w:rPr>
          <w:tab/>
        </w:r>
        <w:r>
          <w:rPr>
            <w:noProof/>
            <w:webHidden/>
          </w:rPr>
          <w:fldChar w:fldCharType="begin"/>
        </w:r>
        <w:r>
          <w:rPr>
            <w:noProof/>
            <w:webHidden/>
          </w:rPr>
          <w:instrText xml:space="preserve"> PAGEREF _Toc224659149 \h </w:instrText>
        </w:r>
        <w:r>
          <w:rPr>
            <w:noProof/>
            <w:webHidden/>
          </w:rPr>
        </w:r>
        <w:r>
          <w:rPr>
            <w:noProof/>
            <w:webHidden/>
          </w:rPr>
          <w:fldChar w:fldCharType="separate"/>
        </w:r>
        <w:r>
          <w:rPr>
            <w:noProof/>
            <w:webHidden/>
          </w:rPr>
          <w:t>62</w:t>
        </w:r>
        <w:r>
          <w:rPr>
            <w:noProof/>
            <w:webHidden/>
          </w:rPr>
          <w:fldChar w:fldCharType="end"/>
        </w:r>
      </w:hyperlink>
    </w:p>
    <w:p w14:paraId="29650197" w14:textId="305F68CB"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50" w:history="1">
        <w:r>
          <w:rPr>
            <w:rStyle w:val="Hyperlink"/>
            <w:noProof/>
            <w:sz w:val="24"/>
          </w:rPr>
          <w:t>Figure 16:</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Administration fees for operators and competent authorities by installation capacity</w:t>
        </w:r>
        <w:r>
          <w:rPr>
            <w:noProof/>
            <w:webHidden/>
          </w:rPr>
          <w:tab/>
        </w:r>
        <w:r>
          <w:rPr>
            <w:noProof/>
            <w:webHidden/>
          </w:rPr>
          <w:fldChar w:fldCharType="begin"/>
        </w:r>
        <w:r>
          <w:rPr>
            <w:noProof/>
            <w:webHidden/>
          </w:rPr>
          <w:instrText xml:space="preserve"> PAGEREF _Toc224659150 \h </w:instrText>
        </w:r>
        <w:r>
          <w:rPr>
            <w:noProof/>
            <w:webHidden/>
          </w:rPr>
        </w:r>
        <w:r>
          <w:rPr>
            <w:noProof/>
            <w:webHidden/>
          </w:rPr>
          <w:fldChar w:fldCharType="separate"/>
        </w:r>
        <w:r>
          <w:rPr>
            <w:noProof/>
            <w:webHidden/>
          </w:rPr>
          <w:t>64</w:t>
        </w:r>
        <w:r>
          <w:rPr>
            <w:noProof/>
            <w:webHidden/>
          </w:rPr>
          <w:fldChar w:fldCharType="end"/>
        </w:r>
      </w:hyperlink>
    </w:p>
    <w:p w14:paraId="22FAB90D" w14:textId="698A9C7F"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51" w:history="1">
        <w:r>
          <w:rPr>
            <w:rStyle w:val="Hyperlink"/>
            <w:noProof/>
            <w:sz w:val="24"/>
          </w:rPr>
          <w:t>Figure 17:</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Overview sector activities that make up the EU ETS baseline</w:t>
        </w:r>
        <w:r>
          <w:rPr>
            <w:noProof/>
            <w:webHidden/>
          </w:rPr>
          <w:tab/>
        </w:r>
        <w:r>
          <w:rPr>
            <w:noProof/>
            <w:webHidden/>
          </w:rPr>
          <w:fldChar w:fldCharType="begin"/>
        </w:r>
        <w:r>
          <w:rPr>
            <w:noProof/>
            <w:webHidden/>
          </w:rPr>
          <w:instrText xml:space="preserve"> PAGEREF _Toc224659151 \h </w:instrText>
        </w:r>
        <w:r>
          <w:rPr>
            <w:noProof/>
            <w:webHidden/>
          </w:rPr>
        </w:r>
        <w:r>
          <w:rPr>
            <w:noProof/>
            <w:webHidden/>
          </w:rPr>
          <w:fldChar w:fldCharType="separate"/>
        </w:r>
        <w:r>
          <w:rPr>
            <w:noProof/>
            <w:webHidden/>
          </w:rPr>
          <w:t>65</w:t>
        </w:r>
        <w:r>
          <w:rPr>
            <w:noProof/>
            <w:webHidden/>
          </w:rPr>
          <w:fldChar w:fldCharType="end"/>
        </w:r>
      </w:hyperlink>
    </w:p>
    <w:p w14:paraId="0799EE3C" w14:textId="4CB9AD1D"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52" w:history="1">
        <w:r>
          <w:rPr>
            <w:rStyle w:val="Hyperlink"/>
            <w:noProof/>
            <w:sz w:val="24"/>
          </w:rPr>
          <w:t>Figure 18:</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Number of installations by capacity (2019)</w:t>
        </w:r>
        <w:r>
          <w:rPr>
            <w:noProof/>
            <w:webHidden/>
          </w:rPr>
          <w:tab/>
        </w:r>
        <w:r>
          <w:rPr>
            <w:noProof/>
            <w:webHidden/>
          </w:rPr>
          <w:fldChar w:fldCharType="begin"/>
        </w:r>
        <w:r>
          <w:rPr>
            <w:noProof/>
            <w:webHidden/>
          </w:rPr>
          <w:instrText xml:space="preserve"> PAGEREF _Toc224659152 \h </w:instrText>
        </w:r>
        <w:r>
          <w:rPr>
            <w:noProof/>
            <w:webHidden/>
          </w:rPr>
        </w:r>
        <w:r>
          <w:rPr>
            <w:noProof/>
            <w:webHidden/>
          </w:rPr>
          <w:fldChar w:fldCharType="separate"/>
        </w:r>
        <w:r>
          <w:rPr>
            <w:noProof/>
            <w:webHidden/>
          </w:rPr>
          <w:t>66</w:t>
        </w:r>
        <w:r>
          <w:rPr>
            <w:noProof/>
            <w:webHidden/>
          </w:rPr>
          <w:fldChar w:fldCharType="end"/>
        </w:r>
      </w:hyperlink>
    </w:p>
    <w:p w14:paraId="3755245A" w14:textId="660E339A"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53" w:history="1">
        <w:r>
          <w:rPr>
            <w:rStyle w:val="Hyperlink"/>
            <w:noProof/>
            <w:sz w:val="24"/>
          </w:rPr>
          <w:t>Figure 19:</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Annual emissions from &lt;20 MW installations</w:t>
        </w:r>
        <w:r>
          <w:rPr>
            <w:noProof/>
            <w:webHidden/>
          </w:rPr>
          <w:tab/>
        </w:r>
        <w:r>
          <w:rPr>
            <w:noProof/>
            <w:webHidden/>
          </w:rPr>
          <w:fldChar w:fldCharType="begin"/>
        </w:r>
        <w:r>
          <w:rPr>
            <w:noProof/>
            <w:webHidden/>
          </w:rPr>
          <w:instrText xml:space="preserve"> PAGEREF _Toc224659153 \h </w:instrText>
        </w:r>
        <w:r>
          <w:rPr>
            <w:noProof/>
            <w:webHidden/>
          </w:rPr>
        </w:r>
        <w:r>
          <w:rPr>
            <w:noProof/>
            <w:webHidden/>
          </w:rPr>
          <w:fldChar w:fldCharType="separate"/>
        </w:r>
        <w:r>
          <w:rPr>
            <w:noProof/>
            <w:webHidden/>
          </w:rPr>
          <w:t>66</w:t>
        </w:r>
        <w:r>
          <w:rPr>
            <w:noProof/>
            <w:webHidden/>
          </w:rPr>
          <w:fldChar w:fldCharType="end"/>
        </w:r>
      </w:hyperlink>
    </w:p>
    <w:p w14:paraId="58605F25" w14:textId="78D0D68E" w:rsidR="006D3221" w:rsidRPr="00DD5FD7" w:rsidRDefault="006D3221">
      <w:pPr>
        <w:pStyle w:val="TableofFigures"/>
        <w:tabs>
          <w:tab w:val="left" w:pos="1418"/>
          <w:tab w:val="right" w:leader="dot" w:pos="9628"/>
        </w:tabs>
        <w:rPr>
          <w:rFonts w:asciiTheme="minorHAnsi" w:eastAsiaTheme="minorEastAsia" w:hAnsiTheme="minorHAnsi" w:cstheme="minorBidi"/>
          <w:noProof/>
          <w:color w:val="auto"/>
          <w:kern w:val="2"/>
          <w:lang w:val="en-IE" w:eastAsia="en-IE"/>
          <w14:ligatures w14:val="standardContextual"/>
        </w:rPr>
      </w:pPr>
      <w:hyperlink w:anchor="_Toc224659154" w:history="1">
        <w:r>
          <w:rPr>
            <w:rStyle w:val="Hyperlink"/>
            <w:noProof/>
            <w:sz w:val="24"/>
          </w:rPr>
          <w:t>Figure 20:</w:t>
        </w:r>
        <w:r>
          <w:rPr>
            <w:rFonts w:asciiTheme="minorHAnsi" w:eastAsiaTheme="minorEastAsia" w:hAnsiTheme="minorHAnsi" w:cstheme="minorBidi"/>
            <w:noProof/>
            <w:color w:val="auto"/>
            <w:kern w:val="2"/>
            <w:lang w:val="en-IE" w:eastAsia="en-IE"/>
            <w14:ligatures w14:val="standardContextual"/>
          </w:rPr>
          <w:tab/>
        </w:r>
        <w:r>
          <w:rPr>
            <w:rStyle w:val="Hyperlink"/>
            <w:noProof/>
            <w:sz w:val="24"/>
          </w:rPr>
          <w:t>Emissions by installation capacity</w:t>
        </w:r>
        <w:r>
          <w:rPr>
            <w:noProof/>
            <w:webHidden/>
          </w:rPr>
          <w:tab/>
        </w:r>
        <w:r>
          <w:rPr>
            <w:noProof/>
            <w:webHidden/>
          </w:rPr>
          <w:fldChar w:fldCharType="begin"/>
        </w:r>
        <w:r>
          <w:rPr>
            <w:noProof/>
            <w:webHidden/>
          </w:rPr>
          <w:instrText xml:space="preserve"> PAGEREF _Toc224659154 \h </w:instrText>
        </w:r>
        <w:r>
          <w:rPr>
            <w:noProof/>
            <w:webHidden/>
          </w:rPr>
        </w:r>
        <w:r>
          <w:rPr>
            <w:noProof/>
            <w:webHidden/>
          </w:rPr>
          <w:fldChar w:fldCharType="separate"/>
        </w:r>
        <w:r>
          <w:rPr>
            <w:noProof/>
            <w:webHidden/>
          </w:rPr>
          <w:t>67</w:t>
        </w:r>
        <w:r>
          <w:rPr>
            <w:noProof/>
            <w:webHidden/>
          </w:rPr>
          <w:fldChar w:fldCharType="end"/>
        </w:r>
      </w:hyperlink>
    </w:p>
    <w:p w14:paraId="503FA521" w14:textId="042EEF1A" w:rsidR="00534C1A" w:rsidRPr="000653A9" w:rsidRDefault="003204F6" w:rsidP="00534C1A">
      <w:pPr>
        <w:rPr>
          <w:rStyle w:val="BookTitle"/>
          <w:rFonts w:ascii="Times New Roman" w:hAnsi="Times New Roman" w:cs="Times New Roman"/>
          <w:b w:val="0"/>
          <w:bCs w:val="0"/>
          <w:i w:val="0"/>
          <w:iCs w:val="0"/>
          <w:noProof/>
        </w:rPr>
      </w:pPr>
      <w:r>
        <w:rPr>
          <w:rStyle w:val="BookTitle"/>
          <w:rFonts w:ascii="Times New Roman" w:hAnsi="Times New Roman" w:cs="Times New Roman"/>
          <w:b w:val="0"/>
          <w:bCs w:val="0"/>
          <w:i w:val="0"/>
          <w:iCs w:val="0"/>
          <w:noProof/>
        </w:rPr>
        <w:fldChar w:fldCharType="end"/>
      </w:r>
    </w:p>
    <w:p w14:paraId="3557219F" w14:textId="2A34C08F" w:rsidR="00534C1A" w:rsidRPr="000653A9" w:rsidRDefault="00534C1A" w:rsidP="00534C1A">
      <w:pPr>
        <w:rPr>
          <w:rStyle w:val="BookTitle"/>
          <w:rFonts w:ascii="Times New Roman" w:hAnsi="Times New Roman" w:cs="Times New Roman"/>
          <w:b w:val="0"/>
          <w:bCs w:val="0"/>
          <w:i w:val="0"/>
          <w:iCs w:val="0"/>
          <w:noProof/>
        </w:rPr>
      </w:pPr>
    </w:p>
    <w:p w14:paraId="1041A1CB" w14:textId="3C8B8923" w:rsidR="00A358C3" w:rsidRPr="000653A9" w:rsidRDefault="00A358C3" w:rsidP="005B4918">
      <w:pPr>
        <w:rPr>
          <w:rStyle w:val="BookTitle"/>
          <w:rFonts w:ascii="Times New Roman" w:eastAsiaTheme="majorEastAsia" w:hAnsi="Times New Roman" w:cs="Times New Roman"/>
          <w:i w:val="0"/>
          <w:iCs w:val="0"/>
          <w:noProof/>
          <w:color w:val="auto"/>
          <w:kern w:val="28"/>
          <w:sz w:val="36"/>
          <w:szCs w:val="36"/>
          <w:lang w:eastAsia="en-GB"/>
        </w:rPr>
      </w:pPr>
      <w:r w:rsidRPr="000653A9">
        <w:rPr>
          <w:rStyle w:val="BookTitle"/>
          <w:rFonts w:ascii="Times New Roman" w:hAnsi="Times New Roman" w:cs="Times New Roman"/>
          <w:i w:val="0"/>
          <w:iCs w:val="0"/>
          <w:caps/>
          <w:noProof/>
          <w:color w:val="auto"/>
          <w:sz w:val="36"/>
          <w:szCs w:val="36"/>
        </w:rPr>
        <w:br w:type="page"/>
      </w:r>
    </w:p>
    <w:p w14:paraId="56172417" w14:textId="03813E59" w:rsidR="00750B11" w:rsidRPr="000653A9" w:rsidRDefault="007C5311" w:rsidP="00A358C3">
      <w:pPr>
        <w:pStyle w:val="Title"/>
        <w:pBdr>
          <w:bottom w:val="none" w:sz="0" w:space="0" w:color="auto"/>
        </w:pBdr>
        <w:jc w:val="center"/>
        <w:rPr>
          <w:rStyle w:val="BookTitle"/>
          <w:rFonts w:ascii="Times New Roman" w:hAnsi="Times New Roman" w:cs="Times New Roman"/>
          <w:i w:val="0"/>
          <w:noProof/>
          <w:color w:val="auto"/>
          <w:sz w:val="36"/>
          <w:szCs w:val="36"/>
        </w:rPr>
      </w:pPr>
      <w:r w:rsidRPr="000653A9">
        <w:rPr>
          <w:rStyle w:val="BookTitle"/>
          <w:rFonts w:ascii="Times New Roman" w:hAnsi="Times New Roman" w:cs="Times New Roman"/>
          <w:i w:val="0"/>
          <w:iCs w:val="0"/>
          <w:caps w:val="0"/>
          <w:noProof/>
          <w:color w:val="auto"/>
          <w:sz w:val="36"/>
          <w:szCs w:val="36"/>
        </w:rPr>
        <w:t>Carbon Leakage</w:t>
      </w:r>
      <w:r w:rsidR="00A13631" w:rsidRPr="000653A9">
        <w:rPr>
          <w:rStyle w:val="BookTitle"/>
          <w:rFonts w:ascii="Times New Roman" w:hAnsi="Times New Roman" w:cs="Times New Roman"/>
          <w:i w:val="0"/>
          <w:caps w:val="0"/>
          <w:noProof/>
          <w:color w:val="auto"/>
          <w:sz w:val="36"/>
          <w:szCs w:val="36"/>
        </w:rPr>
        <w:t xml:space="preserve"> and 20 MW</w:t>
      </w:r>
    </w:p>
    <w:p w14:paraId="046B0129" w14:textId="4519E7FF" w:rsidR="00B23EEB" w:rsidRPr="000653A9" w:rsidRDefault="00B23EEB" w:rsidP="009539AB">
      <w:pPr>
        <w:pStyle w:val="Heading1COM"/>
        <w:outlineLvl w:val="1"/>
        <w:rPr>
          <w:noProof/>
        </w:rPr>
      </w:pPr>
      <w:bookmarkStart w:id="9" w:name="_Toc211518725"/>
      <w:bookmarkStart w:id="10" w:name="_Toc212049684"/>
      <w:bookmarkStart w:id="11" w:name="_Ref212623114"/>
      <w:bookmarkStart w:id="12" w:name="_Toc230857886"/>
      <w:bookmarkStart w:id="13" w:name="_Toc232751077"/>
      <w:bookmarkEnd w:id="1"/>
      <w:r w:rsidRPr="000653A9">
        <w:rPr>
          <w:noProof/>
        </w:rPr>
        <w:t>Carbon Leakage</w:t>
      </w:r>
      <w:bookmarkEnd w:id="9"/>
      <w:bookmarkEnd w:id="10"/>
      <w:bookmarkEnd w:id="11"/>
      <w:bookmarkEnd w:id="12"/>
      <w:bookmarkEnd w:id="13"/>
    </w:p>
    <w:p w14:paraId="2568377B" w14:textId="118DCD5F" w:rsidR="00DC63F8" w:rsidRPr="000653A9" w:rsidRDefault="000D2D45" w:rsidP="009539AB">
      <w:pPr>
        <w:pStyle w:val="Heading2COM"/>
        <w:outlineLvl w:val="2"/>
        <w15:collapsed w:val="0"/>
        <w:rPr>
          <w:noProof/>
        </w:rPr>
      </w:pPr>
      <w:bookmarkStart w:id="14" w:name="_Toc199745995"/>
      <w:bookmarkStart w:id="15" w:name="_Toc199745996"/>
      <w:bookmarkStart w:id="16" w:name="_Toc199745997"/>
      <w:bookmarkStart w:id="17" w:name="_Toc199745998"/>
      <w:bookmarkStart w:id="18" w:name="_Toc199745999"/>
      <w:bookmarkStart w:id="19" w:name="_Toc199746000"/>
      <w:bookmarkStart w:id="20" w:name="_Toc199746001"/>
      <w:bookmarkStart w:id="21" w:name="_Toc199746002"/>
      <w:bookmarkStart w:id="22" w:name="_Toc199746003"/>
      <w:bookmarkStart w:id="23" w:name="_Toc199746004"/>
      <w:bookmarkStart w:id="24" w:name="_Toc199746005"/>
      <w:bookmarkStart w:id="25" w:name="_Toc199746006"/>
      <w:bookmarkStart w:id="26" w:name="_Toc199746007"/>
      <w:bookmarkStart w:id="27" w:name="_Toc199746008"/>
      <w:bookmarkStart w:id="28" w:name="_Toc199746009"/>
      <w:bookmarkStart w:id="29" w:name="_Toc199746010"/>
      <w:bookmarkStart w:id="30" w:name="_Toc199746011"/>
      <w:bookmarkStart w:id="31" w:name="_Toc199746012"/>
      <w:bookmarkStart w:id="32" w:name="_Toc199746013"/>
      <w:bookmarkStart w:id="33" w:name="_Toc199746014"/>
      <w:bookmarkStart w:id="34" w:name="_Toc199746015"/>
      <w:bookmarkStart w:id="35" w:name="_Toc199746016"/>
      <w:bookmarkStart w:id="36" w:name="_Toc199746017"/>
      <w:bookmarkStart w:id="37" w:name="_Toc199746018"/>
      <w:bookmarkStart w:id="38" w:name="_Toc199746019"/>
      <w:bookmarkStart w:id="39" w:name="_Toc199746020"/>
      <w:bookmarkStart w:id="40" w:name="_Toc199746021"/>
      <w:bookmarkStart w:id="41" w:name="_Toc199746022"/>
      <w:bookmarkStart w:id="42" w:name="_Toc199746023"/>
      <w:bookmarkStart w:id="43" w:name="_Toc199746024"/>
      <w:bookmarkStart w:id="44" w:name="_Toc199746025"/>
      <w:bookmarkStart w:id="45" w:name="_Toc199746026"/>
      <w:bookmarkStart w:id="46" w:name="_Toc199746027"/>
      <w:bookmarkStart w:id="47" w:name="_Toc199746028"/>
      <w:bookmarkStart w:id="48" w:name="_Toc199746029"/>
      <w:bookmarkStart w:id="49" w:name="_Toc199746030"/>
      <w:bookmarkStart w:id="50" w:name="_Toc199746031"/>
      <w:bookmarkStart w:id="51" w:name="_Toc199746032"/>
      <w:bookmarkStart w:id="52" w:name="_Toc199746033"/>
      <w:bookmarkStart w:id="53" w:name="_Toc199746034"/>
      <w:bookmarkStart w:id="54" w:name="_Toc199746035"/>
      <w:bookmarkStart w:id="55" w:name="_Toc199746036"/>
      <w:bookmarkStart w:id="56" w:name="_Toc199746037"/>
      <w:bookmarkStart w:id="57" w:name="_Toc199746038"/>
      <w:bookmarkStart w:id="58" w:name="_Toc199746039"/>
      <w:bookmarkStart w:id="59" w:name="_Toc199746040"/>
      <w:bookmarkStart w:id="60" w:name="_Toc199746041"/>
      <w:bookmarkStart w:id="61" w:name="_Toc199746042"/>
      <w:bookmarkStart w:id="62" w:name="_Toc199746043"/>
      <w:bookmarkStart w:id="63" w:name="_Toc199746044"/>
      <w:bookmarkStart w:id="64" w:name="_Toc199746045"/>
      <w:bookmarkStart w:id="65" w:name="_Toc199746046"/>
      <w:bookmarkStart w:id="66" w:name="_Toc199746047"/>
      <w:bookmarkStart w:id="67" w:name="_Toc199746048"/>
      <w:bookmarkStart w:id="68" w:name="_Toc199746049"/>
      <w:bookmarkStart w:id="69" w:name="_Toc199746050"/>
      <w:bookmarkStart w:id="70" w:name="_Toc199746051"/>
      <w:bookmarkStart w:id="71" w:name="_Toc199746052"/>
      <w:bookmarkStart w:id="72" w:name="_Toc199746053"/>
      <w:bookmarkStart w:id="73" w:name="_Toc199746054"/>
      <w:bookmarkStart w:id="74" w:name="_Toc199746055"/>
      <w:bookmarkStart w:id="75" w:name="_Toc199746056"/>
      <w:bookmarkStart w:id="76" w:name="_Toc199746057"/>
      <w:bookmarkStart w:id="77" w:name="_Toc199746058"/>
      <w:bookmarkStart w:id="78" w:name="_Toc199746059"/>
      <w:bookmarkStart w:id="79" w:name="_Toc199746060"/>
      <w:bookmarkStart w:id="80" w:name="_Toc199746061"/>
      <w:bookmarkStart w:id="81" w:name="_Toc199746062"/>
      <w:bookmarkStart w:id="82" w:name="_Toc199746063"/>
      <w:bookmarkStart w:id="83" w:name="_Toc199746064"/>
      <w:bookmarkStart w:id="84" w:name="_Toc199746065"/>
      <w:bookmarkStart w:id="85" w:name="_Toc199746066"/>
      <w:bookmarkStart w:id="86" w:name="_Toc199746067"/>
      <w:bookmarkStart w:id="87" w:name="_Toc199746068"/>
      <w:bookmarkStart w:id="88" w:name="_Toc199746069"/>
      <w:bookmarkStart w:id="89" w:name="_Toc199746070"/>
      <w:bookmarkStart w:id="90" w:name="_Toc199746071"/>
      <w:bookmarkStart w:id="91" w:name="_Toc199746072"/>
      <w:bookmarkStart w:id="92" w:name="_Toc199746073"/>
      <w:bookmarkStart w:id="93" w:name="_Toc199746074"/>
      <w:bookmarkStart w:id="94" w:name="_Toc199746075"/>
      <w:bookmarkStart w:id="95" w:name="_Toc199746076"/>
      <w:bookmarkStart w:id="96" w:name="_Toc199746077"/>
      <w:bookmarkStart w:id="97" w:name="_Toc199746078"/>
      <w:bookmarkStart w:id="98" w:name="_Toc199746079"/>
      <w:bookmarkStart w:id="99" w:name="_Toc199746080"/>
      <w:bookmarkStart w:id="100" w:name="_Toc199746081"/>
      <w:bookmarkStart w:id="101" w:name="_Toc199746082"/>
      <w:bookmarkStart w:id="102" w:name="_Toc199746083"/>
      <w:bookmarkStart w:id="103" w:name="_Toc199746084"/>
      <w:bookmarkStart w:id="104" w:name="_Toc199746085"/>
      <w:bookmarkStart w:id="105" w:name="_Toc199746086"/>
      <w:bookmarkStart w:id="106" w:name="_Toc199746087"/>
      <w:bookmarkStart w:id="107" w:name="_Toc199746088"/>
      <w:bookmarkStart w:id="108" w:name="_Toc199746089"/>
      <w:bookmarkStart w:id="109" w:name="_Toc199746090"/>
      <w:bookmarkStart w:id="110" w:name="_Toc199746091"/>
      <w:bookmarkStart w:id="111" w:name="_Toc199746092"/>
      <w:bookmarkStart w:id="112" w:name="_Toc199746093"/>
      <w:bookmarkStart w:id="113" w:name="_Toc199746094"/>
      <w:bookmarkStart w:id="114" w:name="_Toc199746095"/>
      <w:bookmarkStart w:id="115" w:name="_Toc199746096"/>
      <w:bookmarkStart w:id="116" w:name="_Toc199746097"/>
      <w:bookmarkStart w:id="117" w:name="_Toc199746098"/>
      <w:bookmarkStart w:id="118" w:name="_Toc199746099"/>
      <w:bookmarkStart w:id="119" w:name="_Toc199746100"/>
      <w:bookmarkStart w:id="120" w:name="_Toc199746101"/>
      <w:bookmarkStart w:id="121" w:name="_Toc199746102"/>
      <w:bookmarkStart w:id="122" w:name="_Toc199746103"/>
      <w:bookmarkStart w:id="123" w:name="_Toc199746104"/>
      <w:bookmarkStart w:id="124" w:name="_Toc199746105"/>
      <w:bookmarkStart w:id="125" w:name="_Toc199746106"/>
      <w:bookmarkStart w:id="126" w:name="_Toc199746107"/>
      <w:bookmarkStart w:id="127" w:name="_Toc199746108"/>
      <w:bookmarkStart w:id="128" w:name="_Toc199746109"/>
      <w:bookmarkStart w:id="129" w:name="_Toc199746110"/>
      <w:bookmarkStart w:id="130" w:name="_Toc199746111"/>
      <w:bookmarkStart w:id="131" w:name="_Toc199746112"/>
      <w:bookmarkStart w:id="132" w:name="_Toc199746113"/>
      <w:bookmarkStart w:id="133" w:name="_Toc199746114"/>
      <w:bookmarkStart w:id="134" w:name="_Toc199746115"/>
      <w:bookmarkStart w:id="135" w:name="_Toc199746116"/>
      <w:bookmarkStart w:id="136" w:name="_Toc199746117"/>
      <w:bookmarkStart w:id="137" w:name="_Toc199746118"/>
      <w:bookmarkStart w:id="138" w:name="_Toc199746119"/>
      <w:bookmarkStart w:id="139" w:name="_Toc199746120"/>
      <w:bookmarkStart w:id="140" w:name="_Toc199746121"/>
      <w:bookmarkStart w:id="141" w:name="_Toc199746122"/>
      <w:bookmarkStart w:id="142" w:name="_Toc199746123"/>
      <w:bookmarkStart w:id="143" w:name="_Toc199746124"/>
      <w:bookmarkStart w:id="144" w:name="_Toc199746125"/>
      <w:bookmarkStart w:id="145" w:name="_Toc199746126"/>
      <w:bookmarkStart w:id="146" w:name="_Toc199746127"/>
      <w:bookmarkStart w:id="147" w:name="_Toc199746128"/>
      <w:bookmarkStart w:id="148" w:name="_Toc199746129"/>
      <w:bookmarkStart w:id="149" w:name="_Toc199746130"/>
      <w:bookmarkStart w:id="150" w:name="_Toc199746131"/>
      <w:bookmarkStart w:id="151" w:name="_Toc199746132"/>
      <w:bookmarkStart w:id="152" w:name="_Toc199746133"/>
      <w:bookmarkStart w:id="153" w:name="_Toc199746134"/>
      <w:bookmarkStart w:id="154" w:name="_Toc199746135"/>
      <w:bookmarkStart w:id="155" w:name="_Toc199746136"/>
      <w:bookmarkStart w:id="156" w:name="_Toc199746137"/>
      <w:bookmarkStart w:id="157" w:name="_Toc199746138"/>
      <w:bookmarkStart w:id="158" w:name="_Toc199746139"/>
      <w:bookmarkStart w:id="159" w:name="_Toc199746140"/>
      <w:bookmarkStart w:id="160" w:name="_Toc199746141"/>
      <w:bookmarkStart w:id="161" w:name="_Toc199746142"/>
      <w:bookmarkStart w:id="162" w:name="_Toc199746143"/>
      <w:bookmarkStart w:id="163" w:name="_Toc199746144"/>
      <w:bookmarkStart w:id="164" w:name="_Toc199746145"/>
      <w:bookmarkStart w:id="165" w:name="_Toc199746146"/>
      <w:bookmarkStart w:id="166" w:name="_Toc199746147"/>
      <w:bookmarkStart w:id="167" w:name="_Toc199746148"/>
      <w:bookmarkStart w:id="168" w:name="_Toc199746149"/>
      <w:bookmarkStart w:id="169" w:name="_Toc199746150"/>
      <w:bookmarkStart w:id="170" w:name="_Toc199746151"/>
      <w:bookmarkStart w:id="171" w:name="_Toc199746152"/>
      <w:bookmarkStart w:id="172" w:name="_Toc199746153"/>
      <w:bookmarkStart w:id="173" w:name="_Toc199746154"/>
      <w:bookmarkStart w:id="174" w:name="_Toc199746155"/>
      <w:bookmarkStart w:id="175" w:name="_Toc199746156"/>
      <w:bookmarkStart w:id="176" w:name="_Toc199746157"/>
      <w:bookmarkStart w:id="177" w:name="_Toc199746158"/>
      <w:bookmarkStart w:id="178" w:name="_Toc199746159"/>
      <w:bookmarkStart w:id="179" w:name="_Toc199746160"/>
      <w:bookmarkStart w:id="180" w:name="_Toc199746161"/>
      <w:bookmarkStart w:id="181" w:name="_Toc199746162"/>
      <w:bookmarkStart w:id="182" w:name="_Toc199746163"/>
      <w:bookmarkStart w:id="183" w:name="_Toc199746164"/>
      <w:bookmarkStart w:id="184" w:name="_Toc199746165"/>
      <w:bookmarkStart w:id="185" w:name="_Toc199746166"/>
      <w:bookmarkStart w:id="186" w:name="_Toc199746167"/>
      <w:bookmarkStart w:id="187" w:name="_Toc199746168"/>
      <w:bookmarkStart w:id="188" w:name="_Toc199746169"/>
      <w:bookmarkStart w:id="189" w:name="_Toc199746170"/>
      <w:bookmarkStart w:id="190" w:name="_Toc199746171"/>
      <w:bookmarkStart w:id="191" w:name="_Toc199746172"/>
      <w:bookmarkStart w:id="192" w:name="_Toc199746173"/>
      <w:bookmarkStart w:id="193" w:name="_Toc199746174"/>
      <w:bookmarkStart w:id="194" w:name="_Toc199746175"/>
      <w:bookmarkStart w:id="195" w:name="_Toc199746176"/>
      <w:bookmarkStart w:id="196" w:name="_Toc199746177"/>
      <w:bookmarkStart w:id="197" w:name="_Toc199746178"/>
      <w:bookmarkStart w:id="198" w:name="_Toc199746179"/>
      <w:bookmarkStart w:id="199" w:name="_Toc199746180"/>
      <w:bookmarkStart w:id="200" w:name="_Toc199746181"/>
      <w:bookmarkStart w:id="201" w:name="_Toc199746182"/>
      <w:bookmarkStart w:id="202" w:name="_Toc199746183"/>
      <w:bookmarkStart w:id="203" w:name="_bookmark0"/>
      <w:bookmarkStart w:id="204" w:name="_Toc199746184"/>
      <w:bookmarkStart w:id="205" w:name="_Toc199746185"/>
      <w:bookmarkStart w:id="206" w:name="_Toc199746186"/>
      <w:bookmarkStart w:id="207" w:name="_Toc199746187"/>
      <w:bookmarkStart w:id="208" w:name="_Toc199746188"/>
      <w:bookmarkStart w:id="209" w:name="_Toc199746189"/>
      <w:bookmarkStart w:id="210" w:name="_Toc199512018"/>
      <w:bookmarkStart w:id="211" w:name="_Toc199738208"/>
      <w:bookmarkStart w:id="212" w:name="_Toc199746190"/>
      <w:bookmarkStart w:id="213" w:name="_Toc199512019"/>
      <w:bookmarkStart w:id="214" w:name="_Toc199738209"/>
      <w:bookmarkStart w:id="215" w:name="_Toc199746191"/>
      <w:bookmarkStart w:id="216" w:name="_Toc204154643"/>
      <w:bookmarkStart w:id="217" w:name="_Toc211518726"/>
      <w:bookmarkStart w:id="218" w:name="_Ref199742311"/>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noProof/>
        </w:rPr>
        <w:t xml:space="preserve"> </w:t>
      </w:r>
      <w:bookmarkStart w:id="219" w:name="_Toc212049685"/>
      <w:bookmarkStart w:id="220" w:name="_Toc230857887"/>
      <w:bookmarkStart w:id="221" w:name="_Toc232751078"/>
      <w:r w:rsidR="00DC63F8">
        <w:rPr>
          <w:noProof/>
        </w:rPr>
        <w:t>Overview</w:t>
      </w:r>
      <w:bookmarkEnd w:id="216"/>
      <w:bookmarkEnd w:id="217"/>
      <w:bookmarkEnd w:id="219"/>
      <w:bookmarkEnd w:id="220"/>
      <w:bookmarkEnd w:id="221"/>
    </w:p>
    <w:p w14:paraId="03BCF972" w14:textId="575DAFD7" w:rsidR="008579C8" w:rsidRPr="000653A9" w:rsidRDefault="0032649D" w:rsidP="0032649D">
      <w:pPr>
        <w:rPr>
          <w:noProof/>
          <w:color w:val="auto"/>
        </w:rPr>
      </w:pPr>
      <w:r w:rsidRPr="714422F9">
        <w:rPr>
          <w:noProof/>
          <w:color w:val="auto"/>
        </w:rPr>
        <w:t xml:space="preserve">Free allocation has been provided to ETS sectors </w:t>
      </w:r>
      <w:r w:rsidR="0045325B" w:rsidRPr="714422F9">
        <w:rPr>
          <w:noProof/>
          <w:color w:val="auto"/>
        </w:rPr>
        <w:t>to address</w:t>
      </w:r>
      <w:r w:rsidRPr="714422F9">
        <w:rPr>
          <w:noProof/>
          <w:color w:val="auto"/>
        </w:rPr>
        <w:t xml:space="preserve"> the risk of carbon leakage, which occurs if industrial production relocates from the EU to jurisdictions with less stringent environmental standards. The recent introduction of the CBAM </w:t>
      </w:r>
      <w:r w:rsidR="00CD4D45" w:rsidRPr="714422F9">
        <w:rPr>
          <w:noProof/>
          <w:color w:val="auto"/>
        </w:rPr>
        <w:t>will place</w:t>
      </w:r>
      <w:r w:rsidRPr="714422F9">
        <w:rPr>
          <w:noProof/>
          <w:color w:val="auto"/>
        </w:rPr>
        <w:t xml:space="preserve"> a carbon price equivalent to the EU ETS price on imports of certain basic products, </w:t>
      </w:r>
      <w:r w:rsidR="2509F63D" w:rsidRPr="714422F9">
        <w:rPr>
          <w:noProof/>
          <w:color w:val="auto"/>
        </w:rPr>
        <w:t xml:space="preserve">providing and additional tool for preventing </w:t>
      </w:r>
      <w:r w:rsidR="0017152C" w:rsidRPr="714422F9">
        <w:rPr>
          <w:noProof/>
          <w:color w:val="auto"/>
        </w:rPr>
        <w:t>carbon leakage</w:t>
      </w:r>
      <w:r w:rsidR="00611E16" w:rsidRPr="714422F9">
        <w:rPr>
          <w:noProof/>
          <w:color w:val="auto"/>
        </w:rPr>
        <w:t xml:space="preserve"> and,</w:t>
      </w:r>
      <w:r w:rsidR="0017152C" w:rsidRPr="714422F9">
        <w:rPr>
          <w:noProof/>
          <w:color w:val="auto"/>
        </w:rPr>
        <w:t xml:space="preserve"> </w:t>
      </w:r>
      <w:r w:rsidRPr="714422F9">
        <w:rPr>
          <w:noProof/>
          <w:color w:val="auto"/>
        </w:rPr>
        <w:t>thereby</w:t>
      </w:r>
      <w:r w:rsidR="00611E16" w:rsidRPr="714422F9">
        <w:rPr>
          <w:noProof/>
          <w:color w:val="auto"/>
        </w:rPr>
        <w:t>,</w:t>
      </w:r>
      <w:r w:rsidRPr="714422F9">
        <w:rPr>
          <w:noProof/>
          <w:color w:val="auto"/>
        </w:rPr>
        <w:t xml:space="preserve"> </w:t>
      </w:r>
      <w:r w:rsidR="0017152C" w:rsidRPr="714422F9">
        <w:rPr>
          <w:noProof/>
          <w:color w:val="auto"/>
        </w:rPr>
        <w:t xml:space="preserve">also </w:t>
      </w:r>
      <w:r w:rsidRPr="714422F9">
        <w:rPr>
          <w:noProof/>
          <w:color w:val="auto"/>
        </w:rPr>
        <w:t>‘level the playing field’ in terms of the carbon costs faced by domestic production and imports entering the EU for the sectors currently covered (i.e. electricity, steel, cement, aluminium, fertilisers and hydrogen)</w:t>
      </w:r>
      <w:r w:rsidR="00DE1C08" w:rsidRPr="714422F9">
        <w:rPr>
          <w:noProof/>
          <w:color w:val="auto"/>
        </w:rPr>
        <w:t xml:space="preserve"> without</w:t>
      </w:r>
      <w:r w:rsidR="00CD4D45" w:rsidRPr="714422F9">
        <w:rPr>
          <w:noProof/>
          <w:color w:val="auto"/>
        </w:rPr>
        <w:t xml:space="preserve"> </w:t>
      </w:r>
      <w:r w:rsidR="45D3A8A8" w:rsidRPr="714422F9">
        <w:rPr>
          <w:noProof/>
          <w:color w:val="auto"/>
        </w:rPr>
        <w:t xml:space="preserve">fully relying on </w:t>
      </w:r>
      <w:r w:rsidRPr="714422F9">
        <w:rPr>
          <w:noProof/>
          <w:color w:val="auto"/>
        </w:rPr>
        <w:t>free allocation for these sectors</w:t>
      </w:r>
      <w:r w:rsidR="00E47304" w:rsidRPr="714422F9">
        <w:rPr>
          <w:noProof/>
          <w:color w:val="auto"/>
        </w:rPr>
        <w:t>.</w:t>
      </w:r>
      <w:r w:rsidRPr="714422F9">
        <w:rPr>
          <w:noProof/>
          <w:color w:val="auto"/>
        </w:rPr>
        <w:t xml:space="preserve"> </w:t>
      </w:r>
    </w:p>
    <w:p w14:paraId="2EC92A16" w14:textId="587ADCB9" w:rsidR="0032649D" w:rsidRPr="000653A9" w:rsidRDefault="00B22407" w:rsidP="0032649D">
      <w:pPr>
        <w:rPr>
          <w:noProof/>
          <w:color w:val="auto"/>
        </w:rPr>
      </w:pPr>
      <w:r w:rsidRPr="000653A9">
        <w:rPr>
          <w:noProof/>
          <w:color w:val="auto"/>
        </w:rPr>
        <w:t>Considering</w:t>
      </w:r>
      <w:r w:rsidR="008579C8" w:rsidRPr="000653A9">
        <w:rPr>
          <w:noProof/>
          <w:color w:val="auto"/>
        </w:rPr>
        <w:t xml:space="preserve"> the changes</w:t>
      </w:r>
      <w:r w:rsidR="0032649D" w:rsidRPr="000653A9">
        <w:rPr>
          <w:noProof/>
          <w:color w:val="auto"/>
        </w:rPr>
        <w:t xml:space="preserve"> to free allocation in Phase IV, </w:t>
      </w:r>
      <w:r w:rsidR="008579C8" w:rsidRPr="000653A9">
        <w:rPr>
          <w:noProof/>
          <w:color w:val="auto"/>
        </w:rPr>
        <w:t>this</w:t>
      </w:r>
      <w:r w:rsidR="0032649D" w:rsidRPr="000653A9">
        <w:rPr>
          <w:noProof/>
          <w:color w:val="auto"/>
        </w:rPr>
        <w:t xml:space="preserve"> impact assessment considers how best to re</w:t>
      </w:r>
      <w:r w:rsidR="00E47304" w:rsidRPr="000653A9">
        <w:rPr>
          <w:noProof/>
          <w:color w:val="auto"/>
        </w:rPr>
        <w:t>vise</w:t>
      </w:r>
      <w:r w:rsidR="0032649D" w:rsidRPr="000653A9">
        <w:rPr>
          <w:noProof/>
          <w:color w:val="auto"/>
        </w:rPr>
        <w:t xml:space="preserve"> free allocation</w:t>
      </w:r>
      <w:r w:rsidR="008579C8" w:rsidRPr="000653A9">
        <w:rPr>
          <w:noProof/>
          <w:color w:val="auto"/>
        </w:rPr>
        <w:t xml:space="preserve"> and carbon leakage protection</w:t>
      </w:r>
      <w:r w:rsidR="0032649D" w:rsidRPr="000653A9">
        <w:rPr>
          <w:noProof/>
          <w:color w:val="auto"/>
        </w:rPr>
        <w:t xml:space="preserve"> in Phase V of the EU ETS and whether a continuation of the current approach to free allocation remains suitable or if further reform</w:t>
      </w:r>
      <w:r w:rsidR="008579C8" w:rsidRPr="000653A9">
        <w:rPr>
          <w:noProof/>
          <w:color w:val="auto"/>
        </w:rPr>
        <w:t>s</w:t>
      </w:r>
      <w:r w:rsidR="0032649D" w:rsidRPr="000653A9">
        <w:rPr>
          <w:noProof/>
          <w:color w:val="auto"/>
        </w:rPr>
        <w:t xml:space="preserve"> </w:t>
      </w:r>
      <w:r w:rsidR="008579C8" w:rsidRPr="000653A9">
        <w:rPr>
          <w:noProof/>
          <w:color w:val="auto"/>
        </w:rPr>
        <w:t>are</w:t>
      </w:r>
      <w:r w:rsidR="0032649D" w:rsidRPr="000653A9">
        <w:rPr>
          <w:noProof/>
          <w:color w:val="auto"/>
        </w:rPr>
        <w:t xml:space="preserve"> </w:t>
      </w:r>
      <w:r w:rsidR="00E47304" w:rsidRPr="000653A9">
        <w:rPr>
          <w:noProof/>
          <w:color w:val="auto"/>
        </w:rPr>
        <w:t>appropriate</w:t>
      </w:r>
      <w:r w:rsidR="0032649D" w:rsidRPr="000653A9">
        <w:rPr>
          <w:noProof/>
          <w:color w:val="auto"/>
        </w:rPr>
        <w:t xml:space="preserve">. </w:t>
      </w:r>
    </w:p>
    <w:p w14:paraId="2A25373C" w14:textId="60E72B74" w:rsidR="00DC63F8" w:rsidRPr="000653A9" w:rsidRDefault="000C10EC" w:rsidP="009539AB">
      <w:pPr>
        <w:pStyle w:val="Heading2COM"/>
        <w:ind w:left="788" w:hanging="431"/>
        <w:outlineLvl w:val="2"/>
        <w15:collapsed w:val="0"/>
        <w:rPr>
          <w:noProof/>
        </w:rPr>
      </w:pPr>
      <w:bookmarkStart w:id="222" w:name="_Toc219902629"/>
      <w:bookmarkStart w:id="223" w:name="_Toc219902630"/>
      <w:bookmarkStart w:id="224" w:name="_Toc219902631"/>
      <w:bookmarkStart w:id="225" w:name="_Toc219902632"/>
      <w:bookmarkStart w:id="226" w:name="_Toc219902633"/>
      <w:bookmarkStart w:id="227" w:name="_Toc219902634"/>
      <w:bookmarkStart w:id="228" w:name="_Toc219902635"/>
      <w:bookmarkStart w:id="229" w:name="_Toc219902636"/>
      <w:bookmarkStart w:id="230" w:name="_Toc219902637"/>
      <w:bookmarkStart w:id="231" w:name="_Toc527541902"/>
      <w:bookmarkStart w:id="232" w:name="_Toc527541903"/>
      <w:bookmarkStart w:id="233" w:name="_Toc527541918"/>
      <w:bookmarkStart w:id="234" w:name="_Toc527541919"/>
      <w:bookmarkStart w:id="235" w:name="_Toc527541920"/>
      <w:bookmarkStart w:id="236" w:name="_Toc527541921"/>
      <w:bookmarkStart w:id="237" w:name="_Toc219902638"/>
      <w:bookmarkStart w:id="238" w:name="_Toc219902639"/>
      <w:bookmarkStart w:id="239" w:name="_Toc219902640"/>
      <w:bookmarkStart w:id="240" w:name="_Toc204154644"/>
      <w:bookmarkStart w:id="241" w:name="_Toc211518727"/>
      <w:bookmarkStart w:id="242" w:name="_Toc212049686"/>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0653A9">
        <w:rPr>
          <w:noProof/>
        </w:rPr>
        <w:t xml:space="preserve"> </w:t>
      </w:r>
      <w:bookmarkStart w:id="243" w:name="_Toc230857888"/>
      <w:bookmarkStart w:id="244" w:name="_Toc232751079"/>
      <w:r w:rsidR="00DC63F8" w:rsidRPr="000653A9">
        <w:rPr>
          <w:noProof/>
        </w:rPr>
        <w:t>Scoping exercise</w:t>
      </w:r>
      <w:bookmarkEnd w:id="240"/>
      <w:bookmarkEnd w:id="241"/>
      <w:bookmarkEnd w:id="242"/>
      <w:bookmarkEnd w:id="243"/>
      <w:bookmarkEnd w:id="244"/>
    </w:p>
    <w:p w14:paraId="70C4D28F" w14:textId="77777777" w:rsidR="00DC63F8" w:rsidRPr="000653A9" w:rsidRDefault="00DC63F8" w:rsidP="009539AB">
      <w:pPr>
        <w:pStyle w:val="Heading3COM"/>
        <w:outlineLvl w:val="3"/>
        <w:rPr>
          <w:noProof/>
        </w:rPr>
      </w:pPr>
      <w:bookmarkStart w:id="245" w:name="_Toc211518728"/>
      <w:bookmarkStart w:id="246" w:name="_Toc212049687"/>
      <w:bookmarkStart w:id="247" w:name="_Toc230857889"/>
      <w:bookmarkStart w:id="248" w:name="_Toc232751080"/>
      <w:r w:rsidRPr="000653A9">
        <w:rPr>
          <w:noProof/>
        </w:rPr>
        <w:t>Carbon leakage prevention measures for direct emissions</w:t>
      </w:r>
      <w:bookmarkEnd w:id="245"/>
      <w:bookmarkEnd w:id="246"/>
      <w:bookmarkEnd w:id="247"/>
      <w:bookmarkEnd w:id="248"/>
    </w:p>
    <w:p w14:paraId="19ADDF3E" w14:textId="77777777" w:rsidR="005D6256" w:rsidRPr="000653A9" w:rsidRDefault="005D6256" w:rsidP="009539AB">
      <w:pPr>
        <w:pStyle w:val="Heading4COM"/>
        <w:outlineLvl w:val="4"/>
        <w:rPr>
          <w:noProof/>
        </w:rPr>
      </w:pPr>
      <w:bookmarkStart w:id="249" w:name="_Toc230857890"/>
      <w:bookmarkStart w:id="250" w:name="_Toc232751081"/>
      <w:r w:rsidRPr="000653A9">
        <w:rPr>
          <w:noProof/>
        </w:rPr>
        <w:t>Background</w:t>
      </w:r>
      <w:bookmarkEnd w:id="249"/>
      <w:bookmarkEnd w:id="250"/>
    </w:p>
    <w:p w14:paraId="6B59EBDB" w14:textId="762A89D9" w:rsidR="005D6256" w:rsidRPr="000653A9" w:rsidRDefault="005D6256" w:rsidP="2612B5F6">
      <w:pPr>
        <w:rPr>
          <w:noProof/>
          <w:color w:val="auto"/>
        </w:rPr>
      </w:pPr>
      <w:r w:rsidRPr="000653A9">
        <w:rPr>
          <w:noProof/>
          <w:color w:val="auto"/>
        </w:rPr>
        <w:t>Since the outset</w:t>
      </w:r>
      <w:r w:rsidR="0038498F" w:rsidRPr="000653A9">
        <w:rPr>
          <w:noProof/>
          <w:color w:val="auto"/>
        </w:rPr>
        <w:t>,</w:t>
      </w:r>
      <w:r w:rsidRPr="000653A9">
        <w:rPr>
          <w:noProof/>
          <w:color w:val="auto"/>
        </w:rPr>
        <w:t xml:space="preserve"> the EU ETS</w:t>
      </w:r>
      <w:r w:rsidR="44907398" w:rsidRPr="000653A9">
        <w:rPr>
          <w:noProof/>
          <w:color w:val="auto"/>
        </w:rPr>
        <w:t xml:space="preserve"> has </w:t>
      </w:r>
      <w:r w:rsidR="0038498F" w:rsidRPr="000653A9">
        <w:rPr>
          <w:noProof/>
          <w:color w:val="auto"/>
        </w:rPr>
        <w:t>addressed the</w:t>
      </w:r>
      <w:r w:rsidR="44907398" w:rsidRPr="000653A9">
        <w:rPr>
          <w:noProof/>
          <w:color w:val="auto"/>
        </w:rPr>
        <w:t xml:space="preserve"> concern that an unequal carbon pricing in different jurisdictions may result in either an overall increase in global GHG emissions or a lower reduction in global emissions than in EU emissions. A</w:t>
      </w:r>
      <w:r w:rsidRPr="000653A9">
        <w:rPr>
          <w:noProof/>
          <w:color w:val="auto"/>
        </w:rPr>
        <w:t xml:space="preserve">llocation of free allowances has served as the main </w:t>
      </w:r>
      <w:r w:rsidR="51C6CEF3" w:rsidRPr="000653A9">
        <w:rPr>
          <w:noProof/>
          <w:color w:val="auto"/>
        </w:rPr>
        <w:t xml:space="preserve">tool to prevent </w:t>
      </w:r>
      <w:r w:rsidR="1BDD4670" w:rsidRPr="000653A9">
        <w:rPr>
          <w:noProof/>
          <w:color w:val="auto"/>
        </w:rPr>
        <w:t xml:space="preserve">possible relocation of industrial production subject to EU carbon pricing to countries with less stringent climate policies, which is also referred to as carbon leakage. </w:t>
      </w:r>
    </w:p>
    <w:p w14:paraId="1DB18801" w14:textId="26FEB466" w:rsidR="005D6256" w:rsidRPr="000653A9" w:rsidRDefault="005D6256" w:rsidP="005D6256">
      <w:pPr>
        <w:rPr>
          <w:noProof/>
          <w:color w:val="auto"/>
        </w:rPr>
      </w:pPr>
      <w:r w:rsidRPr="000653A9">
        <w:rPr>
          <w:noProof/>
          <w:color w:val="auto"/>
        </w:rPr>
        <w:t>While this approach helped ease the political and economic transition to a carbon market, it also introduced challenges. Uneven allocation methods across Member States led to distortions in intra-EU competition and</w:t>
      </w:r>
      <w:r w:rsidR="00226599" w:rsidRPr="000653A9">
        <w:rPr>
          <w:noProof/>
          <w:color w:val="auto"/>
        </w:rPr>
        <w:t>,</w:t>
      </w:r>
      <w:r w:rsidRPr="000653A9">
        <w:rPr>
          <w:noProof/>
          <w:color w:val="auto"/>
        </w:rPr>
        <w:t xml:space="preserve"> in sectors where allowances were passed through in product prices, companies could gain so-called windfall profits. Moreover, the environmental incentive to reduce emissions was weake</w:t>
      </w:r>
      <w:r w:rsidR="0038498F" w:rsidRPr="000653A9">
        <w:rPr>
          <w:noProof/>
          <w:color w:val="auto"/>
        </w:rPr>
        <w:t xml:space="preserve">r </w:t>
      </w:r>
      <w:r w:rsidRPr="000653A9">
        <w:rPr>
          <w:noProof/>
          <w:color w:val="auto"/>
        </w:rPr>
        <w:t xml:space="preserve">where free allocation </w:t>
      </w:r>
      <w:r w:rsidR="00651028" w:rsidRPr="000653A9">
        <w:rPr>
          <w:noProof/>
          <w:color w:val="auto"/>
        </w:rPr>
        <w:t>was based on historic emissions</w:t>
      </w:r>
      <w:r w:rsidR="00444795" w:rsidRPr="000653A9">
        <w:rPr>
          <w:noProof/>
          <w:color w:val="auto"/>
        </w:rPr>
        <w:t xml:space="preserve"> and </w:t>
      </w:r>
      <w:r w:rsidRPr="000653A9">
        <w:rPr>
          <w:noProof/>
          <w:color w:val="auto"/>
        </w:rPr>
        <w:t>covered most or all a company's compliance needs.</w:t>
      </w:r>
    </w:p>
    <w:p w14:paraId="3EBB5C24" w14:textId="5F369E45" w:rsidR="005D6256" w:rsidRPr="000653A9" w:rsidRDefault="005D6256" w:rsidP="005D6256">
      <w:pPr>
        <w:rPr>
          <w:noProof/>
          <w:color w:val="auto"/>
        </w:rPr>
      </w:pPr>
      <w:r w:rsidRPr="000653A9">
        <w:rPr>
          <w:noProof/>
          <w:color w:val="auto"/>
        </w:rPr>
        <w:t>From Phase III onwards, the share of free allowances declined as more allowances were auctioned. The methodology for allocat</w:t>
      </w:r>
      <w:r w:rsidR="00B64F7C" w:rsidRPr="000653A9">
        <w:rPr>
          <w:noProof/>
          <w:color w:val="auto"/>
        </w:rPr>
        <w:t>ing</w:t>
      </w:r>
      <w:r w:rsidRPr="000653A9">
        <w:rPr>
          <w:noProof/>
          <w:color w:val="auto"/>
        </w:rPr>
        <w:t xml:space="preserve"> allowances for free changed from grandfathering </w:t>
      </w:r>
      <w:r w:rsidR="00FE5719" w:rsidRPr="000653A9">
        <w:rPr>
          <w:noProof/>
          <w:color w:val="auto"/>
        </w:rPr>
        <w:t>(based on</w:t>
      </w:r>
      <w:r w:rsidRPr="000653A9">
        <w:rPr>
          <w:noProof/>
          <w:color w:val="auto"/>
        </w:rPr>
        <w:t xml:space="preserve"> historic emissions) to benchmarking </w:t>
      </w:r>
      <w:r w:rsidR="00AE4E02" w:rsidRPr="000653A9">
        <w:rPr>
          <w:noProof/>
          <w:color w:val="auto"/>
        </w:rPr>
        <w:t>those rewards installations</w:t>
      </w:r>
      <w:r w:rsidR="043A8D22" w:rsidRPr="000653A9">
        <w:rPr>
          <w:noProof/>
          <w:color w:val="auto"/>
        </w:rPr>
        <w:t xml:space="preserve"> </w:t>
      </w:r>
      <w:r w:rsidRPr="000653A9">
        <w:rPr>
          <w:noProof/>
          <w:color w:val="auto"/>
        </w:rPr>
        <w:t>with lower specific emissions for their production by receiving more allowances for free.</w:t>
      </w:r>
    </w:p>
    <w:p w14:paraId="34CA9963" w14:textId="55D34354" w:rsidR="005D6256" w:rsidRPr="000653A9" w:rsidRDefault="009A2328" w:rsidP="005D6256">
      <w:pPr>
        <w:rPr>
          <w:noProof/>
          <w:color w:val="auto"/>
        </w:rPr>
      </w:pPr>
      <w:r w:rsidRPr="000653A9">
        <w:rPr>
          <w:noProof/>
          <w:color w:val="auto"/>
        </w:rPr>
        <w:t>T</w:t>
      </w:r>
      <w:r w:rsidR="005D6256" w:rsidRPr="000653A9">
        <w:rPr>
          <w:noProof/>
          <w:color w:val="auto"/>
        </w:rPr>
        <w:t>he design of free allocation under Phase IV under</w:t>
      </w:r>
      <w:r w:rsidRPr="000653A9">
        <w:rPr>
          <w:noProof/>
          <w:color w:val="auto"/>
        </w:rPr>
        <w:t>w</w:t>
      </w:r>
      <w:r w:rsidR="005D6256" w:rsidRPr="000653A9">
        <w:rPr>
          <w:noProof/>
          <w:color w:val="auto"/>
        </w:rPr>
        <w:t>e</w:t>
      </w:r>
      <w:r w:rsidRPr="000653A9">
        <w:rPr>
          <w:noProof/>
          <w:color w:val="auto"/>
        </w:rPr>
        <w:t>nt</w:t>
      </w:r>
      <w:r w:rsidR="005D6256" w:rsidRPr="000653A9">
        <w:rPr>
          <w:noProof/>
          <w:color w:val="auto"/>
        </w:rPr>
        <w:t xml:space="preserve"> significant reform to better align with climate ambition, economic fairness, and environmental integrity. The scope of this evaluation for carbon leakage prevention focuses on the key changes </w:t>
      </w:r>
      <w:r w:rsidRPr="000653A9">
        <w:rPr>
          <w:noProof/>
          <w:color w:val="auto"/>
        </w:rPr>
        <w:t xml:space="preserve">to free allocation </w:t>
      </w:r>
      <w:r w:rsidR="005D6256" w:rsidRPr="000653A9">
        <w:rPr>
          <w:noProof/>
          <w:color w:val="auto"/>
        </w:rPr>
        <w:t xml:space="preserve">that occurred at the start of Phase IV following the revision of the ETS Directive in 2018: </w:t>
      </w:r>
    </w:p>
    <w:p w14:paraId="2DA9F082" w14:textId="7B03830D" w:rsidR="00EA5A72" w:rsidRPr="000653A9" w:rsidRDefault="005D6256" w:rsidP="00CD163F">
      <w:pPr>
        <w:pStyle w:val="ListParagraph"/>
        <w:numPr>
          <w:ilvl w:val="0"/>
          <w:numId w:val="19"/>
        </w:numPr>
        <w:ind w:left="714" w:hanging="357"/>
        <w:rPr>
          <w:noProof/>
          <w:color w:val="auto"/>
          <w:sz w:val="16"/>
          <w:szCs w:val="16"/>
        </w:rPr>
      </w:pPr>
      <w:r w:rsidRPr="000653A9">
        <w:rPr>
          <w:noProof/>
          <w:color w:val="auto"/>
        </w:rPr>
        <w:t>Revised benchmark values for free allocation</w:t>
      </w:r>
    </w:p>
    <w:p w14:paraId="22A81FFD" w14:textId="49004A4F" w:rsidR="00EA5A72" w:rsidRPr="000653A9" w:rsidRDefault="005D6256" w:rsidP="00CD163F">
      <w:pPr>
        <w:pStyle w:val="ListParagraph"/>
        <w:numPr>
          <w:ilvl w:val="0"/>
          <w:numId w:val="18"/>
        </w:numPr>
        <w:rPr>
          <w:noProof/>
          <w:color w:val="auto"/>
        </w:rPr>
      </w:pPr>
      <w:r w:rsidRPr="000653A9">
        <w:rPr>
          <w:noProof/>
          <w:color w:val="auto"/>
        </w:rPr>
        <w:t>Updated carbon leakage list</w:t>
      </w:r>
    </w:p>
    <w:p w14:paraId="6AF53C76" w14:textId="191CC6D4" w:rsidR="00DF4C9A" w:rsidRPr="000653A9" w:rsidRDefault="005D6256" w:rsidP="00CD163F">
      <w:pPr>
        <w:pStyle w:val="ListParagraph"/>
        <w:numPr>
          <w:ilvl w:val="0"/>
          <w:numId w:val="18"/>
        </w:numPr>
        <w:rPr>
          <w:noProof/>
          <w:color w:val="auto"/>
        </w:rPr>
      </w:pPr>
      <w:r w:rsidRPr="000653A9">
        <w:rPr>
          <w:noProof/>
          <w:color w:val="auto"/>
        </w:rPr>
        <w:t>Establishment of a buffer to limit the application of the Cross</w:t>
      </w:r>
      <w:r w:rsidR="00B05821" w:rsidRPr="000653A9">
        <w:rPr>
          <w:noProof/>
          <w:color w:val="auto"/>
        </w:rPr>
        <w:t>-</w:t>
      </w:r>
      <w:r w:rsidRPr="000653A9">
        <w:rPr>
          <w:noProof/>
          <w:color w:val="auto"/>
        </w:rPr>
        <w:t>Sectoral Correction Factor (CSCF)</w:t>
      </w:r>
      <w:r w:rsidRPr="000653A9">
        <w:rPr>
          <w:rStyle w:val="FootnoteReference"/>
          <w:noProof/>
          <w:color w:val="auto"/>
        </w:rPr>
        <w:footnoteReference w:id="2"/>
      </w:r>
      <w:r w:rsidRPr="000653A9">
        <w:rPr>
          <w:noProof/>
          <w:color w:val="auto"/>
        </w:rPr>
        <w:t xml:space="preserve"> </w:t>
      </w:r>
    </w:p>
    <w:p w14:paraId="22AE3017" w14:textId="1A1B4E7E" w:rsidR="00DF4C9A" w:rsidRPr="000653A9" w:rsidRDefault="005D6256" w:rsidP="00CD163F">
      <w:pPr>
        <w:pStyle w:val="ListParagraph"/>
        <w:numPr>
          <w:ilvl w:val="0"/>
          <w:numId w:val="18"/>
        </w:numPr>
        <w:rPr>
          <w:noProof/>
          <w:color w:val="auto"/>
        </w:rPr>
      </w:pPr>
      <w:r w:rsidRPr="000653A9">
        <w:rPr>
          <w:noProof/>
          <w:color w:val="auto"/>
        </w:rPr>
        <w:t>Better alignment of free allocation with actual production levels</w:t>
      </w:r>
    </w:p>
    <w:p w14:paraId="3BC19C75" w14:textId="24CAD884" w:rsidR="005D6256" w:rsidRPr="000653A9" w:rsidRDefault="005D6256" w:rsidP="00DF4C9A">
      <w:pPr>
        <w:rPr>
          <w:noProof/>
          <w:color w:val="auto"/>
        </w:rPr>
      </w:pPr>
      <w:r w:rsidRPr="000653A9">
        <w:rPr>
          <w:noProof/>
          <w:color w:val="auto"/>
        </w:rPr>
        <w:t>The reforms introduced indicate a strategic shift in how the system addresses carbon leakage. Rather than merely shielding the sectors indefinitely from external competition, the updated design encourages innovation while continuing to prevent relocation of emissions and production.</w:t>
      </w:r>
    </w:p>
    <w:p w14:paraId="0D9C050E" w14:textId="4D6298DA" w:rsidR="005D6256" w:rsidRPr="000653A9" w:rsidRDefault="00D5700C" w:rsidP="005D6256">
      <w:pPr>
        <w:rPr>
          <w:noProof/>
          <w:color w:val="auto"/>
        </w:rPr>
      </w:pPr>
      <w:r w:rsidRPr="000653A9">
        <w:rPr>
          <w:noProof/>
          <w:color w:val="auto"/>
        </w:rPr>
        <w:t>Because of</w:t>
      </w:r>
      <w:r w:rsidR="005D6256" w:rsidRPr="000653A9">
        <w:rPr>
          <w:noProof/>
          <w:color w:val="auto"/>
        </w:rPr>
        <w:t xml:space="preserve"> the changes in the 2023 revision of the ETS Directive, part of the free allocation is now conditional, and this is reflected in </w:t>
      </w:r>
      <w:r w:rsidR="006922D5" w:rsidRPr="000653A9">
        <w:rPr>
          <w:noProof/>
          <w:color w:val="auto"/>
        </w:rPr>
        <w:t>the latest amendment of the F</w:t>
      </w:r>
      <w:r w:rsidR="009A2328" w:rsidRPr="000653A9">
        <w:rPr>
          <w:noProof/>
          <w:color w:val="auto"/>
        </w:rPr>
        <w:t xml:space="preserve">ree </w:t>
      </w:r>
      <w:r w:rsidR="006922D5" w:rsidRPr="000653A9">
        <w:rPr>
          <w:noProof/>
          <w:color w:val="auto"/>
        </w:rPr>
        <w:t>A</w:t>
      </w:r>
      <w:r w:rsidR="009A2328" w:rsidRPr="000653A9">
        <w:rPr>
          <w:noProof/>
          <w:color w:val="auto"/>
        </w:rPr>
        <w:t xml:space="preserve">llocation </w:t>
      </w:r>
      <w:r w:rsidR="006922D5" w:rsidRPr="000653A9">
        <w:rPr>
          <w:noProof/>
          <w:color w:val="auto"/>
        </w:rPr>
        <w:t>R</w:t>
      </w:r>
      <w:r w:rsidR="009A2328" w:rsidRPr="000653A9">
        <w:rPr>
          <w:noProof/>
          <w:color w:val="auto"/>
        </w:rPr>
        <w:t>egulation (</w:t>
      </w:r>
      <w:r w:rsidR="000522EE" w:rsidRPr="000653A9">
        <w:rPr>
          <w:noProof/>
          <w:color w:val="auto"/>
        </w:rPr>
        <w:t>‘</w:t>
      </w:r>
      <w:r w:rsidR="009A2328" w:rsidRPr="000653A9">
        <w:rPr>
          <w:noProof/>
          <w:color w:val="auto"/>
        </w:rPr>
        <w:t>FAR</w:t>
      </w:r>
      <w:r w:rsidR="000522EE" w:rsidRPr="000653A9">
        <w:rPr>
          <w:noProof/>
          <w:color w:val="auto"/>
        </w:rPr>
        <w:t>’</w:t>
      </w:r>
      <w:r w:rsidR="009A2328" w:rsidRPr="000653A9">
        <w:rPr>
          <w:noProof/>
          <w:color w:val="auto"/>
        </w:rPr>
        <w:t>)</w:t>
      </w:r>
      <w:r w:rsidR="006922D5" w:rsidRPr="000653A9">
        <w:rPr>
          <w:rStyle w:val="FootnoteReference"/>
          <w:noProof/>
          <w:color w:val="auto"/>
        </w:rPr>
        <w:footnoteReference w:id="3"/>
      </w:r>
      <w:r w:rsidR="005D6256" w:rsidRPr="000653A9">
        <w:rPr>
          <w:noProof/>
          <w:color w:val="auto"/>
        </w:rPr>
        <w:t>. The conditional aspects of free allocation are now as follows:</w:t>
      </w:r>
    </w:p>
    <w:p w14:paraId="357AA7AE" w14:textId="77777777" w:rsidR="005D6256" w:rsidRPr="000653A9" w:rsidRDefault="005D6256" w:rsidP="00CD163F">
      <w:pPr>
        <w:pStyle w:val="ListParagraph"/>
        <w:numPr>
          <w:ilvl w:val="0"/>
          <w:numId w:val="20"/>
        </w:numPr>
        <w:rPr>
          <w:noProof/>
          <w:color w:val="auto"/>
        </w:rPr>
      </w:pPr>
      <w:r w:rsidRPr="000653A9">
        <w:rPr>
          <w:noProof/>
          <w:color w:val="auto"/>
        </w:rPr>
        <w:t xml:space="preserve">Free allocation to eligible installations will be reduced by 20% if operators have not implemented </w:t>
      </w:r>
      <w:r w:rsidRPr="000653A9">
        <w:rPr>
          <w:b/>
          <w:bCs/>
          <w:noProof/>
          <w:color w:val="auto"/>
        </w:rPr>
        <w:t>energy efficiency recommendations</w:t>
      </w:r>
      <w:r w:rsidRPr="000653A9">
        <w:rPr>
          <w:noProof/>
          <w:color w:val="auto"/>
        </w:rPr>
        <w:t xml:space="preserve"> from energy audits or energy management systems as stipulated under the EU Energy Efficiency Directive (EED).</w:t>
      </w:r>
    </w:p>
    <w:p w14:paraId="3D7F7D87" w14:textId="77777777" w:rsidR="005D6256" w:rsidRPr="000653A9" w:rsidRDefault="005D6256" w:rsidP="00CD163F">
      <w:pPr>
        <w:pStyle w:val="ListParagraph"/>
        <w:numPr>
          <w:ilvl w:val="0"/>
          <w:numId w:val="20"/>
        </w:numPr>
        <w:rPr>
          <w:noProof/>
          <w:color w:val="auto"/>
        </w:rPr>
      </w:pPr>
      <w:r w:rsidRPr="000653A9">
        <w:rPr>
          <w:noProof/>
          <w:color w:val="auto"/>
        </w:rPr>
        <w:t>The free allocation to eligible installations with product benchmarks will be reduced by 20% if a sub-installation’s specific emissions are higher than the 80</w:t>
      </w:r>
      <w:r w:rsidRPr="000653A9">
        <w:rPr>
          <w:noProof/>
          <w:color w:val="auto"/>
          <w:vertAlign w:val="superscript"/>
        </w:rPr>
        <w:t>th</w:t>
      </w:r>
      <w:r w:rsidRPr="000653A9">
        <w:rPr>
          <w:noProof/>
          <w:color w:val="auto"/>
        </w:rPr>
        <w:t xml:space="preserve"> percentile of emission levels for the relevant product benchmarks in their benchmark curve, unless they have a compliant </w:t>
      </w:r>
      <w:r w:rsidRPr="000653A9">
        <w:rPr>
          <w:b/>
          <w:bCs/>
          <w:noProof/>
          <w:color w:val="auto"/>
        </w:rPr>
        <w:t>Climate-neutrality plan</w:t>
      </w:r>
      <w:r w:rsidRPr="000653A9">
        <w:rPr>
          <w:noProof/>
          <w:color w:val="auto"/>
        </w:rPr>
        <w:t xml:space="preserve"> (CNP) in place.</w:t>
      </w:r>
    </w:p>
    <w:p w14:paraId="657FE238" w14:textId="5C86A5A2" w:rsidR="005D6256" w:rsidRPr="000653A9" w:rsidRDefault="005D6256" w:rsidP="00CD163F">
      <w:pPr>
        <w:pStyle w:val="ListParagraph"/>
        <w:numPr>
          <w:ilvl w:val="0"/>
          <w:numId w:val="20"/>
        </w:numPr>
        <w:spacing w:after="240"/>
        <w:ind w:left="714" w:hanging="357"/>
        <w:rPr>
          <w:noProof/>
          <w:color w:val="auto"/>
        </w:rPr>
      </w:pPr>
      <w:r w:rsidRPr="000653A9">
        <w:rPr>
          <w:b/>
          <w:bCs/>
          <w:noProof/>
          <w:color w:val="auto"/>
        </w:rPr>
        <w:t>District heating (DH) operators</w:t>
      </w:r>
      <w:r w:rsidRPr="000653A9">
        <w:rPr>
          <w:noProof/>
          <w:color w:val="auto"/>
        </w:rPr>
        <w:t xml:space="preserve"> in Member States with relatively high DH emissions can obtain an additional 30% of free allowances on the condition that they have a compliant CNP in place and they make sufficient investments in the implementation of the included emission reduction measures </w:t>
      </w:r>
      <w:r w:rsidR="277EA497" w:rsidRPr="000653A9">
        <w:rPr>
          <w:noProof/>
          <w:color w:val="auto"/>
        </w:rPr>
        <w:t xml:space="preserve">before </w:t>
      </w:r>
      <w:r w:rsidRPr="000653A9">
        <w:rPr>
          <w:noProof/>
          <w:color w:val="auto"/>
        </w:rPr>
        <w:t>2030.</w:t>
      </w:r>
    </w:p>
    <w:p w14:paraId="3001C6EF" w14:textId="63455E4D" w:rsidR="212FEED9" w:rsidRPr="000653A9" w:rsidRDefault="212FEED9" w:rsidP="015B8A63">
      <w:pPr>
        <w:spacing w:after="240"/>
        <w:rPr>
          <w:rFonts w:cs="Arial"/>
          <w:noProof/>
          <w:color w:val="auto"/>
        </w:rPr>
      </w:pPr>
      <w:r w:rsidRPr="000653A9">
        <w:rPr>
          <w:rFonts w:cs="Arial"/>
          <w:noProof/>
          <w:color w:val="auto"/>
        </w:rPr>
        <w:t>Throughout the stakeholder consultation, carbon leakage was a widespread concern among stakeholders, although exposing substantial divisions between different types of stakeholders. An overall majority of respondents, mainly companies and business associations, generally advocated for maintaining and improving free allocation (with suggestions for improvements ranging from simplifications, to updating benchmarking methodologies or the carbon leakage list, or introducing conditionalities), particularly for sectors not covered by the CBAM. Conversely, NGOs generally favoured a phase-out of free allocation to fully implement the “polluter pays” principle and accelerate decarbonisation, or making free allocation conditional on taking steps towards carbon neutrality.</w:t>
      </w:r>
    </w:p>
    <w:p w14:paraId="49CEA904" w14:textId="77777777" w:rsidR="00DC63F8" w:rsidRPr="000653A9" w:rsidRDefault="00DC63F8" w:rsidP="009539AB">
      <w:pPr>
        <w:pStyle w:val="Heading4COM"/>
        <w:outlineLvl w:val="4"/>
        <w:rPr>
          <w:noProof/>
        </w:rPr>
      </w:pPr>
      <w:bookmarkStart w:id="251" w:name="_Toc212049688"/>
      <w:bookmarkStart w:id="252" w:name="_Toc230857891"/>
      <w:bookmarkStart w:id="253" w:name="_Toc232751082"/>
      <w:r w:rsidRPr="000653A9">
        <w:rPr>
          <w:noProof/>
        </w:rPr>
        <w:t>Emissions covered by non-CBAM sectors</w:t>
      </w:r>
      <w:bookmarkEnd w:id="251"/>
      <w:bookmarkEnd w:id="252"/>
      <w:bookmarkEnd w:id="253"/>
    </w:p>
    <w:p w14:paraId="552FD4E5" w14:textId="77777777" w:rsidR="001754D8" w:rsidRPr="000653A9" w:rsidRDefault="0083058A" w:rsidP="00C149CD">
      <w:pPr>
        <w:spacing w:after="240"/>
        <w:rPr>
          <w:noProof/>
          <w:color w:val="auto"/>
        </w:rPr>
      </w:pPr>
      <w:r w:rsidRPr="000653A9">
        <w:rPr>
          <w:noProof/>
          <w:color w:val="auto"/>
        </w:rPr>
        <w:t xml:space="preserve">Figure </w:t>
      </w:r>
      <w:r w:rsidR="00D73F33" w:rsidRPr="000653A9">
        <w:rPr>
          <w:noProof/>
          <w:color w:val="auto"/>
        </w:rPr>
        <w:t>1</w:t>
      </w:r>
      <w:r w:rsidR="00C149CD" w:rsidRPr="000653A9">
        <w:rPr>
          <w:noProof/>
          <w:color w:val="auto"/>
        </w:rPr>
        <w:t xml:space="preserve"> provides an overview of the direct emissions covered for CBAM and non-CBAM sectors based upon provisional NIMs data, which is relied upon throughout this assessment as it provides the most comprehensive dataset on the activity level, emissions and free allocation provided to installations at the sub-installation level. This information is submitted by ETS operators as part of the process for applying for free allowances.</w:t>
      </w:r>
    </w:p>
    <w:p w14:paraId="58AA02D4" w14:textId="77777777" w:rsidR="001754D8" w:rsidRPr="000653A9" w:rsidRDefault="001754D8">
      <w:pPr>
        <w:spacing w:before="0" w:line="259" w:lineRule="auto"/>
        <w:rPr>
          <w:noProof/>
          <w:color w:val="auto"/>
        </w:rPr>
      </w:pPr>
      <w:r w:rsidRPr="000653A9">
        <w:rPr>
          <w:noProof/>
          <w:color w:val="auto"/>
        </w:rPr>
        <w:br w:type="page"/>
      </w:r>
    </w:p>
    <w:p w14:paraId="7870F59B" w14:textId="6090E05B" w:rsidR="00C149CD" w:rsidRPr="000653A9" w:rsidRDefault="002011D0" w:rsidP="00C92FA9">
      <w:pPr>
        <w:pStyle w:val="Figuretitle"/>
        <w:rPr>
          <w:noProof/>
        </w:rPr>
      </w:pPr>
      <w:bookmarkStart w:id="254" w:name="_Ref212623514"/>
      <w:bookmarkStart w:id="255" w:name="_Toc224659134"/>
      <w:r w:rsidRPr="000653A9">
        <w:rPr>
          <w:noProof/>
        </w:rPr>
        <w:t>V</w:t>
      </w:r>
      <w:r w:rsidR="00C149CD" w:rsidRPr="000653A9">
        <w:rPr>
          <w:noProof/>
        </w:rPr>
        <w:t>erified emissions for CBAM and non-CBAM sectors between 2021-23</w:t>
      </w:r>
      <w:bookmarkEnd w:id="254"/>
      <w:bookmarkEnd w:id="255"/>
    </w:p>
    <w:p w14:paraId="208B38E4" w14:textId="456416ED" w:rsidR="00C149CD" w:rsidRPr="000653A9" w:rsidRDefault="00DD0336" w:rsidP="008A5E41">
      <w:pPr>
        <w:spacing w:after="0"/>
        <w:jc w:val="center"/>
        <w:rPr>
          <w:noProof/>
          <w:color w:val="auto"/>
        </w:rPr>
      </w:pPr>
      <w:r w:rsidRPr="000653A9">
        <w:rPr>
          <w:noProof/>
          <w:color w:val="auto"/>
          <w:lang w:eastAsia="en-GB"/>
        </w:rPr>
        <w:drawing>
          <wp:inline distT="0" distB="0" distL="0" distR="0" wp14:anchorId="2BD04BE7" wp14:editId="23520996">
            <wp:extent cx="3438144" cy="2242430"/>
            <wp:effectExtent l="0" t="0" r="0" b="5715"/>
            <wp:docPr id="809467252"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57722" name="Picture 1" descr="A graph of different colored bars&#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98066" cy="2281512"/>
                    </a:xfrm>
                    <a:prstGeom prst="rect">
                      <a:avLst/>
                    </a:prstGeom>
                  </pic:spPr>
                </pic:pic>
              </a:graphicData>
            </a:graphic>
          </wp:inline>
        </w:drawing>
      </w:r>
    </w:p>
    <w:p w14:paraId="181246CA" w14:textId="6760F29A" w:rsidR="00C149CD" w:rsidRPr="000653A9" w:rsidRDefault="00C149CD" w:rsidP="00C149CD">
      <w:pPr>
        <w:jc w:val="left"/>
        <w:rPr>
          <w:i/>
          <w:iCs/>
          <w:noProof/>
          <w:color w:val="auto"/>
          <w:sz w:val="20"/>
          <w:szCs w:val="20"/>
        </w:rPr>
      </w:pPr>
      <w:r w:rsidRPr="000653A9">
        <w:rPr>
          <w:i/>
          <w:iCs/>
          <w:noProof/>
          <w:color w:val="auto"/>
          <w:sz w:val="20"/>
          <w:szCs w:val="20"/>
        </w:rPr>
        <w:t>Source: NIMs dataset (2014-18, 2019-23), Own illustration</w:t>
      </w:r>
    </w:p>
    <w:p w14:paraId="1032838F" w14:textId="77777777" w:rsidR="00C149CD" w:rsidRPr="000653A9" w:rsidRDefault="00C149CD" w:rsidP="00C149CD">
      <w:pPr>
        <w:spacing w:after="240"/>
        <w:rPr>
          <w:noProof/>
          <w:color w:val="auto"/>
        </w:rPr>
      </w:pPr>
      <w:r w:rsidRPr="000653A9">
        <w:rPr>
          <w:noProof/>
          <w:color w:val="auto"/>
        </w:rPr>
        <w:t>The key non-CBAM sectors in terms of absolute emissions include the manufacture of refined petroleum products, manufacture of other inorganic and organic basic chemicals, the manufacture of paper and paperboard and the manufacture of lime and plaster. Indeed, these sectors account for around 40% of the average non-CBAM emissions between 2021 and 2023.</w:t>
      </w:r>
    </w:p>
    <w:p w14:paraId="0514E5FC" w14:textId="77777777" w:rsidR="00AC6975" w:rsidRPr="000653A9" w:rsidRDefault="00AC6975" w:rsidP="009539AB">
      <w:pPr>
        <w:pStyle w:val="Heading3COM"/>
        <w:outlineLvl w:val="3"/>
        <w:rPr>
          <w:noProof/>
        </w:rPr>
      </w:pPr>
      <w:bookmarkStart w:id="256" w:name="_Toc212594996"/>
      <w:bookmarkStart w:id="257" w:name="_Toc230857892"/>
      <w:bookmarkStart w:id="258" w:name="_Toc232751083"/>
      <w:r w:rsidRPr="000653A9">
        <w:rPr>
          <w:noProof/>
        </w:rPr>
        <w:t>Carbon leakage prevention measures for indirect emissions</w:t>
      </w:r>
      <w:bookmarkEnd w:id="256"/>
      <w:bookmarkEnd w:id="257"/>
      <w:bookmarkEnd w:id="258"/>
    </w:p>
    <w:p w14:paraId="34BDF68C" w14:textId="1BEF49EF" w:rsidR="00321823" w:rsidRPr="000653A9" w:rsidRDefault="00AC6975" w:rsidP="00AC6975">
      <w:pPr>
        <w:rPr>
          <w:noProof/>
          <w:color w:val="auto"/>
        </w:rPr>
      </w:pPr>
      <w:r w:rsidRPr="000653A9">
        <w:rPr>
          <w:noProof/>
          <w:color w:val="auto"/>
        </w:rPr>
        <w:t>The ETS Directive establishes</w:t>
      </w:r>
      <w:r w:rsidR="000522EE" w:rsidRPr="000653A9">
        <w:rPr>
          <w:noProof/>
          <w:color w:val="auto"/>
        </w:rPr>
        <w:t>,</w:t>
      </w:r>
      <w:r w:rsidRPr="000653A9">
        <w:rPr>
          <w:noProof/>
          <w:color w:val="auto"/>
        </w:rPr>
        <w:t xml:space="preserve"> </w:t>
      </w:r>
      <w:r w:rsidR="00D331FB" w:rsidRPr="000653A9">
        <w:rPr>
          <w:noProof/>
          <w:color w:val="auto"/>
        </w:rPr>
        <w:t>in Article 10a(6)</w:t>
      </w:r>
      <w:r w:rsidR="000522EE" w:rsidRPr="000653A9">
        <w:rPr>
          <w:noProof/>
          <w:color w:val="auto"/>
        </w:rPr>
        <w:t>,</w:t>
      </w:r>
      <w:r w:rsidR="00D331FB" w:rsidRPr="000653A9">
        <w:rPr>
          <w:noProof/>
          <w:color w:val="auto"/>
        </w:rPr>
        <w:t xml:space="preserve"> </w:t>
      </w:r>
      <w:r w:rsidRPr="000653A9">
        <w:rPr>
          <w:noProof/>
          <w:color w:val="auto"/>
        </w:rPr>
        <w:t>the principle that Member States should adopt financial measures to compensate electro-intensive industries at genuine risk of carbon leakage due to indirect carbon costs (</w:t>
      </w:r>
      <w:r w:rsidR="009A72E6" w:rsidRPr="000653A9">
        <w:rPr>
          <w:noProof/>
          <w:color w:val="auto"/>
        </w:rPr>
        <w:t xml:space="preserve">ICC - </w:t>
      </w:r>
      <w:r w:rsidRPr="000653A9">
        <w:rPr>
          <w:noProof/>
          <w:color w:val="auto"/>
        </w:rPr>
        <w:t xml:space="preserve">carbon costs that are passed on through </w:t>
      </w:r>
      <w:r w:rsidR="00AB6967" w:rsidRPr="000653A9">
        <w:rPr>
          <w:noProof/>
          <w:color w:val="auto"/>
        </w:rPr>
        <w:t xml:space="preserve">the wholesale </w:t>
      </w:r>
      <w:r w:rsidRPr="000653A9">
        <w:rPr>
          <w:noProof/>
          <w:color w:val="auto"/>
        </w:rPr>
        <w:t>electricity price</w:t>
      </w:r>
      <w:r w:rsidR="00AB6967" w:rsidRPr="000653A9">
        <w:rPr>
          <w:noProof/>
          <w:color w:val="auto"/>
        </w:rPr>
        <w:t xml:space="preserve"> based on the carbon cost the marginal p</w:t>
      </w:r>
      <w:r w:rsidR="00335E31" w:rsidRPr="000653A9">
        <w:rPr>
          <w:noProof/>
          <w:color w:val="auto"/>
        </w:rPr>
        <w:t>ower producer incurs</w:t>
      </w:r>
      <w:r w:rsidRPr="000653A9">
        <w:rPr>
          <w:noProof/>
          <w:color w:val="auto"/>
        </w:rPr>
        <w:t xml:space="preserve">), subject to State aid rules. </w:t>
      </w:r>
    </w:p>
    <w:p w14:paraId="2006BB3C" w14:textId="77777777" w:rsidR="00934F54" w:rsidRPr="000653A9" w:rsidRDefault="00934F54" w:rsidP="00934F54">
      <w:pPr>
        <w:rPr>
          <w:noProof/>
          <w:lang w:eastAsia="en-GB"/>
        </w:rPr>
      </w:pPr>
      <w:r w:rsidRPr="000653A9">
        <w:rPr>
          <w:noProof/>
          <w:lang w:eastAsia="en-GB"/>
        </w:rPr>
        <w:t>ICC compensation supports the business case for electro-intensive industrial processes by reducing their carbon costs. It is particularly relevant for electrified industrial processes that face an indirect carbon cost and compete with non-electrified processes that emit CO</w:t>
      </w:r>
      <w:r w:rsidRPr="000653A9">
        <w:rPr>
          <w:noProof/>
          <w:vertAlign w:val="subscript"/>
          <w:lang w:eastAsia="en-GB"/>
        </w:rPr>
        <w:t>2</w:t>
      </w:r>
      <w:r w:rsidRPr="000653A9">
        <w:rPr>
          <w:noProof/>
          <w:lang w:eastAsia="en-GB"/>
        </w:rPr>
        <w:t xml:space="preserve"> directly and benefit from free allocation. Conceptually, the environmental benefit of ICC compensation is therefore a combination of:</w:t>
      </w:r>
    </w:p>
    <w:p w14:paraId="3D49B9D3" w14:textId="77777777" w:rsidR="00934F54" w:rsidRPr="000653A9" w:rsidRDefault="00934F54" w:rsidP="0018561F">
      <w:pPr>
        <w:pStyle w:val="ListParagraph"/>
        <w:numPr>
          <w:ilvl w:val="0"/>
          <w:numId w:val="34"/>
        </w:numPr>
        <w:spacing w:after="240"/>
        <w:contextualSpacing/>
        <w:rPr>
          <w:noProof/>
          <w:lang w:eastAsia="en-GB"/>
        </w:rPr>
      </w:pPr>
      <w:r w:rsidRPr="000653A9">
        <w:rPr>
          <w:i/>
          <w:iCs/>
          <w:noProof/>
          <w:lang w:eastAsia="en-GB"/>
        </w:rPr>
        <w:t>Carbon leakage protection:</w:t>
      </w:r>
      <w:r w:rsidRPr="000653A9">
        <w:rPr>
          <w:noProof/>
          <w:lang w:eastAsia="en-GB"/>
        </w:rPr>
        <w:t xml:space="preserve"> addressing the risk of electro-intensive industries relocating, due to indirect carbon costs, to areas with less strict climate governance.</w:t>
      </w:r>
    </w:p>
    <w:p w14:paraId="506AA300" w14:textId="77777777" w:rsidR="00934F54" w:rsidRPr="000653A9" w:rsidRDefault="00934F54" w:rsidP="0018561F">
      <w:pPr>
        <w:pStyle w:val="ListParagraph"/>
        <w:numPr>
          <w:ilvl w:val="0"/>
          <w:numId w:val="34"/>
        </w:numPr>
        <w:spacing w:after="240"/>
        <w:contextualSpacing/>
        <w:rPr>
          <w:noProof/>
          <w:lang w:eastAsia="en-GB"/>
        </w:rPr>
      </w:pPr>
      <w:r w:rsidRPr="000653A9">
        <w:rPr>
          <w:i/>
          <w:iCs/>
          <w:noProof/>
          <w:lang w:eastAsia="en-GB"/>
        </w:rPr>
        <w:t xml:space="preserve">Incentivising electrification: </w:t>
      </w:r>
      <w:r w:rsidRPr="000653A9">
        <w:rPr>
          <w:noProof/>
          <w:lang w:eastAsia="en-GB"/>
        </w:rPr>
        <w:t xml:space="preserve">supporting the business case for electrification relative to direct emissions, for industries that could electrify their processes. </w:t>
      </w:r>
    </w:p>
    <w:p w14:paraId="40542BB9" w14:textId="75B3110D" w:rsidR="00E30BD9" w:rsidRPr="000653A9" w:rsidRDefault="00BF4609" w:rsidP="00AC6975">
      <w:pPr>
        <w:rPr>
          <w:rFonts w:eastAsia="Times New Roman"/>
          <w:noProof/>
          <w:color w:val="auto"/>
        </w:rPr>
      </w:pPr>
      <w:r w:rsidRPr="000653A9">
        <w:rPr>
          <w:noProof/>
          <w:color w:val="auto"/>
        </w:rPr>
        <w:t>Article 10(6)</w:t>
      </w:r>
      <w:r w:rsidR="00D46375" w:rsidRPr="000653A9">
        <w:rPr>
          <w:noProof/>
          <w:color w:val="auto"/>
        </w:rPr>
        <w:t xml:space="preserve"> describes some key features </w:t>
      </w:r>
      <w:r w:rsidR="00ED0E34" w:rsidRPr="000653A9">
        <w:rPr>
          <w:noProof/>
          <w:color w:val="auto"/>
        </w:rPr>
        <w:t>of Member States’ ICC compensation measures, including</w:t>
      </w:r>
      <w:r w:rsidR="00AC6975" w:rsidRPr="000653A9">
        <w:rPr>
          <w:noProof/>
          <w:color w:val="auto"/>
        </w:rPr>
        <w:t xml:space="preserve"> that the compensation should be based on </w:t>
      </w:r>
      <w:r w:rsidR="00AC6975" w:rsidRPr="000653A9">
        <w:rPr>
          <w:i/>
          <w:noProof/>
          <w:color w:val="auto"/>
        </w:rPr>
        <w:t>ex ante</w:t>
      </w:r>
      <w:r w:rsidR="00AC6975" w:rsidRPr="000653A9">
        <w:rPr>
          <w:noProof/>
          <w:color w:val="auto"/>
        </w:rPr>
        <w:t xml:space="preserve"> benchmarks for indirect emissions per unit of production, calculated as the product of electricity consumption corresponding to the most efficient available technologies and of the CO</w:t>
      </w:r>
      <w:r w:rsidR="00AC6975" w:rsidRPr="000653A9">
        <w:rPr>
          <w:noProof/>
          <w:color w:val="auto"/>
          <w:vertAlign w:val="subscript"/>
        </w:rPr>
        <w:t>2</w:t>
      </w:r>
      <w:r w:rsidR="00AC6975" w:rsidRPr="000653A9">
        <w:rPr>
          <w:noProof/>
          <w:color w:val="auto"/>
        </w:rPr>
        <w:t xml:space="preserve"> emissions from electricity production.</w:t>
      </w:r>
    </w:p>
    <w:p w14:paraId="3DD69340" w14:textId="05474B82" w:rsidR="00AC6975" w:rsidRPr="000653A9" w:rsidRDefault="003805B0" w:rsidP="00AC6975">
      <w:pPr>
        <w:rPr>
          <w:noProof/>
          <w:color w:val="auto"/>
        </w:rPr>
      </w:pPr>
      <w:r w:rsidRPr="000653A9">
        <w:rPr>
          <w:rFonts w:eastAsia="Times New Roman"/>
          <w:noProof/>
          <w:color w:val="auto"/>
        </w:rPr>
        <w:t>Th</w:t>
      </w:r>
      <w:r w:rsidR="00E30BD9" w:rsidRPr="000653A9">
        <w:rPr>
          <w:rFonts w:eastAsia="Times New Roman"/>
          <w:noProof/>
          <w:color w:val="auto"/>
        </w:rPr>
        <w:t>e Article 10(6)</w:t>
      </w:r>
      <w:r w:rsidRPr="000653A9">
        <w:rPr>
          <w:rFonts w:eastAsia="Times New Roman"/>
          <w:noProof/>
          <w:color w:val="auto"/>
        </w:rPr>
        <w:t xml:space="preserve"> mandate does not contain an expiry date and is not subject to a review clause. However, Article 30(2) states that carbon leakage support measures shall be kept under </w:t>
      </w:r>
      <w:r w:rsidR="00800A07" w:rsidRPr="000653A9">
        <w:rPr>
          <w:rFonts w:eastAsia="Times New Roman"/>
          <w:noProof/>
          <w:color w:val="auto"/>
        </w:rPr>
        <w:t>review and</w:t>
      </w:r>
      <w:r w:rsidRPr="000653A9">
        <w:rPr>
          <w:rFonts w:eastAsia="Times New Roman"/>
          <w:noProof/>
          <w:color w:val="auto"/>
        </w:rPr>
        <w:t xml:space="preserve"> </w:t>
      </w:r>
      <w:r w:rsidR="00335E31" w:rsidRPr="000653A9">
        <w:rPr>
          <w:rFonts w:eastAsia="Times New Roman"/>
          <w:noProof/>
          <w:color w:val="auto"/>
        </w:rPr>
        <w:t xml:space="preserve">explicitly </w:t>
      </w:r>
      <w:r w:rsidRPr="000653A9">
        <w:rPr>
          <w:rFonts w:eastAsia="Times New Roman"/>
          <w:noProof/>
          <w:color w:val="auto"/>
        </w:rPr>
        <w:t>requires the Commission to consider whether ICC measures should be further harmonised.</w:t>
      </w:r>
      <w:r w:rsidR="002E1DAA" w:rsidRPr="000653A9">
        <w:rPr>
          <w:rFonts w:eastAsia="Times New Roman"/>
          <w:noProof/>
          <w:color w:val="auto"/>
        </w:rPr>
        <w:t xml:space="preserve"> In practice, </w:t>
      </w:r>
      <w:r w:rsidR="00677599" w:rsidRPr="000653A9">
        <w:rPr>
          <w:rFonts w:eastAsia="Times New Roman"/>
          <w:noProof/>
          <w:color w:val="auto"/>
        </w:rPr>
        <w:t>detailed</w:t>
      </w:r>
      <w:r w:rsidR="002E1DAA" w:rsidRPr="000653A9">
        <w:rPr>
          <w:rFonts w:eastAsia="Times New Roman"/>
          <w:noProof/>
          <w:color w:val="auto"/>
        </w:rPr>
        <w:t xml:space="preserve"> elements of Indirect Cost Compensation (ICC) governance are </w:t>
      </w:r>
      <w:r w:rsidR="00677599" w:rsidRPr="000653A9">
        <w:rPr>
          <w:rFonts w:eastAsia="Times New Roman"/>
          <w:noProof/>
          <w:color w:val="auto"/>
        </w:rPr>
        <w:t>elab</w:t>
      </w:r>
      <w:r w:rsidR="006C1896" w:rsidRPr="000653A9">
        <w:rPr>
          <w:rFonts w:eastAsia="Times New Roman"/>
          <w:noProof/>
          <w:color w:val="auto"/>
        </w:rPr>
        <w:t>orated and</w:t>
      </w:r>
      <w:r w:rsidR="002E1DAA" w:rsidRPr="000653A9">
        <w:rPr>
          <w:rFonts w:eastAsia="Times New Roman"/>
          <w:noProof/>
          <w:color w:val="auto"/>
        </w:rPr>
        <w:t xml:space="preserve"> </w:t>
      </w:r>
      <w:r w:rsidR="00912E06" w:rsidRPr="000653A9">
        <w:rPr>
          <w:rFonts w:eastAsia="Times New Roman"/>
          <w:noProof/>
          <w:color w:val="auto"/>
        </w:rPr>
        <w:t>amended</w:t>
      </w:r>
      <w:r w:rsidR="00D26107" w:rsidRPr="000653A9">
        <w:rPr>
          <w:rFonts w:eastAsia="Times New Roman"/>
          <w:noProof/>
          <w:color w:val="auto"/>
        </w:rPr>
        <w:t xml:space="preserve"> </w:t>
      </w:r>
      <w:r w:rsidR="002E1DAA" w:rsidRPr="000653A9">
        <w:rPr>
          <w:rFonts w:eastAsia="Times New Roman"/>
          <w:noProof/>
          <w:color w:val="auto"/>
        </w:rPr>
        <w:t>through the relevant State aid guidelines</w:t>
      </w:r>
      <w:r w:rsidR="002E1DAA" w:rsidRPr="000653A9">
        <w:rPr>
          <w:rStyle w:val="FootnoteReference"/>
          <w:rFonts w:eastAsia="Times New Roman"/>
          <w:noProof/>
          <w:color w:val="auto"/>
        </w:rPr>
        <w:footnoteReference w:id="4"/>
      </w:r>
      <w:r w:rsidR="00D26107" w:rsidRPr="000653A9">
        <w:rPr>
          <w:rFonts w:eastAsia="Times New Roman"/>
          <w:noProof/>
          <w:color w:val="auto"/>
        </w:rPr>
        <w:t xml:space="preserve">, which are </w:t>
      </w:r>
      <w:r w:rsidR="0050302F" w:rsidRPr="000653A9">
        <w:rPr>
          <w:rFonts w:eastAsia="Times New Roman"/>
          <w:noProof/>
          <w:color w:val="auto"/>
        </w:rPr>
        <w:t>outside the scope of this review</w:t>
      </w:r>
      <w:r w:rsidR="002E1DAA" w:rsidRPr="000653A9">
        <w:rPr>
          <w:rFonts w:eastAsia="Times New Roman"/>
          <w:noProof/>
          <w:color w:val="auto"/>
        </w:rPr>
        <w:t>.</w:t>
      </w:r>
    </w:p>
    <w:p w14:paraId="0E264C3B" w14:textId="2CCF9BF0" w:rsidR="007166D6" w:rsidRPr="000653A9" w:rsidRDefault="00C04B91" w:rsidP="00A85458">
      <w:pPr>
        <w:spacing w:after="240"/>
        <w:rPr>
          <w:noProof/>
          <w:color w:val="auto"/>
        </w:rPr>
      </w:pPr>
      <w:r w:rsidRPr="000653A9">
        <w:rPr>
          <w:noProof/>
          <w:color w:val="auto"/>
        </w:rPr>
        <w:t>The guidelines</w:t>
      </w:r>
      <w:r w:rsidR="006379A4" w:rsidRPr="000653A9">
        <w:rPr>
          <w:noProof/>
          <w:color w:val="auto"/>
        </w:rPr>
        <w:t xml:space="preserve"> are</w:t>
      </w:r>
      <w:r w:rsidR="00AC6975" w:rsidRPr="000653A9">
        <w:rPr>
          <w:noProof/>
          <w:color w:val="auto"/>
        </w:rPr>
        <w:t xml:space="preserve"> developed separately</w:t>
      </w:r>
      <w:r w:rsidR="006379A4" w:rsidRPr="000653A9">
        <w:rPr>
          <w:noProof/>
          <w:color w:val="auto"/>
        </w:rPr>
        <w:t xml:space="preserve"> and</w:t>
      </w:r>
      <w:r w:rsidR="00AC6975" w:rsidRPr="000653A9">
        <w:rPr>
          <w:noProof/>
          <w:color w:val="auto"/>
        </w:rPr>
        <w:t xml:space="preserve"> cover the key characteristics such as sectoral eligibility, the methodology for calculating indirect carbon cost</w:t>
      </w:r>
      <w:r w:rsidR="00A51063" w:rsidRPr="000653A9">
        <w:rPr>
          <w:noProof/>
          <w:color w:val="auto"/>
        </w:rPr>
        <w:t>,</w:t>
      </w:r>
      <w:r w:rsidR="00AC6975" w:rsidRPr="000653A9">
        <w:rPr>
          <w:noProof/>
          <w:color w:val="auto"/>
        </w:rPr>
        <w:t xml:space="preserve"> the generosity of the aid (aid intensity)</w:t>
      </w:r>
      <w:r w:rsidR="00A51063" w:rsidRPr="000653A9">
        <w:rPr>
          <w:noProof/>
          <w:color w:val="auto"/>
        </w:rPr>
        <w:t xml:space="preserve"> and conditions related to the expenditure of the aid</w:t>
      </w:r>
      <w:r w:rsidR="003D64DB" w:rsidRPr="000653A9">
        <w:rPr>
          <w:noProof/>
          <w:color w:val="auto"/>
        </w:rPr>
        <w:t xml:space="preserve"> (conditionality)</w:t>
      </w:r>
      <w:r w:rsidR="00AC6975" w:rsidRPr="000653A9">
        <w:rPr>
          <w:noProof/>
          <w:color w:val="auto"/>
        </w:rPr>
        <w:t>. The objective of the guidelines is to ensure that any State aid awarded is necessary to achieve the environmental objective of the EU ETS</w:t>
      </w:r>
      <w:r w:rsidR="00E46B88" w:rsidRPr="000653A9">
        <w:rPr>
          <w:noProof/>
          <w:color w:val="auto"/>
        </w:rPr>
        <w:t xml:space="preserve"> by reducing the risk of indirect carbon </w:t>
      </w:r>
      <w:r w:rsidR="00800A07" w:rsidRPr="000653A9">
        <w:rPr>
          <w:noProof/>
          <w:color w:val="auto"/>
        </w:rPr>
        <w:t>leakage and</w:t>
      </w:r>
      <w:r w:rsidR="00AC6975" w:rsidRPr="000653A9">
        <w:rPr>
          <w:noProof/>
          <w:color w:val="auto"/>
        </w:rPr>
        <w:t xml:space="preserve"> is limited to the minimum needed to achieve the environmental protection sought (proportionality of the aid) without creating undue distortions of competition and trade in the internal market</w:t>
      </w:r>
      <w:r w:rsidR="007166D6" w:rsidRPr="000653A9">
        <w:rPr>
          <w:rStyle w:val="FootnoteReference"/>
          <w:noProof/>
          <w:color w:val="auto"/>
        </w:rPr>
        <w:footnoteReference w:id="5"/>
      </w:r>
      <w:r w:rsidR="00E46B88" w:rsidRPr="000653A9">
        <w:rPr>
          <w:noProof/>
          <w:color w:val="auto"/>
        </w:rPr>
        <w:t>.</w:t>
      </w:r>
      <w:r w:rsidR="00025B85" w:rsidRPr="000653A9">
        <w:rPr>
          <w:noProof/>
          <w:color w:val="auto"/>
        </w:rPr>
        <w:t xml:space="preserve"> </w:t>
      </w:r>
    </w:p>
    <w:p w14:paraId="799D7962" w14:textId="7B3EBB0B" w:rsidR="00BF1D99" w:rsidRPr="000653A9" w:rsidRDefault="00025B85" w:rsidP="00A85458">
      <w:pPr>
        <w:spacing w:after="240"/>
        <w:rPr>
          <w:rFonts w:eastAsia="Times New Roman"/>
          <w:noProof/>
          <w:color w:val="auto"/>
        </w:rPr>
      </w:pPr>
      <w:r w:rsidRPr="000653A9">
        <w:rPr>
          <w:noProof/>
          <w:color w:val="auto"/>
        </w:rPr>
        <w:t>Aside from State aid,</w:t>
      </w:r>
      <w:r w:rsidR="00AC6975" w:rsidRPr="000653A9">
        <w:rPr>
          <w:noProof/>
          <w:color w:val="auto"/>
        </w:rPr>
        <w:t xml:space="preserve"> some electro-intensive installations are also eligible to receive free allocation covering indirect emissions</w:t>
      </w:r>
      <w:r w:rsidRPr="000653A9">
        <w:rPr>
          <w:noProof/>
          <w:color w:val="auto"/>
        </w:rPr>
        <w:t xml:space="preserve"> from January 2026</w:t>
      </w:r>
      <w:r w:rsidR="00AC6975" w:rsidRPr="000653A9">
        <w:rPr>
          <w:noProof/>
          <w:color w:val="auto"/>
        </w:rPr>
        <w:t xml:space="preserve">. </w:t>
      </w:r>
      <w:r w:rsidR="00EE0E04" w:rsidRPr="000653A9">
        <w:rPr>
          <w:noProof/>
          <w:color w:val="auto"/>
        </w:rPr>
        <w:t>To</w:t>
      </w:r>
      <w:r w:rsidR="00AC6975" w:rsidRPr="000653A9">
        <w:rPr>
          <w:noProof/>
          <w:color w:val="auto"/>
        </w:rPr>
        <w:t xml:space="preserve"> incentivise the electrification of industrial processes and reduce their emissions, the 2024 amendment of the FAR</w:t>
      </w:r>
      <w:r w:rsidR="00AC6975" w:rsidRPr="000653A9">
        <w:rPr>
          <w:noProof/>
          <w:color w:val="auto"/>
          <w:vertAlign w:val="superscript"/>
        </w:rPr>
        <w:t xml:space="preserve"> </w:t>
      </w:r>
      <w:r w:rsidR="00AC6975" w:rsidRPr="000653A9">
        <w:rPr>
          <w:noProof/>
          <w:color w:val="auto"/>
        </w:rPr>
        <w:t>remove</w:t>
      </w:r>
      <w:r w:rsidR="00D93F71" w:rsidRPr="000653A9">
        <w:rPr>
          <w:noProof/>
          <w:color w:val="auto"/>
        </w:rPr>
        <w:t>d</w:t>
      </w:r>
      <w:r w:rsidR="00AC6975" w:rsidRPr="000653A9">
        <w:rPr>
          <w:noProof/>
          <w:color w:val="auto"/>
        </w:rPr>
        <w:t xml:space="preserve"> the rules on “exchangeability” of fuel and electricity, </w:t>
      </w:r>
      <w:r w:rsidR="00D93F71" w:rsidRPr="000653A9">
        <w:rPr>
          <w:noProof/>
          <w:color w:val="auto"/>
        </w:rPr>
        <w:t xml:space="preserve">so </w:t>
      </w:r>
      <w:r w:rsidR="00AC6975" w:rsidRPr="000653A9">
        <w:rPr>
          <w:noProof/>
          <w:color w:val="auto"/>
        </w:rPr>
        <w:t>that highly or entirely electrified processes covered by the EU ETS benefit from</w:t>
      </w:r>
      <w:r w:rsidR="009F50F0" w:rsidRPr="000653A9">
        <w:rPr>
          <w:noProof/>
          <w:color w:val="auto"/>
        </w:rPr>
        <w:t xml:space="preserve"> the same</w:t>
      </w:r>
      <w:r w:rsidR="00AC6975" w:rsidRPr="000653A9">
        <w:rPr>
          <w:noProof/>
          <w:color w:val="auto"/>
        </w:rPr>
        <w:t xml:space="preserve"> free allocation as processes with high direct emissions</w:t>
      </w:r>
      <w:r w:rsidR="00BF3218" w:rsidRPr="000653A9">
        <w:rPr>
          <w:noProof/>
          <w:color w:val="auto"/>
          <w:vertAlign w:val="superscript"/>
        </w:rPr>
        <w:footnoteReference w:id="6"/>
      </w:r>
      <w:r w:rsidR="00AC6975" w:rsidRPr="000653A9">
        <w:rPr>
          <w:noProof/>
          <w:color w:val="auto"/>
        </w:rPr>
        <w:t xml:space="preserve">. </w:t>
      </w:r>
      <w:r w:rsidR="00BF3218" w:rsidRPr="000653A9">
        <w:rPr>
          <w:noProof/>
          <w:color w:val="auto"/>
        </w:rPr>
        <w:t>The extent to which an electrified installation benefit</w:t>
      </w:r>
      <w:r w:rsidR="00641137" w:rsidRPr="000653A9">
        <w:rPr>
          <w:noProof/>
          <w:color w:val="auto"/>
        </w:rPr>
        <w:t>s</w:t>
      </w:r>
      <w:r w:rsidR="00BF3218" w:rsidRPr="000653A9">
        <w:rPr>
          <w:noProof/>
          <w:color w:val="auto"/>
        </w:rPr>
        <w:t xml:space="preserve"> from this depends on the </w:t>
      </w:r>
      <w:r w:rsidR="001E0E7A" w:rsidRPr="000653A9">
        <w:rPr>
          <w:noProof/>
          <w:color w:val="auto"/>
        </w:rPr>
        <w:t xml:space="preserve">free </w:t>
      </w:r>
      <w:r w:rsidR="00BF3218" w:rsidRPr="000653A9">
        <w:rPr>
          <w:noProof/>
          <w:color w:val="auto"/>
        </w:rPr>
        <w:t>allocation benchmark</w:t>
      </w:r>
      <w:r w:rsidR="00486376" w:rsidRPr="000653A9">
        <w:rPr>
          <w:noProof/>
          <w:color w:val="auto"/>
        </w:rPr>
        <w:t>s</w:t>
      </w:r>
      <w:r w:rsidR="00BF3218" w:rsidRPr="000653A9">
        <w:rPr>
          <w:noProof/>
          <w:color w:val="auto"/>
        </w:rPr>
        <w:t xml:space="preserve"> (i.e. an installation will benefit most when it has electrified, but high direct emissions are still included in the relevant benchmark). </w:t>
      </w:r>
      <w:r w:rsidR="00AC6975" w:rsidRPr="000653A9">
        <w:rPr>
          <w:noProof/>
          <w:color w:val="auto"/>
        </w:rPr>
        <w:t>To avoid overcompensation</w:t>
      </w:r>
      <w:r w:rsidR="00641137" w:rsidRPr="000653A9">
        <w:rPr>
          <w:noProof/>
          <w:color w:val="auto"/>
        </w:rPr>
        <w:t>,</w:t>
      </w:r>
      <w:r w:rsidR="00AC6975" w:rsidRPr="000653A9">
        <w:rPr>
          <w:noProof/>
          <w:color w:val="auto"/>
        </w:rPr>
        <w:t xml:space="preserve"> Article 10a(6) of the ETS Directive states that indirect costs covered by free allocation should not also be covered by State aid.</w:t>
      </w:r>
      <w:r w:rsidR="00A85458" w:rsidRPr="000653A9">
        <w:rPr>
          <w:rFonts w:eastAsia="Times New Roman"/>
          <w:noProof/>
          <w:color w:val="auto"/>
        </w:rPr>
        <w:t xml:space="preserve"> </w:t>
      </w:r>
      <w:r w:rsidR="00BC68A7" w:rsidRPr="000653A9">
        <w:rPr>
          <w:noProof/>
          <w:color w:val="auto"/>
        </w:rPr>
        <w:t>Processes not eligible to receive free allocation covering indirect emissions will remain eligible for national State aid schemes. The FAR change may affect the composition of indirect cost compensation in two ways: 1) demand for State aid may fall if a share of the indirect cost is instead compensated through free allocation; 2) the overall quantity of compensated emissions may increase, since some installations who would not have received State aid will receive free allocation.</w:t>
      </w:r>
    </w:p>
    <w:p w14:paraId="55E9C92B" w14:textId="0959E22F" w:rsidR="00A85458" w:rsidRPr="000653A9" w:rsidRDefault="00A85458" w:rsidP="00A85458">
      <w:pPr>
        <w:spacing w:after="240"/>
        <w:rPr>
          <w:noProof/>
          <w:color w:val="auto"/>
        </w:rPr>
      </w:pPr>
      <w:r w:rsidRPr="000653A9">
        <w:rPr>
          <w:rFonts w:eastAsia="Times New Roman"/>
          <w:noProof/>
          <w:color w:val="auto"/>
        </w:rPr>
        <w:t xml:space="preserve">In principle, carbon leakage risks related to ICC should </w:t>
      </w:r>
      <w:r w:rsidR="004477CD" w:rsidRPr="000653A9">
        <w:rPr>
          <w:rFonts w:eastAsia="Times New Roman"/>
          <w:noProof/>
          <w:color w:val="auto"/>
        </w:rPr>
        <w:t>damp</w:t>
      </w:r>
      <w:r w:rsidR="00A20860" w:rsidRPr="000653A9">
        <w:rPr>
          <w:rFonts w:eastAsia="Times New Roman"/>
          <w:noProof/>
          <w:color w:val="auto"/>
        </w:rPr>
        <w:t>en</w:t>
      </w:r>
      <w:r w:rsidRPr="000653A9">
        <w:rPr>
          <w:rFonts w:eastAsia="Times New Roman"/>
          <w:noProof/>
          <w:color w:val="auto"/>
        </w:rPr>
        <w:t xml:space="preserve"> over time as the EU’s electricity supply decarbonises. However, ICC can still play an outsized role in the costs faced by electro-intensive industries due to the role of fossil fuels in setting </w:t>
      </w:r>
      <w:r w:rsidRPr="000653A9">
        <w:rPr>
          <w:rFonts w:eastAsia="Times New Roman"/>
          <w:i/>
          <w:iCs/>
          <w:noProof/>
          <w:color w:val="auto"/>
        </w:rPr>
        <w:t>marginal</w:t>
      </w:r>
      <w:r w:rsidRPr="000653A9">
        <w:rPr>
          <w:rFonts w:eastAsia="Times New Roman"/>
          <w:noProof/>
          <w:color w:val="auto"/>
        </w:rPr>
        <w:t xml:space="preserve"> electricity prices. JRC analysis suggests that </w:t>
      </w:r>
      <w:r w:rsidR="072925D0" w:rsidRPr="000653A9">
        <w:rPr>
          <w:rFonts w:eastAsia="Times New Roman"/>
          <w:noProof/>
          <w:color w:val="auto"/>
        </w:rPr>
        <w:t>fos</w:t>
      </w:r>
      <w:r w:rsidR="096D8F7B" w:rsidRPr="000653A9">
        <w:rPr>
          <w:rFonts w:eastAsia="Times New Roman"/>
          <w:noProof/>
          <w:color w:val="auto"/>
        </w:rPr>
        <w:t xml:space="preserve">sil </w:t>
      </w:r>
      <w:r w:rsidR="072925D0" w:rsidRPr="000653A9">
        <w:rPr>
          <w:rFonts w:eastAsia="Times New Roman"/>
          <w:noProof/>
          <w:color w:val="auto"/>
        </w:rPr>
        <w:t>fuel</w:t>
      </w:r>
      <w:r w:rsidR="6D49AC62" w:rsidRPr="000653A9">
        <w:rPr>
          <w:rFonts w:eastAsia="Times New Roman"/>
          <w:noProof/>
          <w:color w:val="auto"/>
        </w:rPr>
        <w:t xml:space="preserve">led </w:t>
      </w:r>
      <w:r w:rsidRPr="000653A9">
        <w:rPr>
          <w:rFonts w:eastAsia="Times New Roman"/>
          <w:noProof/>
          <w:color w:val="auto"/>
        </w:rPr>
        <w:t xml:space="preserve">power plants will continue to set the marginal price </w:t>
      </w:r>
      <w:r w:rsidR="5AB7184D" w:rsidRPr="000653A9">
        <w:rPr>
          <w:rFonts w:eastAsia="Times New Roman"/>
          <w:noProof/>
          <w:color w:val="auto"/>
        </w:rPr>
        <w:t>8</w:t>
      </w:r>
      <w:r w:rsidR="28F6BF56" w:rsidRPr="000653A9">
        <w:rPr>
          <w:rFonts w:eastAsia="Times New Roman"/>
          <w:noProof/>
          <w:color w:val="auto"/>
        </w:rPr>
        <w:t>6</w:t>
      </w:r>
      <w:r w:rsidRPr="000653A9">
        <w:rPr>
          <w:rFonts w:eastAsia="Times New Roman"/>
          <w:noProof/>
          <w:color w:val="auto"/>
        </w:rPr>
        <w:t xml:space="preserve">% of the time </w:t>
      </w:r>
      <w:r w:rsidR="6E297BC3" w:rsidRPr="000653A9">
        <w:rPr>
          <w:rFonts w:eastAsia="Times New Roman"/>
          <w:noProof/>
          <w:color w:val="auto"/>
        </w:rPr>
        <w:t>up to</w:t>
      </w:r>
      <w:r w:rsidRPr="000653A9">
        <w:rPr>
          <w:rFonts w:eastAsia="Times New Roman"/>
          <w:noProof/>
          <w:color w:val="auto"/>
        </w:rPr>
        <w:t xml:space="preserve"> 2030</w:t>
      </w:r>
      <w:r w:rsidRPr="000653A9">
        <w:rPr>
          <w:rStyle w:val="FootnoteReference"/>
          <w:rFonts w:eastAsia="Times New Roman"/>
          <w:noProof/>
          <w:color w:val="auto"/>
        </w:rPr>
        <w:footnoteReference w:id="7"/>
      </w:r>
      <w:r w:rsidRPr="000653A9">
        <w:rPr>
          <w:rFonts w:eastAsia="Times New Roman"/>
          <w:noProof/>
          <w:color w:val="auto"/>
        </w:rPr>
        <w:t xml:space="preserve">. It is therefore relevant to consider how carbon leakage risk related to ICC should be addressed after 2030. </w:t>
      </w:r>
    </w:p>
    <w:p w14:paraId="6670B465" w14:textId="532749A7" w:rsidR="00AC6975" w:rsidRPr="000653A9" w:rsidRDefault="00B074CB" w:rsidP="00AC6975">
      <w:pPr>
        <w:rPr>
          <w:noProof/>
          <w:color w:val="auto"/>
        </w:rPr>
      </w:pPr>
      <w:r w:rsidRPr="000653A9">
        <w:rPr>
          <w:noProof/>
          <w:color w:val="auto"/>
        </w:rPr>
        <w:t>At present, 15 Member States grant ICC</w:t>
      </w:r>
      <w:r w:rsidR="00EB74BF" w:rsidRPr="000653A9">
        <w:rPr>
          <w:noProof/>
          <w:color w:val="auto"/>
        </w:rPr>
        <w:t xml:space="preserve">. </w:t>
      </w:r>
      <w:r w:rsidR="00AC6975" w:rsidRPr="000653A9">
        <w:rPr>
          <w:noProof/>
          <w:color w:val="auto"/>
        </w:rPr>
        <w:t>This impact assessment considers</w:t>
      </w:r>
      <w:r w:rsidR="00FB5AEE" w:rsidRPr="000653A9">
        <w:rPr>
          <w:noProof/>
          <w:color w:val="auto"/>
        </w:rPr>
        <w:t xml:space="preserve"> </w:t>
      </w:r>
      <w:r w:rsidR="00855B05" w:rsidRPr="000653A9">
        <w:rPr>
          <w:noProof/>
          <w:color w:val="auto"/>
        </w:rPr>
        <w:t xml:space="preserve">how </w:t>
      </w:r>
      <w:r w:rsidR="00D0469F" w:rsidRPr="000653A9">
        <w:rPr>
          <w:noProof/>
          <w:color w:val="auto"/>
        </w:rPr>
        <w:t xml:space="preserve">the </w:t>
      </w:r>
      <w:r w:rsidR="00855B05" w:rsidRPr="000653A9">
        <w:rPr>
          <w:noProof/>
          <w:color w:val="auto"/>
        </w:rPr>
        <w:t>ETS Directive</w:t>
      </w:r>
      <w:r w:rsidR="001D6399" w:rsidRPr="000653A9">
        <w:rPr>
          <w:noProof/>
          <w:color w:val="auto"/>
        </w:rPr>
        <w:t xml:space="preserve"> </w:t>
      </w:r>
      <w:r w:rsidR="00744EEA" w:rsidRPr="000653A9">
        <w:rPr>
          <w:noProof/>
          <w:color w:val="auto"/>
        </w:rPr>
        <w:t>should address</w:t>
      </w:r>
      <w:r w:rsidR="00D0469F" w:rsidRPr="000653A9">
        <w:rPr>
          <w:noProof/>
          <w:color w:val="auto"/>
        </w:rPr>
        <w:t xml:space="preserve"> ICC</w:t>
      </w:r>
      <w:r w:rsidR="00855B05" w:rsidRPr="000653A9">
        <w:rPr>
          <w:noProof/>
          <w:color w:val="auto"/>
        </w:rPr>
        <w:t xml:space="preserve"> </w:t>
      </w:r>
      <w:r w:rsidR="00744EEA" w:rsidRPr="000653A9">
        <w:rPr>
          <w:noProof/>
          <w:color w:val="auto"/>
        </w:rPr>
        <w:t>post-2030</w:t>
      </w:r>
      <w:r w:rsidR="00701674" w:rsidRPr="000653A9">
        <w:rPr>
          <w:noProof/>
          <w:color w:val="auto"/>
        </w:rPr>
        <w:t>, including</w:t>
      </w:r>
      <w:r w:rsidR="00AC6975" w:rsidRPr="000653A9">
        <w:rPr>
          <w:noProof/>
          <w:color w:val="auto"/>
        </w:rPr>
        <w:t xml:space="preserve"> </w:t>
      </w:r>
      <w:r w:rsidR="00E95BF9" w:rsidRPr="000653A9">
        <w:rPr>
          <w:noProof/>
          <w:color w:val="auto"/>
        </w:rPr>
        <w:t>whether ICC measures should be further harmonised</w:t>
      </w:r>
      <w:r w:rsidR="00701674" w:rsidRPr="000653A9">
        <w:rPr>
          <w:noProof/>
          <w:color w:val="auto"/>
        </w:rPr>
        <w:t>.</w:t>
      </w:r>
      <w:r w:rsidR="00AC6975" w:rsidRPr="000653A9">
        <w:rPr>
          <w:noProof/>
          <w:color w:val="auto"/>
        </w:rPr>
        <w:t xml:space="preserve"> It does not quantify the specific effect of the FAR change. </w:t>
      </w:r>
      <w:r w:rsidR="007F6DBF" w:rsidRPr="000653A9">
        <w:rPr>
          <w:noProof/>
          <w:color w:val="auto"/>
        </w:rPr>
        <w:t xml:space="preserve">Further details of the </w:t>
      </w:r>
      <w:r w:rsidR="001C5A1D" w:rsidRPr="000653A9">
        <w:rPr>
          <w:noProof/>
          <w:color w:val="auto"/>
        </w:rPr>
        <w:t>current ICC governance framework can be found in the annual report on the functioning of the European carbon market</w:t>
      </w:r>
      <w:r w:rsidR="002C48D6" w:rsidRPr="000653A9">
        <w:rPr>
          <w:rStyle w:val="FootnoteReference"/>
          <w:noProof/>
          <w:color w:val="auto"/>
        </w:rPr>
        <w:footnoteReference w:id="8"/>
      </w:r>
      <w:r w:rsidR="00842711" w:rsidRPr="000653A9">
        <w:rPr>
          <w:noProof/>
          <w:color w:val="auto"/>
        </w:rPr>
        <w:t xml:space="preserve">, </w:t>
      </w:r>
      <w:r w:rsidR="002C48D6" w:rsidRPr="000653A9">
        <w:rPr>
          <w:noProof/>
          <w:color w:val="auto"/>
        </w:rPr>
        <w:t>and State aid guidelines</w:t>
      </w:r>
      <w:r w:rsidR="004D3E31" w:rsidRPr="000653A9">
        <w:rPr>
          <w:rStyle w:val="FootnoteReference"/>
          <w:noProof/>
          <w:color w:val="auto"/>
        </w:rPr>
        <w:footnoteReference w:id="9"/>
      </w:r>
      <w:r w:rsidR="002C48D6" w:rsidRPr="000653A9">
        <w:rPr>
          <w:noProof/>
          <w:color w:val="auto"/>
        </w:rPr>
        <w:t>.</w:t>
      </w:r>
      <w:r w:rsidR="00842711" w:rsidRPr="000653A9">
        <w:rPr>
          <w:noProof/>
          <w:color w:val="auto"/>
        </w:rPr>
        <w:t xml:space="preserve"> </w:t>
      </w:r>
    </w:p>
    <w:p w14:paraId="2673C36D" w14:textId="77777777" w:rsidR="00EF793B" w:rsidRPr="000653A9" w:rsidRDefault="00EF793B" w:rsidP="009539AB">
      <w:pPr>
        <w:pStyle w:val="Heading4COM"/>
        <w:outlineLvl w:val="4"/>
        <w:rPr>
          <w:noProof/>
        </w:rPr>
      </w:pPr>
      <w:bookmarkStart w:id="259" w:name="_Toc230857893"/>
      <w:bookmarkStart w:id="260" w:name="_Toc232751084"/>
      <w:r w:rsidRPr="000653A9">
        <w:rPr>
          <w:noProof/>
        </w:rPr>
        <w:t>Overview of sectors eligible for indirect cost compensation</w:t>
      </w:r>
      <w:bookmarkEnd w:id="259"/>
      <w:bookmarkEnd w:id="260"/>
    </w:p>
    <w:p w14:paraId="5F10CBAF" w14:textId="43BFDD17" w:rsidR="00AC6975" w:rsidRPr="000653A9" w:rsidRDefault="00AC6975" w:rsidP="00AC6975">
      <w:pPr>
        <w:rPr>
          <w:noProof/>
          <w:color w:val="auto"/>
        </w:rPr>
      </w:pPr>
      <w:r w:rsidRPr="000653A9">
        <w:rPr>
          <w:noProof/>
          <w:color w:val="auto"/>
        </w:rPr>
        <w:t xml:space="preserve">The list of sectors eligible for indirect cost compensation through State aid </w:t>
      </w:r>
      <w:r w:rsidR="001C686E" w:rsidRPr="000653A9">
        <w:rPr>
          <w:noProof/>
          <w:color w:val="auto"/>
        </w:rPr>
        <w:t xml:space="preserve">for the period 2021-2025 </w:t>
      </w:r>
      <w:r w:rsidRPr="000653A9">
        <w:rPr>
          <w:noProof/>
          <w:color w:val="auto"/>
        </w:rPr>
        <w:t>was established in the ETS State aid guidelines published in 2020.</w:t>
      </w:r>
      <w:r w:rsidR="000A0735" w:rsidRPr="000653A9">
        <w:rPr>
          <w:noProof/>
          <w:color w:val="auto"/>
        </w:rPr>
        <w:t xml:space="preserve"> This list is shown in</w:t>
      </w:r>
      <w:r w:rsidRPr="000653A9">
        <w:rPr>
          <w:noProof/>
          <w:color w:val="auto"/>
        </w:rPr>
        <w:t xml:space="preserve"> </w:t>
      </w:r>
      <w:r w:rsidR="00BC36A9" w:rsidRPr="000653A9">
        <w:rPr>
          <w:noProof/>
          <w:color w:val="auto"/>
        </w:rPr>
        <w:t xml:space="preserve">Table </w:t>
      </w:r>
      <w:r w:rsidR="00AC6CB8" w:rsidRPr="000653A9">
        <w:rPr>
          <w:noProof/>
          <w:color w:val="auto"/>
        </w:rPr>
        <w:t>1</w:t>
      </w:r>
      <w:r w:rsidRPr="000653A9">
        <w:rPr>
          <w:noProof/>
          <w:color w:val="auto"/>
        </w:rPr>
        <w:t>.</w:t>
      </w:r>
      <w:r w:rsidR="006942C8" w:rsidRPr="000653A9">
        <w:rPr>
          <w:noProof/>
          <w:color w:val="auto"/>
        </w:rPr>
        <w:t xml:space="preserve"> </w:t>
      </w:r>
      <w:r w:rsidR="00A21E5B" w:rsidRPr="000653A9">
        <w:rPr>
          <w:noProof/>
          <w:color w:val="auto"/>
        </w:rPr>
        <w:t>In early 2026, these guidelines were</w:t>
      </w:r>
      <w:r w:rsidR="009D1B18" w:rsidRPr="000653A9">
        <w:rPr>
          <w:noProof/>
          <w:color w:val="auto"/>
        </w:rPr>
        <w:t xml:space="preserve"> amend</w:t>
      </w:r>
      <w:r w:rsidR="00A21E5B" w:rsidRPr="000653A9">
        <w:rPr>
          <w:noProof/>
          <w:color w:val="auto"/>
        </w:rPr>
        <w:t>ed</w:t>
      </w:r>
      <w:r w:rsidR="009D1B18" w:rsidRPr="000653A9">
        <w:rPr>
          <w:noProof/>
          <w:color w:val="auto"/>
        </w:rPr>
        <w:t xml:space="preserve"> for the period 2026-2030, expanding the number of eligible sectors</w:t>
      </w:r>
      <w:r w:rsidR="00041894" w:rsidRPr="000653A9">
        <w:rPr>
          <w:noProof/>
          <w:color w:val="auto"/>
        </w:rPr>
        <w:t xml:space="preserve"> and changing some of the aid intensity and conditionality</w:t>
      </w:r>
      <w:r w:rsidR="008C2491" w:rsidRPr="000653A9">
        <w:rPr>
          <w:noProof/>
          <w:color w:val="auto"/>
        </w:rPr>
        <w:t xml:space="preserve"> rules</w:t>
      </w:r>
      <w:r w:rsidR="009D1B18" w:rsidRPr="000653A9">
        <w:rPr>
          <w:noProof/>
          <w:color w:val="auto"/>
        </w:rPr>
        <w:t xml:space="preserve">. </w:t>
      </w:r>
      <w:r w:rsidR="00BA307A" w:rsidRPr="000653A9">
        <w:rPr>
          <w:noProof/>
          <w:color w:val="auto"/>
        </w:rPr>
        <w:t xml:space="preserve">The effect of the amendment is not considered in this </w:t>
      </w:r>
      <w:r w:rsidR="009D1B18" w:rsidRPr="000653A9">
        <w:rPr>
          <w:noProof/>
          <w:color w:val="auto"/>
        </w:rPr>
        <w:t>assess</w:t>
      </w:r>
      <w:r w:rsidR="004B7A8A" w:rsidRPr="000653A9">
        <w:rPr>
          <w:noProof/>
          <w:color w:val="auto"/>
        </w:rPr>
        <w:t>ment</w:t>
      </w:r>
      <w:r w:rsidR="00BA307A" w:rsidRPr="000653A9">
        <w:rPr>
          <w:noProof/>
          <w:color w:val="auto"/>
        </w:rPr>
        <w:t>.</w:t>
      </w:r>
      <w:r w:rsidR="004B7A8A" w:rsidRPr="000653A9">
        <w:rPr>
          <w:noProof/>
          <w:color w:val="auto"/>
        </w:rPr>
        <w:t xml:space="preserve"> </w:t>
      </w:r>
    </w:p>
    <w:p w14:paraId="0E5C6D51" w14:textId="7A3D1916" w:rsidR="00AC6975" w:rsidRPr="000653A9" w:rsidRDefault="1307F672" w:rsidP="00C92FA9">
      <w:pPr>
        <w:pStyle w:val="Tabletitle"/>
        <w:rPr>
          <w:noProof/>
        </w:rPr>
      </w:pPr>
      <w:bookmarkStart w:id="261" w:name="_Ref212477297"/>
      <w:bookmarkStart w:id="262" w:name="_Toc234435104"/>
      <w:bookmarkStart w:id="263" w:name="_Toc232003564"/>
      <w:r w:rsidRPr="0006475C">
        <w:rPr>
          <w:noProof/>
        </w:rPr>
        <w:t>Sectors</w:t>
      </w:r>
      <w:r w:rsidRPr="000653A9">
        <w:rPr>
          <w:noProof/>
        </w:rPr>
        <w:t xml:space="preserve"> deemed to be exposed to a genuine risk of carbon leakage due to indirect emission costs</w:t>
      </w:r>
      <w:bookmarkEnd w:id="261"/>
      <w:r w:rsidR="002270D1" w:rsidRPr="000653A9">
        <w:rPr>
          <w:noProof/>
        </w:rPr>
        <w:t xml:space="preserve"> (excluding </w:t>
      </w:r>
      <w:r w:rsidR="00F95C1F" w:rsidRPr="000653A9">
        <w:rPr>
          <w:noProof/>
        </w:rPr>
        <w:t xml:space="preserve">sectors </w:t>
      </w:r>
      <w:r w:rsidR="00E24AB5" w:rsidRPr="000653A9">
        <w:rPr>
          <w:noProof/>
        </w:rPr>
        <w:t>that have become newly eligible as of 1 January 2025)</w:t>
      </w:r>
      <w:bookmarkEnd w:id="262"/>
      <w:bookmarkEnd w:id="263"/>
    </w:p>
    <w:tbl>
      <w:tblPr>
        <w:tblStyle w:val="RicardoTabl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4780"/>
      </w:tblGrid>
      <w:tr w:rsidR="00C600D7" w:rsidRPr="000653A9" w14:paraId="1BC47D7A" w14:textId="77777777" w:rsidTr="008A5E41">
        <w:trPr>
          <w:cnfStyle w:val="100000000000" w:firstRow="1" w:lastRow="0" w:firstColumn="0" w:lastColumn="0" w:oddVBand="0" w:evenVBand="0" w:oddHBand="0" w:evenHBand="0" w:firstRowFirstColumn="0" w:firstRowLastColumn="0" w:lastRowFirstColumn="0" w:lastRowLastColumn="0"/>
          <w:jc w:val="center"/>
        </w:trPr>
        <w:tc>
          <w:tcPr>
            <w:tcW w:w="0" w:type="auto"/>
          </w:tcPr>
          <w:p w14:paraId="0ADA87BB" w14:textId="77777777" w:rsidR="00AC6975" w:rsidRPr="000653A9" w:rsidRDefault="00AC6975">
            <w:pPr>
              <w:spacing w:before="40" w:after="0"/>
              <w:rPr>
                <w:noProof/>
                <w:color w:val="auto"/>
                <w:sz w:val="22"/>
                <w:szCs w:val="22"/>
              </w:rPr>
            </w:pPr>
            <w:r w:rsidRPr="000653A9">
              <w:rPr>
                <w:noProof/>
                <w:color w:val="auto"/>
                <w:sz w:val="22"/>
                <w:szCs w:val="22"/>
              </w:rPr>
              <w:t>NACE code</w:t>
            </w:r>
          </w:p>
        </w:tc>
        <w:tc>
          <w:tcPr>
            <w:tcW w:w="0" w:type="auto"/>
          </w:tcPr>
          <w:p w14:paraId="7C95D976" w14:textId="77777777" w:rsidR="00AC6975" w:rsidRPr="000653A9" w:rsidRDefault="00AC6975">
            <w:pPr>
              <w:spacing w:before="40" w:after="0"/>
              <w:rPr>
                <w:noProof/>
                <w:color w:val="auto"/>
                <w:sz w:val="22"/>
                <w:szCs w:val="22"/>
              </w:rPr>
            </w:pPr>
            <w:r w:rsidRPr="000653A9">
              <w:rPr>
                <w:noProof/>
                <w:color w:val="auto"/>
                <w:sz w:val="22"/>
                <w:szCs w:val="22"/>
              </w:rPr>
              <w:t>Description</w:t>
            </w:r>
          </w:p>
        </w:tc>
      </w:tr>
      <w:tr w:rsidR="00C600D7" w:rsidRPr="000653A9" w14:paraId="6712B7FF" w14:textId="77777777" w:rsidTr="008A5E41">
        <w:trPr>
          <w:jc w:val="center"/>
        </w:trPr>
        <w:tc>
          <w:tcPr>
            <w:tcW w:w="0" w:type="auto"/>
          </w:tcPr>
          <w:p w14:paraId="5C0E83AA" w14:textId="77777777" w:rsidR="00AC6975" w:rsidRPr="000653A9" w:rsidRDefault="00AC6975">
            <w:pPr>
              <w:spacing w:before="40" w:after="0"/>
              <w:rPr>
                <w:noProof/>
                <w:color w:val="auto"/>
                <w:sz w:val="22"/>
                <w:szCs w:val="22"/>
              </w:rPr>
            </w:pPr>
            <w:r w:rsidRPr="000653A9">
              <w:rPr>
                <w:noProof/>
                <w:color w:val="auto"/>
                <w:sz w:val="22"/>
                <w:szCs w:val="22"/>
              </w:rPr>
              <w:t>14.11</w:t>
            </w:r>
          </w:p>
        </w:tc>
        <w:tc>
          <w:tcPr>
            <w:tcW w:w="0" w:type="auto"/>
          </w:tcPr>
          <w:p w14:paraId="33DE0280" w14:textId="77777777" w:rsidR="00AC6975" w:rsidRPr="000653A9" w:rsidRDefault="00AC6975">
            <w:pPr>
              <w:spacing w:before="40" w:after="0"/>
              <w:rPr>
                <w:noProof/>
                <w:color w:val="auto"/>
                <w:sz w:val="22"/>
                <w:szCs w:val="22"/>
              </w:rPr>
            </w:pPr>
            <w:r w:rsidRPr="000653A9">
              <w:rPr>
                <w:noProof/>
                <w:color w:val="auto"/>
                <w:sz w:val="22"/>
                <w:szCs w:val="22"/>
              </w:rPr>
              <w:t>Manufacture of leather clothes</w:t>
            </w:r>
          </w:p>
        </w:tc>
      </w:tr>
      <w:tr w:rsidR="00C600D7" w:rsidRPr="000653A9" w14:paraId="7BF0C350" w14:textId="77777777" w:rsidTr="008A5E41">
        <w:trPr>
          <w:jc w:val="center"/>
        </w:trPr>
        <w:tc>
          <w:tcPr>
            <w:tcW w:w="0" w:type="auto"/>
          </w:tcPr>
          <w:p w14:paraId="5429A720" w14:textId="77777777" w:rsidR="00AC6975" w:rsidRPr="000653A9" w:rsidRDefault="00AC6975">
            <w:pPr>
              <w:spacing w:before="40" w:after="0"/>
              <w:rPr>
                <w:noProof/>
                <w:color w:val="auto"/>
                <w:sz w:val="22"/>
                <w:szCs w:val="22"/>
              </w:rPr>
            </w:pPr>
            <w:r w:rsidRPr="000653A9">
              <w:rPr>
                <w:noProof/>
                <w:color w:val="auto"/>
                <w:sz w:val="22"/>
                <w:szCs w:val="22"/>
              </w:rPr>
              <w:t>24.42</w:t>
            </w:r>
          </w:p>
        </w:tc>
        <w:tc>
          <w:tcPr>
            <w:tcW w:w="0" w:type="auto"/>
          </w:tcPr>
          <w:p w14:paraId="5CFD4945" w14:textId="77777777" w:rsidR="00AC6975" w:rsidRPr="000653A9" w:rsidRDefault="00AC6975">
            <w:pPr>
              <w:spacing w:before="40" w:after="0"/>
              <w:rPr>
                <w:noProof/>
                <w:color w:val="auto"/>
                <w:sz w:val="22"/>
                <w:szCs w:val="22"/>
              </w:rPr>
            </w:pPr>
            <w:r w:rsidRPr="000653A9">
              <w:rPr>
                <w:noProof/>
                <w:color w:val="auto"/>
                <w:sz w:val="22"/>
                <w:szCs w:val="22"/>
              </w:rPr>
              <w:t>Aluminium production</w:t>
            </w:r>
          </w:p>
        </w:tc>
      </w:tr>
      <w:tr w:rsidR="00C600D7" w:rsidRPr="000653A9" w14:paraId="6C94FD4B" w14:textId="77777777" w:rsidTr="008A5E41">
        <w:trPr>
          <w:jc w:val="center"/>
        </w:trPr>
        <w:tc>
          <w:tcPr>
            <w:tcW w:w="0" w:type="auto"/>
          </w:tcPr>
          <w:p w14:paraId="5E81DFCD" w14:textId="77777777" w:rsidR="00AC6975" w:rsidRPr="000653A9" w:rsidRDefault="00AC6975">
            <w:pPr>
              <w:spacing w:before="40" w:after="0"/>
              <w:rPr>
                <w:noProof/>
                <w:color w:val="auto"/>
                <w:sz w:val="22"/>
                <w:szCs w:val="22"/>
              </w:rPr>
            </w:pPr>
            <w:r w:rsidRPr="000653A9">
              <w:rPr>
                <w:noProof/>
                <w:color w:val="auto"/>
                <w:sz w:val="22"/>
                <w:szCs w:val="22"/>
              </w:rPr>
              <w:t>20.13</w:t>
            </w:r>
          </w:p>
        </w:tc>
        <w:tc>
          <w:tcPr>
            <w:tcW w:w="0" w:type="auto"/>
          </w:tcPr>
          <w:p w14:paraId="3773B289" w14:textId="77777777" w:rsidR="00AC6975" w:rsidRPr="000653A9" w:rsidRDefault="00AC6975">
            <w:pPr>
              <w:spacing w:before="40" w:after="0"/>
              <w:rPr>
                <w:noProof/>
                <w:color w:val="auto"/>
                <w:sz w:val="22"/>
                <w:szCs w:val="22"/>
              </w:rPr>
            </w:pPr>
            <w:r w:rsidRPr="000653A9">
              <w:rPr>
                <w:noProof/>
                <w:color w:val="auto"/>
                <w:sz w:val="22"/>
                <w:szCs w:val="22"/>
              </w:rPr>
              <w:t>Manufacture of other inorganic basic chemicals</w:t>
            </w:r>
          </w:p>
        </w:tc>
      </w:tr>
      <w:tr w:rsidR="00C600D7" w:rsidRPr="000653A9" w14:paraId="51CF5ECA" w14:textId="77777777" w:rsidTr="008A5E41">
        <w:trPr>
          <w:jc w:val="center"/>
        </w:trPr>
        <w:tc>
          <w:tcPr>
            <w:tcW w:w="0" w:type="auto"/>
          </w:tcPr>
          <w:p w14:paraId="2AC62A0C" w14:textId="77777777" w:rsidR="00AC6975" w:rsidRPr="000653A9" w:rsidRDefault="00AC6975">
            <w:pPr>
              <w:spacing w:before="40" w:after="0"/>
              <w:rPr>
                <w:noProof/>
                <w:color w:val="auto"/>
                <w:sz w:val="22"/>
                <w:szCs w:val="22"/>
              </w:rPr>
            </w:pPr>
            <w:r w:rsidRPr="000653A9">
              <w:rPr>
                <w:noProof/>
                <w:color w:val="auto"/>
                <w:sz w:val="22"/>
                <w:szCs w:val="22"/>
              </w:rPr>
              <w:t>24.43</w:t>
            </w:r>
          </w:p>
        </w:tc>
        <w:tc>
          <w:tcPr>
            <w:tcW w:w="0" w:type="auto"/>
          </w:tcPr>
          <w:p w14:paraId="0F47D552" w14:textId="77777777" w:rsidR="00AC6975" w:rsidRPr="000653A9" w:rsidRDefault="00AC6975">
            <w:pPr>
              <w:spacing w:before="40" w:after="0"/>
              <w:rPr>
                <w:noProof/>
                <w:color w:val="auto"/>
                <w:sz w:val="22"/>
                <w:szCs w:val="22"/>
              </w:rPr>
            </w:pPr>
            <w:r w:rsidRPr="000653A9">
              <w:rPr>
                <w:noProof/>
                <w:color w:val="auto"/>
                <w:sz w:val="22"/>
                <w:szCs w:val="22"/>
              </w:rPr>
              <w:t>Lead, zinc and tin production</w:t>
            </w:r>
          </w:p>
        </w:tc>
      </w:tr>
      <w:tr w:rsidR="00C600D7" w:rsidRPr="000653A9" w14:paraId="6A016458" w14:textId="77777777" w:rsidTr="008A5E41">
        <w:trPr>
          <w:jc w:val="center"/>
        </w:trPr>
        <w:tc>
          <w:tcPr>
            <w:tcW w:w="0" w:type="auto"/>
          </w:tcPr>
          <w:p w14:paraId="1B744779" w14:textId="77777777" w:rsidR="00AC6975" w:rsidRPr="000653A9" w:rsidRDefault="00AC6975">
            <w:pPr>
              <w:spacing w:before="40" w:after="0"/>
              <w:rPr>
                <w:noProof/>
                <w:color w:val="auto"/>
                <w:sz w:val="22"/>
                <w:szCs w:val="22"/>
              </w:rPr>
            </w:pPr>
            <w:r w:rsidRPr="000653A9">
              <w:rPr>
                <w:noProof/>
                <w:color w:val="auto"/>
                <w:sz w:val="22"/>
                <w:szCs w:val="22"/>
              </w:rPr>
              <w:t>17.11</w:t>
            </w:r>
          </w:p>
        </w:tc>
        <w:tc>
          <w:tcPr>
            <w:tcW w:w="0" w:type="auto"/>
          </w:tcPr>
          <w:p w14:paraId="56E6A97F" w14:textId="77777777" w:rsidR="00AC6975" w:rsidRPr="000653A9" w:rsidRDefault="00AC6975">
            <w:pPr>
              <w:spacing w:before="40" w:after="0"/>
              <w:rPr>
                <w:noProof/>
                <w:color w:val="auto"/>
                <w:sz w:val="22"/>
                <w:szCs w:val="22"/>
              </w:rPr>
            </w:pPr>
            <w:r w:rsidRPr="000653A9">
              <w:rPr>
                <w:noProof/>
                <w:color w:val="auto"/>
                <w:sz w:val="22"/>
                <w:szCs w:val="22"/>
              </w:rPr>
              <w:t>Manufacture of pulp</w:t>
            </w:r>
          </w:p>
        </w:tc>
      </w:tr>
      <w:tr w:rsidR="00C600D7" w:rsidRPr="000653A9" w14:paraId="2C8FBDF8" w14:textId="77777777" w:rsidTr="008A5E41">
        <w:trPr>
          <w:jc w:val="center"/>
        </w:trPr>
        <w:tc>
          <w:tcPr>
            <w:tcW w:w="0" w:type="auto"/>
          </w:tcPr>
          <w:p w14:paraId="527383CC" w14:textId="77777777" w:rsidR="00AC6975" w:rsidRPr="000653A9" w:rsidRDefault="00AC6975">
            <w:pPr>
              <w:spacing w:before="40" w:after="0"/>
              <w:rPr>
                <w:noProof/>
                <w:color w:val="auto"/>
                <w:sz w:val="22"/>
                <w:szCs w:val="22"/>
              </w:rPr>
            </w:pPr>
            <w:r w:rsidRPr="000653A9">
              <w:rPr>
                <w:noProof/>
                <w:color w:val="auto"/>
                <w:sz w:val="22"/>
                <w:szCs w:val="22"/>
              </w:rPr>
              <w:t>17.12</w:t>
            </w:r>
          </w:p>
        </w:tc>
        <w:tc>
          <w:tcPr>
            <w:tcW w:w="0" w:type="auto"/>
          </w:tcPr>
          <w:p w14:paraId="3493FE4E" w14:textId="77777777" w:rsidR="00AC6975" w:rsidRPr="000653A9" w:rsidRDefault="00AC6975">
            <w:pPr>
              <w:spacing w:before="40" w:after="0"/>
              <w:rPr>
                <w:noProof/>
                <w:color w:val="auto"/>
                <w:sz w:val="22"/>
                <w:szCs w:val="22"/>
              </w:rPr>
            </w:pPr>
            <w:r w:rsidRPr="000653A9">
              <w:rPr>
                <w:noProof/>
                <w:color w:val="auto"/>
                <w:sz w:val="22"/>
                <w:szCs w:val="22"/>
              </w:rPr>
              <w:t>Manufacture of paper and paperboard</w:t>
            </w:r>
          </w:p>
        </w:tc>
      </w:tr>
      <w:tr w:rsidR="00C600D7" w:rsidRPr="000653A9" w14:paraId="1F465336" w14:textId="77777777" w:rsidTr="008A5E41">
        <w:trPr>
          <w:jc w:val="center"/>
        </w:trPr>
        <w:tc>
          <w:tcPr>
            <w:tcW w:w="0" w:type="auto"/>
          </w:tcPr>
          <w:p w14:paraId="21779F73" w14:textId="77777777" w:rsidR="00AC6975" w:rsidRPr="000653A9" w:rsidRDefault="00AC6975">
            <w:pPr>
              <w:spacing w:before="40" w:after="0"/>
              <w:rPr>
                <w:noProof/>
                <w:color w:val="auto"/>
                <w:sz w:val="22"/>
                <w:szCs w:val="22"/>
              </w:rPr>
            </w:pPr>
            <w:r w:rsidRPr="000653A9">
              <w:rPr>
                <w:noProof/>
                <w:color w:val="auto"/>
                <w:sz w:val="22"/>
                <w:szCs w:val="22"/>
              </w:rPr>
              <w:t>24.10</w:t>
            </w:r>
          </w:p>
        </w:tc>
        <w:tc>
          <w:tcPr>
            <w:tcW w:w="0" w:type="auto"/>
          </w:tcPr>
          <w:p w14:paraId="052CB5C7" w14:textId="77777777" w:rsidR="00AC6975" w:rsidRPr="000653A9" w:rsidRDefault="00AC6975">
            <w:pPr>
              <w:spacing w:before="40" w:after="0"/>
              <w:rPr>
                <w:noProof/>
                <w:color w:val="auto"/>
                <w:sz w:val="22"/>
                <w:szCs w:val="22"/>
              </w:rPr>
            </w:pPr>
            <w:r w:rsidRPr="000653A9">
              <w:rPr>
                <w:noProof/>
                <w:color w:val="auto"/>
                <w:sz w:val="22"/>
                <w:szCs w:val="22"/>
              </w:rPr>
              <w:t>Manufacture of basic iron and steel and ferro-alloys</w:t>
            </w:r>
          </w:p>
        </w:tc>
      </w:tr>
      <w:tr w:rsidR="00C600D7" w:rsidRPr="000653A9" w14:paraId="0DB1871C" w14:textId="77777777" w:rsidTr="008A5E41">
        <w:trPr>
          <w:jc w:val="center"/>
        </w:trPr>
        <w:tc>
          <w:tcPr>
            <w:tcW w:w="0" w:type="auto"/>
          </w:tcPr>
          <w:p w14:paraId="67F2EFC5" w14:textId="77777777" w:rsidR="00AC6975" w:rsidRPr="000653A9" w:rsidRDefault="00AC6975">
            <w:pPr>
              <w:spacing w:before="40" w:after="0"/>
              <w:rPr>
                <w:noProof/>
                <w:color w:val="auto"/>
                <w:sz w:val="22"/>
                <w:szCs w:val="22"/>
              </w:rPr>
            </w:pPr>
            <w:r w:rsidRPr="000653A9">
              <w:rPr>
                <w:noProof/>
                <w:color w:val="auto"/>
                <w:sz w:val="22"/>
                <w:szCs w:val="22"/>
              </w:rPr>
              <w:t>19.20</w:t>
            </w:r>
          </w:p>
        </w:tc>
        <w:tc>
          <w:tcPr>
            <w:tcW w:w="0" w:type="auto"/>
          </w:tcPr>
          <w:p w14:paraId="6DE53866" w14:textId="77777777" w:rsidR="00AC6975" w:rsidRPr="000653A9" w:rsidRDefault="00AC6975">
            <w:pPr>
              <w:spacing w:before="40" w:after="0"/>
              <w:rPr>
                <w:noProof/>
                <w:color w:val="auto"/>
                <w:sz w:val="22"/>
                <w:szCs w:val="22"/>
              </w:rPr>
            </w:pPr>
            <w:r w:rsidRPr="000653A9">
              <w:rPr>
                <w:noProof/>
                <w:color w:val="auto"/>
                <w:sz w:val="22"/>
                <w:szCs w:val="22"/>
              </w:rPr>
              <w:t>Manufacture of refined petroleum products</w:t>
            </w:r>
          </w:p>
        </w:tc>
      </w:tr>
      <w:tr w:rsidR="00C600D7" w:rsidRPr="000653A9" w14:paraId="3F8A6F0E" w14:textId="77777777" w:rsidTr="008A5E41">
        <w:trPr>
          <w:jc w:val="center"/>
        </w:trPr>
        <w:tc>
          <w:tcPr>
            <w:tcW w:w="0" w:type="auto"/>
          </w:tcPr>
          <w:p w14:paraId="6E98FFEE" w14:textId="77777777" w:rsidR="00AC6975" w:rsidRPr="000653A9" w:rsidRDefault="00AC6975">
            <w:pPr>
              <w:spacing w:before="40" w:after="0"/>
              <w:rPr>
                <w:noProof/>
                <w:color w:val="auto"/>
                <w:sz w:val="22"/>
                <w:szCs w:val="22"/>
              </w:rPr>
            </w:pPr>
            <w:r w:rsidRPr="000653A9">
              <w:rPr>
                <w:noProof/>
                <w:color w:val="auto"/>
                <w:sz w:val="22"/>
                <w:szCs w:val="22"/>
              </w:rPr>
              <w:t>24.44</w:t>
            </w:r>
          </w:p>
        </w:tc>
        <w:tc>
          <w:tcPr>
            <w:tcW w:w="0" w:type="auto"/>
          </w:tcPr>
          <w:p w14:paraId="7E9F4797" w14:textId="77777777" w:rsidR="00AC6975" w:rsidRPr="000653A9" w:rsidRDefault="00AC6975">
            <w:pPr>
              <w:spacing w:before="40" w:after="0"/>
              <w:rPr>
                <w:noProof/>
                <w:color w:val="auto"/>
                <w:sz w:val="22"/>
                <w:szCs w:val="22"/>
              </w:rPr>
            </w:pPr>
            <w:r w:rsidRPr="000653A9">
              <w:rPr>
                <w:noProof/>
                <w:color w:val="auto"/>
                <w:sz w:val="22"/>
                <w:szCs w:val="22"/>
              </w:rPr>
              <w:t>Copper production</w:t>
            </w:r>
          </w:p>
        </w:tc>
      </w:tr>
      <w:tr w:rsidR="00C600D7" w:rsidRPr="000653A9" w14:paraId="6EDD01E4" w14:textId="77777777" w:rsidTr="008A5E41">
        <w:trPr>
          <w:jc w:val="center"/>
        </w:trPr>
        <w:tc>
          <w:tcPr>
            <w:tcW w:w="0" w:type="auto"/>
          </w:tcPr>
          <w:p w14:paraId="3CD34806" w14:textId="77777777" w:rsidR="00AC6975" w:rsidRPr="000653A9" w:rsidRDefault="00AC6975">
            <w:pPr>
              <w:spacing w:before="40" w:after="0"/>
              <w:rPr>
                <w:noProof/>
                <w:color w:val="auto"/>
                <w:sz w:val="22"/>
                <w:szCs w:val="22"/>
              </w:rPr>
            </w:pPr>
            <w:r w:rsidRPr="000653A9">
              <w:rPr>
                <w:noProof/>
                <w:color w:val="auto"/>
                <w:sz w:val="22"/>
                <w:szCs w:val="22"/>
              </w:rPr>
              <w:t>24.45</w:t>
            </w:r>
          </w:p>
        </w:tc>
        <w:tc>
          <w:tcPr>
            <w:tcW w:w="0" w:type="auto"/>
          </w:tcPr>
          <w:p w14:paraId="107EE327" w14:textId="77777777" w:rsidR="00AC6975" w:rsidRPr="000653A9" w:rsidRDefault="00AC6975">
            <w:pPr>
              <w:spacing w:before="40" w:after="0"/>
              <w:rPr>
                <w:noProof/>
                <w:color w:val="auto"/>
                <w:sz w:val="22"/>
                <w:szCs w:val="22"/>
              </w:rPr>
            </w:pPr>
            <w:r w:rsidRPr="000653A9">
              <w:rPr>
                <w:noProof/>
                <w:color w:val="auto"/>
                <w:sz w:val="22"/>
                <w:szCs w:val="22"/>
              </w:rPr>
              <w:t>Other non-ferrous metal production</w:t>
            </w:r>
          </w:p>
        </w:tc>
      </w:tr>
      <w:tr w:rsidR="00C600D7" w:rsidRPr="000653A9" w14:paraId="73930ECB" w14:textId="77777777" w:rsidTr="008A5E41">
        <w:trPr>
          <w:jc w:val="center"/>
        </w:trPr>
        <w:tc>
          <w:tcPr>
            <w:tcW w:w="0" w:type="auto"/>
          </w:tcPr>
          <w:p w14:paraId="2F9E86E8" w14:textId="77777777" w:rsidR="00AC6975" w:rsidRPr="000653A9" w:rsidRDefault="00AC6975">
            <w:pPr>
              <w:spacing w:before="40" w:after="0"/>
              <w:rPr>
                <w:noProof/>
                <w:color w:val="auto"/>
                <w:sz w:val="22"/>
                <w:szCs w:val="22"/>
              </w:rPr>
            </w:pPr>
            <w:r w:rsidRPr="000653A9">
              <w:rPr>
                <w:noProof/>
                <w:color w:val="auto"/>
                <w:sz w:val="22"/>
                <w:szCs w:val="22"/>
              </w:rPr>
              <w:t>20.16.40.15</w:t>
            </w:r>
          </w:p>
        </w:tc>
        <w:tc>
          <w:tcPr>
            <w:tcW w:w="0" w:type="auto"/>
          </w:tcPr>
          <w:p w14:paraId="6FAA4E84" w14:textId="77777777" w:rsidR="00AC6975" w:rsidRPr="000653A9" w:rsidRDefault="00AC6975">
            <w:pPr>
              <w:spacing w:before="40" w:after="0"/>
              <w:rPr>
                <w:noProof/>
                <w:color w:val="auto"/>
                <w:sz w:val="22"/>
                <w:szCs w:val="22"/>
              </w:rPr>
            </w:pPr>
            <w:r w:rsidRPr="000653A9">
              <w:rPr>
                <w:noProof/>
                <w:color w:val="auto"/>
                <w:sz w:val="22"/>
                <w:szCs w:val="22"/>
              </w:rPr>
              <w:t>Polyethylene in primary forms</w:t>
            </w:r>
          </w:p>
        </w:tc>
      </w:tr>
      <w:tr w:rsidR="00C600D7" w:rsidRPr="000653A9" w14:paraId="7B078C8A" w14:textId="77777777" w:rsidTr="008A5E41">
        <w:trPr>
          <w:jc w:val="center"/>
        </w:trPr>
        <w:tc>
          <w:tcPr>
            <w:tcW w:w="0" w:type="auto"/>
          </w:tcPr>
          <w:p w14:paraId="6BAB70DD" w14:textId="77777777" w:rsidR="00AC6975" w:rsidRPr="000653A9" w:rsidRDefault="00AC6975">
            <w:pPr>
              <w:spacing w:before="40" w:after="0"/>
              <w:rPr>
                <w:noProof/>
                <w:color w:val="auto"/>
                <w:sz w:val="22"/>
                <w:szCs w:val="22"/>
              </w:rPr>
            </w:pPr>
            <w:r w:rsidRPr="000653A9">
              <w:rPr>
                <w:noProof/>
                <w:color w:val="auto"/>
                <w:sz w:val="22"/>
                <w:szCs w:val="22"/>
              </w:rPr>
              <w:t>23.14.12.10</w:t>
            </w:r>
          </w:p>
        </w:tc>
        <w:tc>
          <w:tcPr>
            <w:tcW w:w="0" w:type="auto"/>
          </w:tcPr>
          <w:p w14:paraId="2B15B683" w14:textId="77777777" w:rsidR="00AC6975" w:rsidRPr="000653A9" w:rsidRDefault="00AC6975">
            <w:pPr>
              <w:spacing w:before="40" w:after="0"/>
              <w:rPr>
                <w:noProof/>
                <w:color w:val="auto"/>
                <w:sz w:val="22"/>
                <w:szCs w:val="22"/>
              </w:rPr>
            </w:pPr>
            <w:r w:rsidRPr="000653A9">
              <w:rPr>
                <w:noProof/>
                <w:color w:val="auto"/>
                <w:sz w:val="22"/>
                <w:szCs w:val="22"/>
              </w:rPr>
              <w:t>Glass fibre mats</w:t>
            </w:r>
          </w:p>
        </w:tc>
      </w:tr>
      <w:tr w:rsidR="00C600D7" w:rsidRPr="000653A9" w14:paraId="139B07B1" w14:textId="77777777" w:rsidTr="008A5E41">
        <w:trPr>
          <w:jc w:val="center"/>
        </w:trPr>
        <w:tc>
          <w:tcPr>
            <w:tcW w:w="0" w:type="auto"/>
          </w:tcPr>
          <w:p w14:paraId="6BA778E0" w14:textId="77777777" w:rsidR="00AC6975" w:rsidRPr="000653A9" w:rsidRDefault="00AC6975">
            <w:pPr>
              <w:spacing w:before="40" w:after="0"/>
              <w:rPr>
                <w:noProof/>
                <w:color w:val="auto"/>
                <w:sz w:val="22"/>
                <w:szCs w:val="22"/>
              </w:rPr>
            </w:pPr>
            <w:r w:rsidRPr="000653A9">
              <w:rPr>
                <w:noProof/>
                <w:color w:val="auto"/>
                <w:sz w:val="22"/>
                <w:szCs w:val="22"/>
              </w:rPr>
              <w:t>23.14.12.30</w:t>
            </w:r>
          </w:p>
        </w:tc>
        <w:tc>
          <w:tcPr>
            <w:tcW w:w="0" w:type="auto"/>
          </w:tcPr>
          <w:p w14:paraId="12D51533" w14:textId="77777777" w:rsidR="00AC6975" w:rsidRPr="000653A9" w:rsidRDefault="00AC6975">
            <w:pPr>
              <w:spacing w:before="40" w:after="0"/>
              <w:rPr>
                <w:noProof/>
                <w:color w:val="auto"/>
                <w:sz w:val="22"/>
                <w:szCs w:val="22"/>
              </w:rPr>
            </w:pPr>
            <w:r w:rsidRPr="000653A9">
              <w:rPr>
                <w:noProof/>
                <w:color w:val="auto"/>
                <w:sz w:val="22"/>
                <w:szCs w:val="22"/>
              </w:rPr>
              <w:t>Glass fibre voiles</w:t>
            </w:r>
          </w:p>
        </w:tc>
      </w:tr>
      <w:tr w:rsidR="00C600D7" w:rsidRPr="000653A9" w14:paraId="18FD485D" w14:textId="77777777" w:rsidTr="008A5E41">
        <w:trPr>
          <w:jc w:val="center"/>
        </w:trPr>
        <w:tc>
          <w:tcPr>
            <w:tcW w:w="0" w:type="auto"/>
          </w:tcPr>
          <w:p w14:paraId="3D82D3B0" w14:textId="77777777" w:rsidR="00AC6975" w:rsidRPr="000653A9" w:rsidRDefault="00AC6975">
            <w:pPr>
              <w:spacing w:before="40" w:after="0"/>
              <w:rPr>
                <w:noProof/>
                <w:color w:val="auto"/>
                <w:sz w:val="22"/>
                <w:szCs w:val="22"/>
              </w:rPr>
            </w:pPr>
            <w:r w:rsidRPr="000653A9">
              <w:rPr>
                <w:noProof/>
                <w:color w:val="auto"/>
                <w:sz w:val="22"/>
                <w:szCs w:val="22"/>
              </w:rPr>
              <w:t>20.11.11.50</w:t>
            </w:r>
          </w:p>
        </w:tc>
        <w:tc>
          <w:tcPr>
            <w:tcW w:w="0" w:type="auto"/>
          </w:tcPr>
          <w:p w14:paraId="5EFFDE3A" w14:textId="77777777" w:rsidR="00AC6975" w:rsidRPr="000653A9" w:rsidRDefault="00AC6975">
            <w:pPr>
              <w:spacing w:before="40" w:after="0"/>
              <w:rPr>
                <w:noProof/>
                <w:color w:val="auto"/>
                <w:sz w:val="22"/>
                <w:szCs w:val="22"/>
              </w:rPr>
            </w:pPr>
            <w:r w:rsidRPr="000653A9">
              <w:rPr>
                <w:noProof/>
                <w:color w:val="auto"/>
                <w:sz w:val="22"/>
                <w:szCs w:val="22"/>
              </w:rPr>
              <w:t>Hydrogen</w:t>
            </w:r>
          </w:p>
        </w:tc>
      </w:tr>
      <w:tr w:rsidR="00C600D7" w:rsidRPr="000653A9" w14:paraId="65AE479D" w14:textId="77777777" w:rsidTr="008A5E41">
        <w:trPr>
          <w:jc w:val="center"/>
        </w:trPr>
        <w:tc>
          <w:tcPr>
            <w:tcW w:w="0" w:type="auto"/>
          </w:tcPr>
          <w:p w14:paraId="47CDE3D6" w14:textId="77777777" w:rsidR="00AC6975" w:rsidRPr="000653A9" w:rsidRDefault="00AC6975">
            <w:pPr>
              <w:spacing w:before="40" w:after="0"/>
              <w:rPr>
                <w:noProof/>
                <w:color w:val="auto"/>
                <w:sz w:val="22"/>
                <w:szCs w:val="22"/>
              </w:rPr>
            </w:pPr>
            <w:r w:rsidRPr="000653A9">
              <w:rPr>
                <w:noProof/>
                <w:color w:val="auto"/>
                <w:sz w:val="22"/>
                <w:szCs w:val="22"/>
              </w:rPr>
              <w:t>20.11.12.90</w:t>
            </w:r>
          </w:p>
        </w:tc>
        <w:tc>
          <w:tcPr>
            <w:tcW w:w="0" w:type="auto"/>
          </w:tcPr>
          <w:p w14:paraId="40AA7098" w14:textId="77777777" w:rsidR="00AC6975" w:rsidRPr="000653A9" w:rsidRDefault="00AC6975">
            <w:pPr>
              <w:spacing w:before="40" w:after="0"/>
              <w:rPr>
                <w:noProof/>
                <w:color w:val="auto"/>
                <w:sz w:val="22"/>
                <w:szCs w:val="22"/>
              </w:rPr>
            </w:pPr>
            <w:r w:rsidRPr="000653A9">
              <w:rPr>
                <w:noProof/>
                <w:color w:val="auto"/>
                <w:sz w:val="22"/>
                <w:szCs w:val="22"/>
              </w:rPr>
              <w:t>Inorganic oxygen compounds of non-metals</w:t>
            </w:r>
          </w:p>
        </w:tc>
      </w:tr>
    </w:tbl>
    <w:p w14:paraId="21E0C476" w14:textId="77777777" w:rsidR="00DC63F8" w:rsidRPr="000653A9" w:rsidRDefault="00DC63F8" w:rsidP="009539AB">
      <w:pPr>
        <w:pStyle w:val="Heading4COM"/>
        <w:outlineLvl w:val="4"/>
        <w:rPr>
          <w:noProof/>
        </w:rPr>
      </w:pPr>
      <w:bookmarkStart w:id="264" w:name="_Toc212049691"/>
      <w:bookmarkStart w:id="265" w:name="_Toc230857894"/>
      <w:bookmarkStart w:id="266" w:name="_Toc232751085"/>
      <w:r w:rsidRPr="000653A9">
        <w:rPr>
          <w:noProof/>
        </w:rPr>
        <w:t>Overview of the provision of indirect cost compensation by Member State</w:t>
      </w:r>
      <w:bookmarkEnd w:id="264"/>
      <w:bookmarkEnd w:id="265"/>
      <w:bookmarkEnd w:id="266"/>
    </w:p>
    <w:p w14:paraId="1A2C1175" w14:textId="58206177" w:rsidR="007770FE" w:rsidRPr="000653A9" w:rsidRDefault="0083058A" w:rsidP="007770FE">
      <w:pPr>
        <w:rPr>
          <w:noProof/>
          <w:color w:val="auto"/>
        </w:rPr>
      </w:pPr>
      <w:r w:rsidRPr="000653A9">
        <w:rPr>
          <w:noProof/>
          <w:color w:val="auto"/>
        </w:rPr>
        <w:t xml:space="preserve">Table </w:t>
      </w:r>
      <w:r w:rsidR="00AC6CB8" w:rsidRPr="000653A9">
        <w:rPr>
          <w:noProof/>
          <w:color w:val="auto"/>
        </w:rPr>
        <w:t>2</w:t>
      </w:r>
      <w:r w:rsidR="006314ED" w:rsidRPr="000653A9">
        <w:rPr>
          <w:noProof/>
          <w:color w:val="auto"/>
        </w:rPr>
        <w:t xml:space="preserve"> </w:t>
      </w:r>
      <w:r w:rsidR="007770FE" w:rsidRPr="000653A9">
        <w:rPr>
          <w:noProof/>
          <w:color w:val="auto"/>
        </w:rPr>
        <w:t xml:space="preserve">provides an overview of the indirect cost compensation by Member State for the year </w:t>
      </w:r>
      <w:r w:rsidR="00522CE5" w:rsidRPr="000653A9">
        <w:rPr>
          <w:noProof/>
          <w:color w:val="auto"/>
        </w:rPr>
        <w:t>2023</w:t>
      </w:r>
      <w:r w:rsidR="007770FE" w:rsidRPr="000653A9">
        <w:rPr>
          <w:noProof/>
          <w:color w:val="auto"/>
        </w:rPr>
        <w:t xml:space="preserve">. It outlines the </w:t>
      </w:r>
      <w:r w:rsidR="287D6C0F" w:rsidRPr="000653A9">
        <w:rPr>
          <w:noProof/>
          <w:color w:val="auto"/>
        </w:rPr>
        <w:t xml:space="preserve">differentiated </w:t>
      </w:r>
      <w:r w:rsidR="007770FE" w:rsidRPr="000653A9">
        <w:rPr>
          <w:noProof/>
          <w:color w:val="auto"/>
        </w:rPr>
        <w:t>nature of the support for indirect carbon costs across the EU.</w:t>
      </w:r>
    </w:p>
    <w:p w14:paraId="14668EAD" w14:textId="77777777" w:rsidR="00F81849" w:rsidRDefault="00F81849">
      <w:pPr>
        <w:spacing w:before="0" w:line="259" w:lineRule="auto"/>
        <w:rPr>
          <w:rFonts w:eastAsia="Calibri"/>
          <w:i/>
          <w:noProof/>
          <w:color w:val="auto"/>
          <w:sz w:val="22"/>
        </w:rPr>
      </w:pPr>
      <w:bookmarkStart w:id="267" w:name="_Toc234435105"/>
      <w:r>
        <w:rPr>
          <w:noProof/>
        </w:rPr>
        <w:br w:type="page"/>
      </w:r>
    </w:p>
    <w:p w14:paraId="27A673EC" w14:textId="48C3A38F" w:rsidR="007770FE" w:rsidRPr="000653A9" w:rsidRDefault="007770FE" w:rsidP="00C92FA9">
      <w:pPr>
        <w:pStyle w:val="Tabletitle"/>
        <w:rPr>
          <w:noProof/>
        </w:rPr>
      </w:pPr>
      <w:bookmarkStart w:id="268" w:name="_Toc232003565"/>
      <w:r w:rsidRPr="000653A9">
        <w:rPr>
          <w:noProof/>
        </w:rPr>
        <w:t>Indirect cost compensation by Member State</w:t>
      </w:r>
      <w:bookmarkEnd w:id="267"/>
      <w:bookmarkEnd w:id="268"/>
      <w:r w:rsidRPr="000653A9">
        <w:rPr>
          <w:noProof/>
        </w:rPr>
        <w:t xml:space="preserve"> </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1"/>
        <w:gridCol w:w="1893"/>
        <w:gridCol w:w="1894"/>
        <w:gridCol w:w="1894"/>
        <w:gridCol w:w="1894"/>
      </w:tblGrid>
      <w:tr w:rsidR="00C600D7" w:rsidRPr="000653A9" w14:paraId="73ACE8DA" w14:textId="77777777" w:rsidTr="00294F5E">
        <w:trPr>
          <w:trHeight w:val="300"/>
        </w:trPr>
        <w:tc>
          <w:tcPr>
            <w:tcW w:w="0" w:type="auto"/>
            <w:tcMar>
              <w:left w:w="108" w:type="dxa"/>
              <w:right w:w="108" w:type="dxa"/>
            </w:tcMar>
            <w:vAlign w:val="center"/>
          </w:tcPr>
          <w:p w14:paraId="5CEDE1D4" w14:textId="77777777" w:rsidR="00C93BCD" w:rsidRPr="000653A9" w:rsidRDefault="00C93BCD" w:rsidP="00A3612F">
            <w:pPr>
              <w:pStyle w:val="CMR-text"/>
              <w:spacing w:before="0" w:after="0"/>
              <w:rPr>
                <w:rFonts w:cs="Times New Roman"/>
                <w:noProof/>
                <w:lang w:val="en-GB"/>
              </w:rPr>
            </w:pPr>
            <w:r w:rsidRPr="000653A9">
              <w:rPr>
                <w:rFonts w:cs="Times New Roman"/>
                <w:b/>
                <w:noProof/>
                <w:lang w:val="en-GB"/>
              </w:rPr>
              <w:t>Member State</w:t>
            </w:r>
          </w:p>
        </w:tc>
        <w:tc>
          <w:tcPr>
            <w:tcW w:w="1893" w:type="dxa"/>
            <w:tcMar>
              <w:left w:w="108" w:type="dxa"/>
              <w:right w:w="108" w:type="dxa"/>
            </w:tcMar>
            <w:vAlign w:val="center"/>
          </w:tcPr>
          <w:p w14:paraId="2CFD7688" w14:textId="2F3BB31D" w:rsidR="00C93BCD" w:rsidRPr="000653A9" w:rsidRDefault="00C93BCD" w:rsidP="00FF38B3">
            <w:pPr>
              <w:pStyle w:val="CMR-text"/>
              <w:spacing w:before="0" w:after="0"/>
              <w:jc w:val="center"/>
              <w:rPr>
                <w:rFonts w:cs="Times New Roman"/>
                <w:noProof/>
                <w:lang w:val="en-GB"/>
              </w:rPr>
            </w:pPr>
            <w:r w:rsidRPr="000653A9">
              <w:rPr>
                <w:rFonts w:cs="Times New Roman"/>
                <w:b/>
                <w:noProof/>
                <w:lang w:val="en-GB"/>
              </w:rPr>
              <w:t xml:space="preserve">Amount paid  </w:t>
            </w:r>
            <w:r w:rsidRPr="000653A9">
              <w:rPr>
                <w:rFonts w:cs="Times New Roman"/>
                <w:noProof/>
                <w:lang w:val="en-GB"/>
              </w:rPr>
              <w:br/>
            </w:r>
            <w:r w:rsidRPr="000653A9">
              <w:rPr>
                <w:rFonts w:cs="Times New Roman"/>
                <w:b/>
                <w:noProof/>
                <w:lang w:val="en-GB"/>
              </w:rPr>
              <w:t xml:space="preserve"> for indirect costs  </w:t>
            </w:r>
            <w:r w:rsidRPr="000653A9">
              <w:rPr>
                <w:rFonts w:cs="Times New Roman"/>
                <w:noProof/>
                <w:lang w:val="en-GB"/>
              </w:rPr>
              <w:br/>
            </w:r>
            <w:r w:rsidRPr="000653A9">
              <w:rPr>
                <w:rFonts w:cs="Times New Roman"/>
                <w:b/>
                <w:noProof/>
                <w:lang w:val="en-GB"/>
              </w:rPr>
              <w:t xml:space="preserve"> incurred in 2023  </w:t>
            </w:r>
            <w:r w:rsidRPr="000653A9">
              <w:rPr>
                <w:rFonts w:cs="Times New Roman"/>
                <w:noProof/>
                <w:lang w:val="en-GB"/>
              </w:rPr>
              <w:br/>
            </w:r>
            <w:r w:rsidRPr="000653A9">
              <w:rPr>
                <w:rFonts w:cs="Times New Roman"/>
                <w:b/>
                <w:noProof/>
                <w:lang w:val="en-GB"/>
              </w:rPr>
              <w:t xml:space="preserve"> </w:t>
            </w:r>
            <w:r w:rsidR="00DB5EC5">
              <w:rPr>
                <w:rFonts w:cs="Times New Roman"/>
                <w:b/>
                <w:noProof/>
                <w:lang w:val="en-GB"/>
              </w:rPr>
              <w:t>(</w:t>
            </w:r>
            <w:r w:rsidRPr="000653A9">
              <w:rPr>
                <w:rFonts w:cs="Times New Roman"/>
                <w:b/>
                <w:noProof/>
                <w:lang w:val="en-GB"/>
              </w:rPr>
              <w:t>million EUR</w:t>
            </w:r>
            <w:r w:rsidR="00DB5EC5">
              <w:rPr>
                <w:rFonts w:cs="Times New Roman"/>
                <w:b/>
                <w:noProof/>
                <w:lang w:val="en-GB"/>
              </w:rPr>
              <w:t>)</w:t>
            </w:r>
          </w:p>
        </w:tc>
        <w:tc>
          <w:tcPr>
            <w:tcW w:w="1894" w:type="dxa"/>
            <w:tcMar>
              <w:left w:w="108" w:type="dxa"/>
              <w:right w:w="108" w:type="dxa"/>
            </w:tcMar>
            <w:vAlign w:val="center"/>
          </w:tcPr>
          <w:p w14:paraId="12B90432" w14:textId="77777777" w:rsidR="00C93BCD" w:rsidRPr="000653A9" w:rsidRDefault="00C93BCD" w:rsidP="00FF38B3">
            <w:pPr>
              <w:pStyle w:val="CMR-text"/>
              <w:spacing w:before="0" w:after="0"/>
              <w:jc w:val="center"/>
              <w:rPr>
                <w:rFonts w:cs="Times New Roman"/>
                <w:noProof/>
                <w:lang w:val="en-GB"/>
              </w:rPr>
            </w:pPr>
            <w:r w:rsidRPr="000653A9">
              <w:rPr>
                <w:rFonts w:cs="Times New Roman"/>
                <w:b/>
                <w:noProof/>
                <w:lang w:val="en-GB"/>
              </w:rPr>
              <w:t xml:space="preserve">Number  </w:t>
            </w:r>
            <w:r w:rsidRPr="000653A9">
              <w:rPr>
                <w:rFonts w:cs="Times New Roman"/>
                <w:noProof/>
                <w:lang w:val="en-GB"/>
              </w:rPr>
              <w:br/>
            </w:r>
            <w:r w:rsidRPr="000653A9">
              <w:rPr>
                <w:rFonts w:cs="Times New Roman"/>
                <w:b/>
                <w:noProof/>
                <w:lang w:val="en-GB"/>
              </w:rPr>
              <w:t xml:space="preserve"> of recipients </w:t>
            </w:r>
            <w:r w:rsidRPr="000653A9">
              <w:rPr>
                <w:rFonts w:cs="Times New Roman"/>
                <w:noProof/>
                <w:lang w:val="en-GB"/>
              </w:rPr>
              <w:br/>
            </w:r>
            <w:r w:rsidRPr="000653A9">
              <w:rPr>
                <w:rFonts w:cs="Times New Roman"/>
                <w:b/>
                <w:noProof/>
                <w:lang w:val="en-GB"/>
              </w:rPr>
              <w:t xml:space="preserve"> (installations)</w:t>
            </w:r>
          </w:p>
        </w:tc>
        <w:tc>
          <w:tcPr>
            <w:tcW w:w="1894" w:type="dxa"/>
            <w:tcMar>
              <w:left w:w="108" w:type="dxa"/>
              <w:right w:w="108" w:type="dxa"/>
            </w:tcMar>
            <w:vAlign w:val="center"/>
          </w:tcPr>
          <w:p w14:paraId="5EE29BE6" w14:textId="2CC763F1" w:rsidR="00C93BCD" w:rsidRPr="002B04B9" w:rsidRDefault="00C93BCD" w:rsidP="00FF38B3">
            <w:pPr>
              <w:pStyle w:val="CMR-text"/>
              <w:spacing w:before="0" w:after="0"/>
              <w:jc w:val="center"/>
              <w:rPr>
                <w:rFonts w:cs="Times New Roman"/>
                <w:noProof/>
                <w:lang w:val="fr-BE"/>
              </w:rPr>
            </w:pPr>
            <w:r w:rsidRPr="002B04B9">
              <w:rPr>
                <w:rFonts w:cs="Times New Roman"/>
                <w:b/>
                <w:noProof/>
                <w:lang w:val="fr-BE"/>
              </w:rPr>
              <w:t xml:space="preserve">Auction  </w:t>
            </w:r>
            <w:r w:rsidRPr="002B04B9">
              <w:rPr>
                <w:rFonts w:cs="Times New Roman"/>
                <w:noProof/>
                <w:lang w:val="fr-BE"/>
              </w:rPr>
              <w:br/>
            </w:r>
            <w:r w:rsidRPr="002B04B9">
              <w:rPr>
                <w:rFonts w:cs="Times New Roman"/>
                <w:b/>
                <w:noProof/>
                <w:lang w:val="fr-BE"/>
              </w:rPr>
              <w:t xml:space="preserve"> revenues  </w:t>
            </w:r>
            <w:r w:rsidRPr="002B04B9">
              <w:rPr>
                <w:rFonts w:cs="Times New Roman"/>
                <w:noProof/>
                <w:lang w:val="fr-BE"/>
              </w:rPr>
              <w:br/>
            </w:r>
            <w:r w:rsidRPr="002B04B9">
              <w:rPr>
                <w:rFonts w:cs="Times New Roman"/>
                <w:b/>
                <w:noProof/>
                <w:lang w:val="fr-BE"/>
              </w:rPr>
              <w:t xml:space="preserve"> in 2023  </w:t>
            </w:r>
            <w:r w:rsidRPr="002B04B9">
              <w:rPr>
                <w:rFonts w:cs="Times New Roman"/>
                <w:noProof/>
                <w:lang w:val="fr-BE"/>
              </w:rPr>
              <w:br/>
            </w:r>
            <w:r w:rsidRPr="002B04B9">
              <w:rPr>
                <w:rFonts w:cs="Times New Roman"/>
                <w:b/>
                <w:noProof/>
                <w:lang w:val="fr-BE"/>
              </w:rPr>
              <w:t xml:space="preserve"> </w:t>
            </w:r>
            <w:r w:rsidR="00DB5EC5" w:rsidRPr="002B04B9">
              <w:rPr>
                <w:rFonts w:cs="Times New Roman"/>
                <w:b/>
                <w:noProof/>
                <w:lang w:val="fr-BE"/>
              </w:rPr>
              <w:t>(</w:t>
            </w:r>
            <w:r w:rsidRPr="002B04B9">
              <w:rPr>
                <w:rFonts w:cs="Times New Roman"/>
                <w:b/>
                <w:noProof/>
                <w:lang w:val="fr-BE"/>
              </w:rPr>
              <w:t>million EUR</w:t>
            </w:r>
            <w:r w:rsidR="00DB5EC5" w:rsidRPr="002B04B9">
              <w:rPr>
                <w:rFonts w:cs="Times New Roman"/>
                <w:b/>
                <w:noProof/>
                <w:lang w:val="fr-BE"/>
              </w:rPr>
              <w:t>)</w:t>
            </w:r>
          </w:p>
        </w:tc>
        <w:tc>
          <w:tcPr>
            <w:tcW w:w="1894" w:type="dxa"/>
            <w:tcMar>
              <w:left w:w="108" w:type="dxa"/>
              <w:right w:w="108" w:type="dxa"/>
            </w:tcMar>
            <w:vAlign w:val="center"/>
          </w:tcPr>
          <w:p w14:paraId="3683A710" w14:textId="77777777" w:rsidR="00C93BCD" w:rsidRPr="000653A9" w:rsidRDefault="00C93BCD" w:rsidP="00FF38B3">
            <w:pPr>
              <w:pStyle w:val="CMR-text"/>
              <w:spacing w:before="0" w:after="0"/>
              <w:jc w:val="center"/>
              <w:rPr>
                <w:rFonts w:cs="Times New Roman"/>
                <w:noProof/>
                <w:lang w:val="en-GB"/>
              </w:rPr>
            </w:pPr>
            <w:r w:rsidRPr="000653A9">
              <w:rPr>
                <w:rFonts w:cs="Times New Roman"/>
                <w:b/>
                <w:noProof/>
                <w:lang w:val="en-GB"/>
              </w:rPr>
              <w:t>Relative size of indirect costs aid compared to auction revenue</w:t>
            </w:r>
          </w:p>
        </w:tc>
      </w:tr>
      <w:tr w:rsidR="00C600D7" w:rsidRPr="000653A9" w14:paraId="76704D95" w14:textId="77777777" w:rsidTr="00294F5E">
        <w:trPr>
          <w:trHeight w:val="340"/>
        </w:trPr>
        <w:tc>
          <w:tcPr>
            <w:tcW w:w="0" w:type="auto"/>
            <w:tcMar>
              <w:left w:w="108" w:type="dxa"/>
              <w:right w:w="108" w:type="dxa"/>
            </w:tcMar>
            <w:vAlign w:val="center"/>
          </w:tcPr>
          <w:p w14:paraId="4B6DDD71"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Belgium</w:t>
            </w:r>
          </w:p>
        </w:tc>
        <w:tc>
          <w:tcPr>
            <w:tcW w:w="1893" w:type="dxa"/>
            <w:tcMar>
              <w:left w:w="108" w:type="dxa"/>
              <w:right w:w="108" w:type="dxa"/>
            </w:tcMar>
            <w:vAlign w:val="center"/>
          </w:tcPr>
          <w:p w14:paraId="50D527C5"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249.9</w:t>
            </w:r>
          </w:p>
        </w:tc>
        <w:tc>
          <w:tcPr>
            <w:tcW w:w="1894" w:type="dxa"/>
            <w:tcMar>
              <w:left w:w="108" w:type="dxa"/>
              <w:right w:w="108" w:type="dxa"/>
            </w:tcMar>
            <w:vAlign w:val="center"/>
          </w:tcPr>
          <w:p w14:paraId="1C6383BD"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56</w:t>
            </w:r>
          </w:p>
        </w:tc>
        <w:tc>
          <w:tcPr>
            <w:tcW w:w="1894" w:type="dxa"/>
            <w:tcMar>
              <w:left w:w="108" w:type="dxa"/>
              <w:right w:w="108" w:type="dxa"/>
            </w:tcMar>
            <w:vAlign w:val="center"/>
          </w:tcPr>
          <w:p w14:paraId="30C1B4F7"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739.9</w:t>
            </w:r>
          </w:p>
        </w:tc>
        <w:tc>
          <w:tcPr>
            <w:tcW w:w="1894" w:type="dxa"/>
            <w:tcMar>
              <w:left w:w="108" w:type="dxa"/>
              <w:right w:w="108" w:type="dxa"/>
            </w:tcMar>
            <w:vAlign w:val="center"/>
          </w:tcPr>
          <w:p w14:paraId="12483044"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33.8%</w:t>
            </w:r>
          </w:p>
        </w:tc>
      </w:tr>
      <w:tr w:rsidR="00C600D7" w:rsidRPr="000653A9" w14:paraId="233641E3" w14:textId="77777777" w:rsidTr="00294F5E">
        <w:trPr>
          <w:trHeight w:val="340"/>
        </w:trPr>
        <w:tc>
          <w:tcPr>
            <w:tcW w:w="0" w:type="auto"/>
            <w:tcMar>
              <w:left w:w="108" w:type="dxa"/>
              <w:right w:w="108" w:type="dxa"/>
            </w:tcMar>
            <w:vAlign w:val="center"/>
          </w:tcPr>
          <w:p w14:paraId="4D5D45C3"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Czechia</w:t>
            </w:r>
          </w:p>
        </w:tc>
        <w:tc>
          <w:tcPr>
            <w:tcW w:w="1893" w:type="dxa"/>
            <w:tcMar>
              <w:left w:w="108" w:type="dxa"/>
              <w:right w:w="108" w:type="dxa"/>
            </w:tcMar>
            <w:vAlign w:val="center"/>
          </w:tcPr>
          <w:p w14:paraId="0E4A34C4"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60.4</w:t>
            </w:r>
          </w:p>
        </w:tc>
        <w:tc>
          <w:tcPr>
            <w:tcW w:w="1894" w:type="dxa"/>
            <w:tcMar>
              <w:left w:w="108" w:type="dxa"/>
              <w:right w:w="108" w:type="dxa"/>
            </w:tcMar>
            <w:vAlign w:val="center"/>
          </w:tcPr>
          <w:p w14:paraId="4FD6FE65"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23</w:t>
            </w:r>
          </w:p>
        </w:tc>
        <w:tc>
          <w:tcPr>
            <w:tcW w:w="1894" w:type="dxa"/>
            <w:tcMar>
              <w:left w:w="108" w:type="dxa"/>
              <w:right w:w="108" w:type="dxa"/>
            </w:tcMar>
            <w:vAlign w:val="center"/>
          </w:tcPr>
          <w:p w14:paraId="05EA5591"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771.3</w:t>
            </w:r>
          </w:p>
        </w:tc>
        <w:tc>
          <w:tcPr>
            <w:tcW w:w="1894" w:type="dxa"/>
            <w:tcMar>
              <w:left w:w="108" w:type="dxa"/>
              <w:right w:w="108" w:type="dxa"/>
            </w:tcMar>
            <w:vAlign w:val="center"/>
          </w:tcPr>
          <w:p w14:paraId="09E14C3C"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7.8%</w:t>
            </w:r>
          </w:p>
        </w:tc>
      </w:tr>
      <w:tr w:rsidR="00C600D7" w:rsidRPr="000653A9" w14:paraId="1741ACCF" w14:textId="77777777" w:rsidTr="00294F5E">
        <w:trPr>
          <w:trHeight w:val="340"/>
        </w:trPr>
        <w:tc>
          <w:tcPr>
            <w:tcW w:w="0" w:type="auto"/>
            <w:tcMar>
              <w:left w:w="108" w:type="dxa"/>
              <w:right w:w="108" w:type="dxa"/>
            </w:tcMar>
            <w:vAlign w:val="center"/>
          </w:tcPr>
          <w:p w14:paraId="738A5BC2"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Finland</w:t>
            </w:r>
          </w:p>
        </w:tc>
        <w:tc>
          <w:tcPr>
            <w:tcW w:w="1893" w:type="dxa"/>
            <w:tcMar>
              <w:left w:w="108" w:type="dxa"/>
              <w:right w:w="108" w:type="dxa"/>
            </w:tcMar>
            <w:vAlign w:val="center"/>
          </w:tcPr>
          <w:p w14:paraId="1DEF0775"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143.2</w:t>
            </w:r>
          </w:p>
        </w:tc>
        <w:tc>
          <w:tcPr>
            <w:tcW w:w="1894" w:type="dxa"/>
            <w:tcMar>
              <w:left w:w="108" w:type="dxa"/>
              <w:right w:w="108" w:type="dxa"/>
            </w:tcMar>
            <w:vAlign w:val="center"/>
          </w:tcPr>
          <w:p w14:paraId="75FDCF38"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55</w:t>
            </w:r>
          </w:p>
        </w:tc>
        <w:tc>
          <w:tcPr>
            <w:tcW w:w="1894" w:type="dxa"/>
            <w:tcMar>
              <w:left w:w="108" w:type="dxa"/>
              <w:right w:w="108" w:type="dxa"/>
            </w:tcMar>
            <w:vAlign w:val="center"/>
          </w:tcPr>
          <w:p w14:paraId="25038EA2"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571.5</w:t>
            </w:r>
          </w:p>
        </w:tc>
        <w:tc>
          <w:tcPr>
            <w:tcW w:w="1894" w:type="dxa"/>
            <w:tcMar>
              <w:left w:w="108" w:type="dxa"/>
              <w:right w:w="108" w:type="dxa"/>
            </w:tcMar>
            <w:vAlign w:val="center"/>
          </w:tcPr>
          <w:p w14:paraId="148396ED"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25.1%</w:t>
            </w:r>
          </w:p>
        </w:tc>
      </w:tr>
      <w:tr w:rsidR="00C600D7" w:rsidRPr="000653A9" w14:paraId="0DA86188" w14:textId="77777777" w:rsidTr="00294F5E">
        <w:trPr>
          <w:trHeight w:val="340"/>
        </w:trPr>
        <w:tc>
          <w:tcPr>
            <w:tcW w:w="0" w:type="auto"/>
            <w:tcMar>
              <w:left w:w="108" w:type="dxa"/>
              <w:right w:w="108" w:type="dxa"/>
            </w:tcMar>
            <w:vAlign w:val="center"/>
          </w:tcPr>
          <w:p w14:paraId="4D8F4934"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France</w:t>
            </w:r>
          </w:p>
        </w:tc>
        <w:tc>
          <w:tcPr>
            <w:tcW w:w="1893" w:type="dxa"/>
            <w:tcMar>
              <w:left w:w="108" w:type="dxa"/>
              <w:right w:w="108" w:type="dxa"/>
            </w:tcMar>
            <w:vAlign w:val="center"/>
          </w:tcPr>
          <w:p w14:paraId="0CF83F16"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908.8</w:t>
            </w:r>
          </w:p>
        </w:tc>
        <w:tc>
          <w:tcPr>
            <w:tcW w:w="1894" w:type="dxa"/>
            <w:tcMar>
              <w:left w:w="108" w:type="dxa"/>
              <w:right w:w="108" w:type="dxa"/>
            </w:tcMar>
            <w:vAlign w:val="center"/>
          </w:tcPr>
          <w:p w14:paraId="2A98F7C0"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293</w:t>
            </w:r>
          </w:p>
        </w:tc>
        <w:tc>
          <w:tcPr>
            <w:tcW w:w="1894" w:type="dxa"/>
            <w:tcMar>
              <w:left w:w="108" w:type="dxa"/>
              <w:right w:w="108" w:type="dxa"/>
            </w:tcMar>
            <w:vAlign w:val="center"/>
          </w:tcPr>
          <w:p w14:paraId="49654289"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2,060.1</w:t>
            </w:r>
          </w:p>
        </w:tc>
        <w:tc>
          <w:tcPr>
            <w:tcW w:w="1894" w:type="dxa"/>
            <w:tcMar>
              <w:left w:w="108" w:type="dxa"/>
              <w:right w:w="108" w:type="dxa"/>
            </w:tcMar>
            <w:vAlign w:val="center"/>
          </w:tcPr>
          <w:p w14:paraId="4CB66E0A"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44.1%</w:t>
            </w:r>
          </w:p>
        </w:tc>
      </w:tr>
      <w:tr w:rsidR="00C600D7" w:rsidRPr="000653A9" w14:paraId="563B0049" w14:textId="77777777" w:rsidTr="00294F5E">
        <w:trPr>
          <w:trHeight w:val="340"/>
        </w:trPr>
        <w:tc>
          <w:tcPr>
            <w:tcW w:w="0" w:type="auto"/>
            <w:tcMar>
              <w:left w:w="108" w:type="dxa"/>
              <w:right w:w="108" w:type="dxa"/>
            </w:tcMar>
            <w:vAlign w:val="center"/>
          </w:tcPr>
          <w:p w14:paraId="0FB26777"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Germany</w:t>
            </w:r>
          </w:p>
        </w:tc>
        <w:tc>
          <w:tcPr>
            <w:tcW w:w="1893" w:type="dxa"/>
            <w:tcMar>
              <w:left w:w="108" w:type="dxa"/>
              <w:right w:w="108" w:type="dxa"/>
            </w:tcMar>
            <w:vAlign w:val="center"/>
          </w:tcPr>
          <w:p w14:paraId="4A37F787"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2,395.0</w:t>
            </w:r>
          </w:p>
        </w:tc>
        <w:tc>
          <w:tcPr>
            <w:tcW w:w="1894" w:type="dxa"/>
            <w:tcMar>
              <w:left w:w="108" w:type="dxa"/>
              <w:right w:w="108" w:type="dxa"/>
            </w:tcMar>
            <w:vAlign w:val="center"/>
          </w:tcPr>
          <w:p w14:paraId="601FD1D4"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707</w:t>
            </w:r>
          </w:p>
        </w:tc>
        <w:tc>
          <w:tcPr>
            <w:tcW w:w="1894" w:type="dxa"/>
            <w:tcMar>
              <w:left w:w="108" w:type="dxa"/>
              <w:right w:w="108" w:type="dxa"/>
            </w:tcMar>
            <w:vAlign w:val="center"/>
          </w:tcPr>
          <w:p w14:paraId="3FC19F69"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7,582.5</w:t>
            </w:r>
          </w:p>
        </w:tc>
        <w:tc>
          <w:tcPr>
            <w:tcW w:w="1894" w:type="dxa"/>
            <w:tcMar>
              <w:left w:w="108" w:type="dxa"/>
              <w:right w:w="108" w:type="dxa"/>
            </w:tcMar>
            <w:vAlign w:val="center"/>
          </w:tcPr>
          <w:p w14:paraId="020D607B"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31.6%</w:t>
            </w:r>
          </w:p>
        </w:tc>
      </w:tr>
      <w:tr w:rsidR="00C600D7" w:rsidRPr="000653A9" w14:paraId="428010AB" w14:textId="77777777" w:rsidTr="00294F5E">
        <w:trPr>
          <w:trHeight w:val="340"/>
        </w:trPr>
        <w:tc>
          <w:tcPr>
            <w:tcW w:w="0" w:type="auto"/>
            <w:tcMar>
              <w:left w:w="108" w:type="dxa"/>
              <w:right w:w="108" w:type="dxa"/>
            </w:tcMar>
            <w:vAlign w:val="center"/>
          </w:tcPr>
          <w:p w14:paraId="3086D3CE"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Greece</w:t>
            </w:r>
          </w:p>
        </w:tc>
        <w:tc>
          <w:tcPr>
            <w:tcW w:w="1893" w:type="dxa"/>
            <w:tcMar>
              <w:left w:w="108" w:type="dxa"/>
              <w:right w:w="108" w:type="dxa"/>
            </w:tcMar>
            <w:vAlign w:val="center"/>
          </w:tcPr>
          <w:p w14:paraId="3F7843CD"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287.0</w:t>
            </w:r>
          </w:p>
        </w:tc>
        <w:tc>
          <w:tcPr>
            <w:tcW w:w="1894" w:type="dxa"/>
            <w:tcMar>
              <w:left w:w="108" w:type="dxa"/>
              <w:right w:w="108" w:type="dxa"/>
            </w:tcMar>
            <w:vAlign w:val="center"/>
          </w:tcPr>
          <w:p w14:paraId="03CDF1A2"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57</w:t>
            </w:r>
          </w:p>
        </w:tc>
        <w:tc>
          <w:tcPr>
            <w:tcW w:w="1894" w:type="dxa"/>
            <w:tcMar>
              <w:left w:w="108" w:type="dxa"/>
              <w:right w:w="108" w:type="dxa"/>
            </w:tcMar>
            <w:vAlign w:val="center"/>
          </w:tcPr>
          <w:p w14:paraId="0EBB8562"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1,441.8</w:t>
            </w:r>
          </w:p>
        </w:tc>
        <w:tc>
          <w:tcPr>
            <w:tcW w:w="1894" w:type="dxa"/>
            <w:tcMar>
              <w:left w:w="108" w:type="dxa"/>
              <w:right w:w="108" w:type="dxa"/>
            </w:tcMar>
            <w:vAlign w:val="center"/>
          </w:tcPr>
          <w:p w14:paraId="4AF8B68D"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19.9%</w:t>
            </w:r>
          </w:p>
        </w:tc>
      </w:tr>
      <w:tr w:rsidR="00C600D7" w:rsidRPr="000653A9" w14:paraId="2AEE6983" w14:textId="77777777" w:rsidTr="00294F5E">
        <w:trPr>
          <w:trHeight w:val="340"/>
        </w:trPr>
        <w:tc>
          <w:tcPr>
            <w:tcW w:w="0" w:type="auto"/>
            <w:tcMar>
              <w:left w:w="108" w:type="dxa"/>
              <w:right w:w="108" w:type="dxa"/>
            </w:tcMar>
            <w:vAlign w:val="center"/>
          </w:tcPr>
          <w:p w14:paraId="460C5AF8"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Italy</w:t>
            </w:r>
          </w:p>
        </w:tc>
        <w:tc>
          <w:tcPr>
            <w:tcW w:w="1893" w:type="dxa"/>
            <w:tcMar>
              <w:left w:w="108" w:type="dxa"/>
              <w:right w:w="108" w:type="dxa"/>
            </w:tcMar>
            <w:vAlign w:val="center"/>
          </w:tcPr>
          <w:p w14:paraId="630AB6AE"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165.5</w:t>
            </w:r>
          </w:p>
        </w:tc>
        <w:tc>
          <w:tcPr>
            <w:tcW w:w="1894" w:type="dxa"/>
            <w:tcMar>
              <w:left w:w="108" w:type="dxa"/>
              <w:right w:w="108" w:type="dxa"/>
            </w:tcMar>
            <w:vAlign w:val="center"/>
          </w:tcPr>
          <w:p w14:paraId="2D0F2234"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252</w:t>
            </w:r>
          </w:p>
        </w:tc>
        <w:tc>
          <w:tcPr>
            <w:tcW w:w="1894" w:type="dxa"/>
            <w:tcMar>
              <w:left w:w="108" w:type="dxa"/>
              <w:right w:w="108" w:type="dxa"/>
            </w:tcMar>
            <w:vAlign w:val="center"/>
          </w:tcPr>
          <w:p w14:paraId="389FFB6F"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3,547.4</w:t>
            </w:r>
          </w:p>
        </w:tc>
        <w:tc>
          <w:tcPr>
            <w:tcW w:w="1894" w:type="dxa"/>
            <w:tcMar>
              <w:left w:w="108" w:type="dxa"/>
              <w:right w:w="108" w:type="dxa"/>
            </w:tcMar>
            <w:vAlign w:val="center"/>
          </w:tcPr>
          <w:p w14:paraId="6C7DA34B"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4.7%</w:t>
            </w:r>
          </w:p>
        </w:tc>
      </w:tr>
      <w:tr w:rsidR="00C600D7" w:rsidRPr="000653A9" w14:paraId="560983D5" w14:textId="77777777" w:rsidTr="00294F5E">
        <w:trPr>
          <w:trHeight w:val="340"/>
        </w:trPr>
        <w:tc>
          <w:tcPr>
            <w:tcW w:w="0" w:type="auto"/>
            <w:tcMar>
              <w:left w:w="108" w:type="dxa"/>
              <w:right w:w="108" w:type="dxa"/>
            </w:tcMar>
            <w:vAlign w:val="center"/>
          </w:tcPr>
          <w:p w14:paraId="17528469"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Luxembourg</w:t>
            </w:r>
          </w:p>
        </w:tc>
        <w:tc>
          <w:tcPr>
            <w:tcW w:w="1893" w:type="dxa"/>
            <w:tcMar>
              <w:left w:w="108" w:type="dxa"/>
              <w:right w:w="108" w:type="dxa"/>
            </w:tcMar>
            <w:vAlign w:val="center"/>
          </w:tcPr>
          <w:p w14:paraId="53AE5E00"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37.6</w:t>
            </w:r>
          </w:p>
        </w:tc>
        <w:tc>
          <w:tcPr>
            <w:tcW w:w="1894" w:type="dxa"/>
            <w:tcMar>
              <w:left w:w="108" w:type="dxa"/>
              <w:right w:w="108" w:type="dxa"/>
            </w:tcMar>
            <w:vAlign w:val="center"/>
          </w:tcPr>
          <w:p w14:paraId="63590622"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4</w:t>
            </w:r>
          </w:p>
        </w:tc>
        <w:tc>
          <w:tcPr>
            <w:tcW w:w="1894" w:type="dxa"/>
            <w:tcMar>
              <w:left w:w="108" w:type="dxa"/>
              <w:right w:w="108" w:type="dxa"/>
            </w:tcMar>
            <w:vAlign w:val="center"/>
          </w:tcPr>
          <w:p w14:paraId="694D21E9"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7.6</w:t>
            </w:r>
          </w:p>
        </w:tc>
        <w:tc>
          <w:tcPr>
            <w:tcW w:w="1894" w:type="dxa"/>
            <w:tcMar>
              <w:left w:w="108" w:type="dxa"/>
              <w:right w:w="108" w:type="dxa"/>
            </w:tcMar>
            <w:vAlign w:val="center"/>
          </w:tcPr>
          <w:p w14:paraId="4F1AE67F"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492.0%</w:t>
            </w:r>
          </w:p>
        </w:tc>
      </w:tr>
      <w:tr w:rsidR="00C600D7" w:rsidRPr="000653A9" w14:paraId="795D6A7A" w14:textId="77777777" w:rsidTr="00294F5E">
        <w:trPr>
          <w:trHeight w:val="340"/>
        </w:trPr>
        <w:tc>
          <w:tcPr>
            <w:tcW w:w="0" w:type="auto"/>
            <w:tcMar>
              <w:left w:w="108" w:type="dxa"/>
              <w:right w:w="108" w:type="dxa"/>
            </w:tcMar>
            <w:vAlign w:val="center"/>
          </w:tcPr>
          <w:p w14:paraId="46135939"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Netherlands</w:t>
            </w:r>
          </w:p>
        </w:tc>
        <w:tc>
          <w:tcPr>
            <w:tcW w:w="1893" w:type="dxa"/>
            <w:tcMar>
              <w:left w:w="108" w:type="dxa"/>
              <w:right w:w="108" w:type="dxa"/>
            </w:tcMar>
            <w:vAlign w:val="center"/>
          </w:tcPr>
          <w:p w14:paraId="6F52A730"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147.3</w:t>
            </w:r>
          </w:p>
        </w:tc>
        <w:tc>
          <w:tcPr>
            <w:tcW w:w="1894" w:type="dxa"/>
            <w:tcMar>
              <w:left w:w="108" w:type="dxa"/>
              <w:right w:w="108" w:type="dxa"/>
            </w:tcMar>
            <w:vAlign w:val="center"/>
          </w:tcPr>
          <w:p w14:paraId="50E4C137" w14:textId="687D73DE"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48</w:t>
            </w:r>
          </w:p>
        </w:tc>
        <w:tc>
          <w:tcPr>
            <w:tcW w:w="1894" w:type="dxa"/>
            <w:tcMar>
              <w:left w:w="108" w:type="dxa"/>
              <w:right w:w="108" w:type="dxa"/>
            </w:tcMar>
            <w:vAlign w:val="center"/>
          </w:tcPr>
          <w:p w14:paraId="72D540A8"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1,261.1</w:t>
            </w:r>
          </w:p>
        </w:tc>
        <w:tc>
          <w:tcPr>
            <w:tcW w:w="1894" w:type="dxa"/>
            <w:tcMar>
              <w:left w:w="108" w:type="dxa"/>
              <w:right w:w="108" w:type="dxa"/>
            </w:tcMar>
            <w:vAlign w:val="center"/>
          </w:tcPr>
          <w:p w14:paraId="7A1E5986"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11.7%</w:t>
            </w:r>
          </w:p>
        </w:tc>
      </w:tr>
      <w:tr w:rsidR="00C600D7" w:rsidRPr="000653A9" w14:paraId="0A9DEE9D" w14:textId="77777777" w:rsidTr="00294F5E">
        <w:trPr>
          <w:trHeight w:val="340"/>
        </w:trPr>
        <w:tc>
          <w:tcPr>
            <w:tcW w:w="0" w:type="auto"/>
            <w:tcMar>
              <w:left w:w="108" w:type="dxa"/>
              <w:right w:w="108" w:type="dxa"/>
            </w:tcMar>
            <w:vAlign w:val="center"/>
          </w:tcPr>
          <w:p w14:paraId="0FCAD3D1"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Poland</w:t>
            </w:r>
          </w:p>
        </w:tc>
        <w:tc>
          <w:tcPr>
            <w:tcW w:w="1893" w:type="dxa"/>
            <w:tcMar>
              <w:left w:w="108" w:type="dxa"/>
              <w:right w:w="108" w:type="dxa"/>
            </w:tcMar>
            <w:vAlign w:val="center"/>
          </w:tcPr>
          <w:p w14:paraId="732CB863"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614.6</w:t>
            </w:r>
          </w:p>
        </w:tc>
        <w:tc>
          <w:tcPr>
            <w:tcW w:w="1894" w:type="dxa"/>
            <w:tcMar>
              <w:left w:w="108" w:type="dxa"/>
              <w:right w:w="108" w:type="dxa"/>
            </w:tcMar>
            <w:vAlign w:val="center"/>
          </w:tcPr>
          <w:p w14:paraId="15AAA867"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97</w:t>
            </w:r>
          </w:p>
        </w:tc>
        <w:tc>
          <w:tcPr>
            <w:tcW w:w="1894" w:type="dxa"/>
            <w:tcMar>
              <w:left w:w="108" w:type="dxa"/>
              <w:right w:w="108" w:type="dxa"/>
            </w:tcMar>
            <w:vAlign w:val="center"/>
          </w:tcPr>
          <w:p w14:paraId="4F0B2366"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5,406.7</w:t>
            </w:r>
          </w:p>
        </w:tc>
        <w:tc>
          <w:tcPr>
            <w:tcW w:w="1894" w:type="dxa"/>
            <w:tcMar>
              <w:left w:w="108" w:type="dxa"/>
              <w:right w:w="108" w:type="dxa"/>
            </w:tcMar>
            <w:vAlign w:val="center"/>
          </w:tcPr>
          <w:p w14:paraId="7959F1CB"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11.4%</w:t>
            </w:r>
          </w:p>
        </w:tc>
      </w:tr>
      <w:tr w:rsidR="00C600D7" w:rsidRPr="000653A9" w14:paraId="78FB7590" w14:textId="77777777" w:rsidTr="00294F5E">
        <w:trPr>
          <w:trHeight w:val="340"/>
        </w:trPr>
        <w:tc>
          <w:tcPr>
            <w:tcW w:w="0" w:type="auto"/>
            <w:tcMar>
              <w:left w:w="108" w:type="dxa"/>
              <w:right w:w="108" w:type="dxa"/>
            </w:tcMar>
            <w:vAlign w:val="center"/>
          </w:tcPr>
          <w:p w14:paraId="67D7A5DE"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Portugal</w:t>
            </w:r>
          </w:p>
        </w:tc>
        <w:tc>
          <w:tcPr>
            <w:tcW w:w="1893" w:type="dxa"/>
            <w:tcMar>
              <w:left w:w="108" w:type="dxa"/>
              <w:right w:w="108" w:type="dxa"/>
            </w:tcMar>
            <w:vAlign w:val="center"/>
          </w:tcPr>
          <w:p w14:paraId="570335A0"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25.0</w:t>
            </w:r>
          </w:p>
        </w:tc>
        <w:tc>
          <w:tcPr>
            <w:tcW w:w="1894" w:type="dxa"/>
            <w:tcMar>
              <w:left w:w="108" w:type="dxa"/>
              <w:right w:w="108" w:type="dxa"/>
            </w:tcMar>
            <w:vAlign w:val="center"/>
          </w:tcPr>
          <w:p w14:paraId="312D1E42"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23</w:t>
            </w:r>
          </w:p>
        </w:tc>
        <w:tc>
          <w:tcPr>
            <w:tcW w:w="1894" w:type="dxa"/>
            <w:tcMar>
              <w:left w:w="108" w:type="dxa"/>
              <w:right w:w="108" w:type="dxa"/>
            </w:tcMar>
            <w:vAlign w:val="center"/>
          </w:tcPr>
          <w:p w14:paraId="2AEE895E"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726.7</w:t>
            </w:r>
          </w:p>
        </w:tc>
        <w:tc>
          <w:tcPr>
            <w:tcW w:w="1894" w:type="dxa"/>
            <w:tcMar>
              <w:left w:w="108" w:type="dxa"/>
              <w:right w:w="108" w:type="dxa"/>
            </w:tcMar>
            <w:vAlign w:val="center"/>
          </w:tcPr>
          <w:p w14:paraId="1C18A841"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3.4%</w:t>
            </w:r>
          </w:p>
        </w:tc>
      </w:tr>
      <w:tr w:rsidR="00C600D7" w:rsidRPr="000653A9" w14:paraId="798BFB78" w14:textId="77777777" w:rsidTr="00294F5E">
        <w:trPr>
          <w:trHeight w:val="340"/>
        </w:trPr>
        <w:tc>
          <w:tcPr>
            <w:tcW w:w="0" w:type="auto"/>
            <w:tcMar>
              <w:left w:w="108" w:type="dxa"/>
              <w:right w:w="108" w:type="dxa"/>
            </w:tcMar>
            <w:vAlign w:val="center"/>
          </w:tcPr>
          <w:p w14:paraId="61DA1F1B"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Romania</w:t>
            </w:r>
          </w:p>
        </w:tc>
        <w:tc>
          <w:tcPr>
            <w:tcW w:w="1893" w:type="dxa"/>
            <w:tcMar>
              <w:left w:w="108" w:type="dxa"/>
              <w:right w:w="108" w:type="dxa"/>
            </w:tcMar>
            <w:vAlign w:val="center"/>
          </w:tcPr>
          <w:p w14:paraId="07E82A26"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116.7</w:t>
            </w:r>
          </w:p>
        </w:tc>
        <w:tc>
          <w:tcPr>
            <w:tcW w:w="1894" w:type="dxa"/>
            <w:tcMar>
              <w:left w:w="108" w:type="dxa"/>
              <w:right w:w="108" w:type="dxa"/>
            </w:tcMar>
            <w:vAlign w:val="center"/>
          </w:tcPr>
          <w:p w14:paraId="70A5B763"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31</w:t>
            </w:r>
          </w:p>
        </w:tc>
        <w:tc>
          <w:tcPr>
            <w:tcW w:w="1894" w:type="dxa"/>
            <w:tcMar>
              <w:left w:w="108" w:type="dxa"/>
              <w:right w:w="108" w:type="dxa"/>
            </w:tcMar>
            <w:vAlign w:val="center"/>
          </w:tcPr>
          <w:p w14:paraId="20794B06"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571.8</w:t>
            </w:r>
          </w:p>
        </w:tc>
        <w:tc>
          <w:tcPr>
            <w:tcW w:w="1894" w:type="dxa"/>
            <w:tcMar>
              <w:left w:w="108" w:type="dxa"/>
              <w:right w:w="108" w:type="dxa"/>
            </w:tcMar>
            <w:vAlign w:val="center"/>
          </w:tcPr>
          <w:p w14:paraId="683FFAF8"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20.4%</w:t>
            </w:r>
          </w:p>
        </w:tc>
      </w:tr>
      <w:tr w:rsidR="00C600D7" w:rsidRPr="000653A9" w14:paraId="27B7E136" w14:textId="77777777" w:rsidTr="00294F5E">
        <w:trPr>
          <w:trHeight w:val="340"/>
        </w:trPr>
        <w:tc>
          <w:tcPr>
            <w:tcW w:w="0" w:type="auto"/>
            <w:tcMar>
              <w:left w:w="108" w:type="dxa"/>
              <w:right w:w="108" w:type="dxa"/>
            </w:tcMar>
            <w:vAlign w:val="center"/>
          </w:tcPr>
          <w:p w14:paraId="0A3B22B5"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Slovakia</w:t>
            </w:r>
          </w:p>
        </w:tc>
        <w:tc>
          <w:tcPr>
            <w:tcW w:w="1893" w:type="dxa"/>
            <w:tcMar>
              <w:left w:w="108" w:type="dxa"/>
              <w:right w:w="108" w:type="dxa"/>
            </w:tcMar>
            <w:vAlign w:val="center"/>
          </w:tcPr>
          <w:p w14:paraId="19AF33D3"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58.3</w:t>
            </w:r>
          </w:p>
        </w:tc>
        <w:tc>
          <w:tcPr>
            <w:tcW w:w="1894" w:type="dxa"/>
            <w:tcMar>
              <w:left w:w="108" w:type="dxa"/>
              <w:right w:w="108" w:type="dxa"/>
            </w:tcMar>
            <w:vAlign w:val="center"/>
          </w:tcPr>
          <w:p w14:paraId="7163F6B9"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9</w:t>
            </w:r>
          </w:p>
        </w:tc>
        <w:tc>
          <w:tcPr>
            <w:tcW w:w="1894" w:type="dxa"/>
            <w:tcMar>
              <w:left w:w="108" w:type="dxa"/>
              <w:right w:w="108" w:type="dxa"/>
            </w:tcMar>
            <w:vAlign w:val="center"/>
          </w:tcPr>
          <w:p w14:paraId="22FD0594"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377.5</w:t>
            </w:r>
          </w:p>
        </w:tc>
        <w:tc>
          <w:tcPr>
            <w:tcW w:w="1894" w:type="dxa"/>
            <w:tcMar>
              <w:left w:w="108" w:type="dxa"/>
              <w:right w:w="108" w:type="dxa"/>
            </w:tcMar>
            <w:vAlign w:val="center"/>
          </w:tcPr>
          <w:p w14:paraId="5FCBC7AB"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15.4%</w:t>
            </w:r>
          </w:p>
        </w:tc>
      </w:tr>
      <w:tr w:rsidR="00C600D7" w:rsidRPr="000653A9" w14:paraId="7A2A1E7F" w14:textId="77777777" w:rsidTr="00294F5E">
        <w:trPr>
          <w:trHeight w:val="340"/>
        </w:trPr>
        <w:tc>
          <w:tcPr>
            <w:tcW w:w="0" w:type="auto"/>
            <w:tcMar>
              <w:left w:w="108" w:type="dxa"/>
              <w:right w:w="108" w:type="dxa"/>
            </w:tcMar>
            <w:vAlign w:val="center"/>
          </w:tcPr>
          <w:p w14:paraId="54479248"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Slovenia</w:t>
            </w:r>
          </w:p>
        </w:tc>
        <w:tc>
          <w:tcPr>
            <w:tcW w:w="1893" w:type="dxa"/>
            <w:tcMar>
              <w:left w:w="108" w:type="dxa"/>
              <w:right w:w="108" w:type="dxa"/>
            </w:tcMar>
            <w:vAlign w:val="center"/>
          </w:tcPr>
          <w:p w14:paraId="58C3C0CD"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25.4</w:t>
            </w:r>
          </w:p>
        </w:tc>
        <w:tc>
          <w:tcPr>
            <w:tcW w:w="1894" w:type="dxa"/>
            <w:tcMar>
              <w:left w:w="108" w:type="dxa"/>
              <w:right w:w="108" w:type="dxa"/>
            </w:tcMar>
            <w:vAlign w:val="center"/>
          </w:tcPr>
          <w:p w14:paraId="68C860D8"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16</w:t>
            </w:r>
          </w:p>
        </w:tc>
        <w:tc>
          <w:tcPr>
            <w:tcW w:w="1894" w:type="dxa"/>
            <w:tcMar>
              <w:left w:w="108" w:type="dxa"/>
              <w:right w:w="108" w:type="dxa"/>
            </w:tcMar>
            <w:vAlign w:val="center"/>
          </w:tcPr>
          <w:p w14:paraId="6A383FA5"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186.5</w:t>
            </w:r>
          </w:p>
        </w:tc>
        <w:tc>
          <w:tcPr>
            <w:tcW w:w="1894" w:type="dxa"/>
            <w:tcMar>
              <w:left w:w="108" w:type="dxa"/>
              <w:right w:w="108" w:type="dxa"/>
            </w:tcMar>
            <w:vAlign w:val="center"/>
          </w:tcPr>
          <w:p w14:paraId="0AEE7C7B"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13.6%</w:t>
            </w:r>
          </w:p>
        </w:tc>
      </w:tr>
      <w:tr w:rsidR="00C600D7" w:rsidRPr="000653A9" w14:paraId="1172B136" w14:textId="77777777" w:rsidTr="00294F5E">
        <w:trPr>
          <w:trHeight w:val="340"/>
        </w:trPr>
        <w:tc>
          <w:tcPr>
            <w:tcW w:w="0" w:type="auto"/>
            <w:tcMar>
              <w:left w:w="108" w:type="dxa"/>
              <w:right w:w="108" w:type="dxa"/>
            </w:tcMar>
            <w:vAlign w:val="center"/>
          </w:tcPr>
          <w:p w14:paraId="3CE0E799" w14:textId="77777777" w:rsidR="00C93BCD" w:rsidRPr="000653A9" w:rsidRDefault="00C93BCD" w:rsidP="00A3612F">
            <w:pPr>
              <w:pStyle w:val="CMR-text"/>
              <w:spacing w:before="0" w:after="0" w:line="240" w:lineRule="auto"/>
              <w:rPr>
                <w:rFonts w:cs="Times New Roman"/>
                <w:noProof/>
                <w:lang w:val="en-GB"/>
              </w:rPr>
            </w:pPr>
            <w:r w:rsidRPr="000653A9">
              <w:rPr>
                <w:rFonts w:cs="Times New Roman"/>
                <w:noProof/>
                <w:lang w:val="en-GB"/>
              </w:rPr>
              <w:t>Spain</w:t>
            </w:r>
          </w:p>
        </w:tc>
        <w:tc>
          <w:tcPr>
            <w:tcW w:w="1893" w:type="dxa"/>
            <w:tcMar>
              <w:left w:w="108" w:type="dxa"/>
              <w:right w:w="108" w:type="dxa"/>
            </w:tcMar>
            <w:vAlign w:val="center"/>
          </w:tcPr>
          <w:p w14:paraId="1B219CFE"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282.8</w:t>
            </w:r>
          </w:p>
        </w:tc>
        <w:tc>
          <w:tcPr>
            <w:tcW w:w="1894" w:type="dxa"/>
            <w:tcMar>
              <w:left w:w="108" w:type="dxa"/>
              <w:right w:w="108" w:type="dxa"/>
            </w:tcMar>
            <w:vAlign w:val="center"/>
          </w:tcPr>
          <w:p w14:paraId="73908FE4"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191</w:t>
            </w:r>
          </w:p>
        </w:tc>
        <w:tc>
          <w:tcPr>
            <w:tcW w:w="1894" w:type="dxa"/>
            <w:tcMar>
              <w:left w:w="108" w:type="dxa"/>
              <w:right w:w="108" w:type="dxa"/>
            </w:tcMar>
            <w:vAlign w:val="center"/>
          </w:tcPr>
          <w:p w14:paraId="0BED12F2"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3,514.0</w:t>
            </w:r>
          </w:p>
        </w:tc>
        <w:tc>
          <w:tcPr>
            <w:tcW w:w="1894" w:type="dxa"/>
            <w:tcMar>
              <w:left w:w="108" w:type="dxa"/>
              <w:right w:w="108" w:type="dxa"/>
            </w:tcMar>
            <w:vAlign w:val="center"/>
          </w:tcPr>
          <w:p w14:paraId="20FC7DCC" w14:textId="77777777" w:rsidR="00C93BCD" w:rsidRPr="000653A9" w:rsidRDefault="00C93BCD" w:rsidP="00FF38B3">
            <w:pPr>
              <w:pStyle w:val="CMR-text"/>
              <w:spacing w:before="0" w:after="0" w:line="240" w:lineRule="auto"/>
              <w:jc w:val="center"/>
              <w:rPr>
                <w:rFonts w:cs="Times New Roman"/>
                <w:noProof/>
                <w:lang w:val="en-GB"/>
              </w:rPr>
            </w:pPr>
            <w:r w:rsidRPr="000653A9">
              <w:rPr>
                <w:rFonts w:cs="Times New Roman"/>
                <w:noProof/>
                <w:lang w:val="en-GB"/>
              </w:rPr>
              <w:t>8.0%</w:t>
            </w:r>
          </w:p>
        </w:tc>
      </w:tr>
      <w:tr w:rsidR="00C600D7" w:rsidRPr="000653A9" w14:paraId="4A0A3331" w14:textId="77777777" w:rsidTr="00294F5E">
        <w:trPr>
          <w:trHeight w:val="340"/>
        </w:trPr>
        <w:tc>
          <w:tcPr>
            <w:tcW w:w="0" w:type="auto"/>
            <w:tcMar>
              <w:left w:w="108" w:type="dxa"/>
              <w:right w:w="108" w:type="dxa"/>
            </w:tcMar>
          </w:tcPr>
          <w:p w14:paraId="54C902CE" w14:textId="3C8A9867"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Austria</w:t>
            </w:r>
          </w:p>
        </w:tc>
        <w:tc>
          <w:tcPr>
            <w:tcW w:w="1893" w:type="dxa"/>
            <w:tcMar>
              <w:left w:w="108" w:type="dxa"/>
              <w:right w:w="108" w:type="dxa"/>
            </w:tcMar>
            <w:vAlign w:val="center"/>
          </w:tcPr>
          <w:p w14:paraId="3E7D6ACF" w14:textId="47EEF2D8"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6C775619"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392EE130"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5681BBB0"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4210F70B" w14:textId="77777777" w:rsidTr="00294F5E">
        <w:trPr>
          <w:trHeight w:val="340"/>
        </w:trPr>
        <w:tc>
          <w:tcPr>
            <w:tcW w:w="0" w:type="auto"/>
            <w:tcMar>
              <w:left w:w="108" w:type="dxa"/>
              <w:right w:w="108" w:type="dxa"/>
            </w:tcMar>
          </w:tcPr>
          <w:p w14:paraId="3F9FC8E4" w14:textId="2C0589E0"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Lithuania</w:t>
            </w:r>
          </w:p>
        </w:tc>
        <w:tc>
          <w:tcPr>
            <w:tcW w:w="1893" w:type="dxa"/>
            <w:tcMar>
              <w:left w:w="108" w:type="dxa"/>
              <w:right w:w="108" w:type="dxa"/>
            </w:tcMar>
            <w:vAlign w:val="center"/>
          </w:tcPr>
          <w:p w14:paraId="6FEAA6F8" w14:textId="6A6E25FF"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181477A0"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643DEE98"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36F72346"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2FDD7A20" w14:textId="77777777" w:rsidTr="00294F5E">
        <w:trPr>
          <w:trHeight w:val="340"/>
        </w:trPr>
        <w:tc>
          <w:tcPr>
            <w:tcW w:w="0" w:type="auto"/>
            <w:tcMar>
              <w:left w:w="108" w:type="dxa"/>
              <w:right w:w="108" w:type="dxa"/>
            </w:tcMar>
          </w:tcPr>
          <w:p w14:paraId="55D0ACF9" w14:textId="6B8723C6"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Bulgaria</w:t>
            </w:r>
          </w:p>
        </w:tc>
        <w:tc>
          <w:tcPr>
            <w:tcW w:w="1893" w:type="dxa"/>
            <w:tcMar>
              <w:left w:w="108" w:type="dxa"/>
              <w:right w:w="108" w:type="dxa"/>
            </w:tcMar>
            <w:vAlign w:val="center"/>
          </w:tcPr>
          <w:p w14:paraId="4188A7CB" w14:textId="1EB48A18"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329A00B2"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5919805C"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425E1F24"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40675252" w14:textId="77777777" w:rsidTr="00294F5E">
        <w:trPr>
          <w:trHeight w:val="340"/>
        </w:trPr>
        <w:tc>
          <w:tcPr>
            <w:tcW w:w="0" w:type="auto"/>
            <w:tcMar>
              <w:left w:w="108" w:type="dxa"/>
              <w:right w:w="108" w:type="dxa"/>
            </w:tcMar>
          </w:tcPr>
          <w:p w14:paraId="14AC9822" w14:textId="3A74551F"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Croatia</w:t>
            </w:r>
          </w:p>
        </w:tc>
        <w:tc>
          <w:tcPr>
            <w:tcW w:w="1893" w:type="dxa"/>
            <w:tcMar>
              <w:left w:w="108" w:type="dxa"/>
              <w:right w:w="108" w:type="dxa"/>
            </w:tcMar>
            <w:vAlign w:val="center"/>
          </w:tcPr>
          <w:p w14:paraId="3C551AAE" w14:textId="0F22881F"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27ED663F"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59783AFA"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747B7C95"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543123A9" w14:textId="77777777" w:rsidTr="00294F5E">
        <w:trPr>
          <w:trHeight w:val="340"/>
        </w:trPr>
        <w:tc>
          <w:tcPr>
            <w:tcW w:w="0" w:type="auto"/>
            <w:tcMar>
              <w:left w:w="108" w:type="dxa"/>
              <w:right w:w="108" w:type="dxa"/>
            </w:tcMar>
          </w:tcPr>
          <w:p w14:paraId="56CDE6BC" w14:textId="1BF25936"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Cyprus</w:t>
            </w:r>
          </w:p>
        </w:tc>
        <w:tc>
          <w:tcPr>
            <w:tcW w:w="1893" w:type="dxa"/>
            <w:tcMar>
              <w:left w:w="108" w:type="dxa"/>
              <w:right w:w="108" w:type="dxa"/>
            </w:tcMar>
            <w:vAlign w:val="center"/>
          </w:tcPr>
          <w:p w14:paraId="3419970F" w14:textId="3ACCD917"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54C4EF58"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221ED518"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13E1B032"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7558D56E" w14:textId="77777777" w:rsidTr="00294F5E">
        <w:trPr>
          <w:trHeight w:val="340"/>
        </w:trPr>
        <w:tc>
          <w:tcPr>
            <w:tcW w:w="0" w:type="auto"/>
            <w:tcMar>
              <w:left w:w="108" w:type="dxa"/>
              <w:right w:w="108" w:type="dxa"/>
            </w:tcMar>
          </w:tcPr>
          <w:p w14:paraId="7C31FEC1" w14:textId="3B552304"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Denmark</w:t>
            </w:r>
          </w:p>
        </w:tc>
        <w:tc>
          <w:tcPr>
            <w:tcW w:w="1893" w:type="dxa"/>
            <w:tcMar>
              <w:left w:w="108" w:type="dxa"/>
              <w:right w:w="108" w:type="dxa"/>
            </w:tcMar>
            <w:vAlign w:val="center"/>
          </w:tcPr>
          <w:p w14:paraId="250735B0" w14:textId="5FB11A4D"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20A37948"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3A70788D"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07CD984F"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1B68522C" w14:textId="77777777" w:rsidTr="00294F5E">
        <w:trPr>
          <w:trHeight w:val="340"/>
        </w:trPr>
        <w:tc>
          <w:tcPr>
            <w:tcW w:w="0" w:type="auto"/>
            <w:tcMar>
              <w:left w:w="108" w:type="dxa"/>
              <w:right w:w="108" w:type="dxa"/>
            </w:tcMar>
          </w:tcPr>
          <w:p w14:paraId="5602B766" w14:textId="4C2D2559"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Estonia</w:t>
            </w:r>
          </w:p>
        </w:tc>
        <w:tc>
          <w:tcPr>
            <w:tcW w:w="1893" w:type="dxa"/>
            <w:tcMar>
              <w:left w:w="108" w:type="dxa"/>
              <w:right w:w="108" w:type="dxa"/>
            </w:tcMar>
            <w:vAlign w:val="center"/>
          </w:tcPr>
          <w:p w14:paraId="4142AA2F" w14:textId="284AD8BC"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358796A8"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2DAB6CBF"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24779A54"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6CB651A3" w14:textId="77777777" w:rsidTr="00294F5E">
        <w:trPr>
          <w:trHeight w:val="340"/>
        </w:trPr>
        <w:tc>
          <w:tcPr>
            <w:tcW w:w="0" w:type="auto"/>
            <w:tcMar>
              <w:left w:w="108" w:type="dxa"/>
              <w:right w:w="108" w:type="dxa"/>
            </w:tcMar>
          </w:tcPr>
          <w:p w14:paraId="0C252AAB" w14:textId="7AFE9973"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Hungary</w:t>
            </w:r>
          </w:p>
        </w:tc>
        <w:tc>
          <w:tcPr>
            <w:tcW w:w="1893" w:type="dxa"/>
            <w:tcMar>
              <w:left w:w="108" w:type="dxa"/>
              <w:right w:w="108" w:type="dxa"/>
            </w:tcMar>
            <w:vAlign w:val="center"/>
          </w:tcPr>
          <w:p w14:paraId="08E29CF2" w14:textId="5A697930"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78AB9394"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69498049"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43CB6389"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1AC3787D" w14:textId="77777777" w:rsidTr="00294F5E">
        <w:trPr>
          <w:trHeight w:val="340"/>
        </w:trPr>
        <w:tc>
          <w:tcPr>
            <w:tcW w:w="0" w:type="auto"/>
            <w:tcMar>
              <w:left w:w="108" w:type="dxa"/>
              <w:right w:w="108" w:type="dxa"/>
            </w:tcMar>
          </w:tcPr>
          <w:p w14:paraId="2966D65F" w14:textId="1451D3FB"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Ireland</w:t>
            </w:r>
          </w:p>
        </w:tc>
        <w:tc>
          <w:tcPr>
            <w:tcW w:w="1893" w:type="dxa"/>
            <w:tcMar>
              <w:left w:w="108" w:type="dxa"/>
              <w:right w:w="108" w:type="dxa"/>
            </w:tcMar>
            <w:vAlign w:val="center"/>
          </w:tcPr>
          <w:p w14:paraId="693AD399" w14:textId="1B5B1EED"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10D493AA"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463196A2"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776C8F54"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3D7D59E7" w14:textId="77777777" w:rsidTr="00294F5E">
        <w:trPr>
          <w:trHeight w:val="340"/>
        </w:trPr>
        <w:tc>
          <w:tcPr>
            <w:tcW w:w="0" w:type="auto"/>
            <w:tcMar>
              <w:left w:w="108" w:type="dxa"/>
              <w:right w:w="108" w:type="dxa"/>
            </w:tcMar>
          </w:tcPr>
          <w:p w14:paraId="7771047C" w14:textId="223DF9C2"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Latvia</w:t>
            </w:r>
          </w:p>
        </w:tc>
        <w:tc>
          <w:tcPr>
            <w:tcW w:w="1893" w:type="dxa"/>
            <w:tcMar>
              <w:left w:w="108" w:type="dxa"/>
              <w:right w:w="108" w:type="dxa"/>
            </w:tcMar>
            <w:vAlign w:val="center"/>
          </w:tcPr>
          <w:p w14:paraId="45C5F58B" w14:textId="11BE2093"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5669AFEF"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2F8F46E1"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269F0486"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6DE46578" w14:textId="77777777" w:rsidTr="00294F5E">
        <w:trPr>
          <w:trHeight w:val="340"/>
        </w:trPr>
        <w:tc>
          <w:tcPr>
            <w:tcW w:w="0" w:type="auto"/>
            <w:tcMar>
              <w:left w:w="108" w:type="dxa"/>
              <w:right w:w="108" w:type="dxa"/>
            </w:tcMar>
          </w:tcPr>
          <w:p w14:paraId="0CEEC8DD" w14:textId="3EA35C72"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Malta</w:t>
            </w:r>
          </w:p>
        </w:tc>
        <w:tc>
          <w:tcPr>
            <w:tcW w:w="1893" w:type="dxa"/>
            <w:tcMar>
              <w:left w:w="108" w:type="dxa"/>
              <w:right w:w="108" w:type="dxa"/>
            </w:tcMar>
            <w:vAlign w:val="center"/>
          </w:tcPr>
          <w:p w14:paraId="3F9C86E0" w14:textId="45F45CE7"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72EF08E0"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573480D8"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143FC7E5" w14:textId="77777777" w:rsidR="00FF7522" w:rsidRPr="000653A9" w:rsidRDefault="00FF7522" w:rsidP="00FF38B3">
            <w:pPr>
              <w:pStyle w:val="CMR-text"/>
              <w:spacing w:before="0" w:after="0" w:line="240" w:lineRule="auto"/>
              <w:jc w:val="center"/>
              <w:rPr>
                <w:rFonts w:cs="Times New Roman"/>
                <w:noProof/>
                <w:lang w:val="en-GB"/>
              </w:rPr>
            </w:pPr>
          </w:p>
        </w:tc>
      </w:tr>
      <w:tr w:rsidR="00C600D7" w:rsidRPr="000653A9" w14:paraId="0234548B" w14:textId="77777777" w:rsidTr="00294F5E">
        <w:trPr>
          <w:trHeight w:val="340"/>
        </w:trPr>
        <w:tc>
          <w:tcPr>
            <w:tcW w:w="0" w:type="auto"/>
            <w:tcMar>
              <w:left w:w="108" w:type="dxa"/>
              <w:right w:w="108" w:type="dxa"/>
            </w:tcMar>
          </w:tcPr>
          <w:p w14:paraId="6E159F28" w14:textId="1C1E5A82" w:rsidR="00FF7522" w:rsidRPr="000653A9" w:rsidRDefault="00FF7522" w:rsidP="00FF7522">
            <w:pPr>
              <w:pStyle w:val="CMR-text"/>
              <w:spacing w:before="0" w:after="0" w:line="240" w:lineRule="auto"/>
              <w:rPr>
                <w:rFonts w:cs="Times New Roman"/>
                <w:noProof/>
                <w:lang w:val="en-GB"/>
              </w:rPr>
            </w:pPr>
            <w:r w:rsidRPr="000653A9">
              <w:rPr>
                <w:rFonts w:cs="Times New Roman"/>
                <w:noProof/>
                <w:lang w:val="en-GB"/>
              </w:rPr>
              <w:t>Sweden</w:t>
            </w:r>
          </w:p>
        </w:tc>
        <w:tc>
          <w:tcPr>
            <w:tcW w:w="1893" w:type="dxa"/>
            <w:tcMar>
              <w:left w:w="108" w:type="dxa"/>
              <w:right w:w="108" w:type="dxa"/>
            </w:tcMar>
            <w:vAlign w:val="center"/>
          </w:tcPr>
          <w:p w14:paraId="4E87B765" w14:textId="4A9CD7EB" w:rsidR="00FF7522" w:rsidRPr="000653A9" w:rsidRDefault="00B84E12" w:rsidP="00FF38B3">
            <w:pPr>
              <w:pStyle w:val="CMR-text"/>
              <w:spacing w:before="0" w:after="0" w:line="240" w:lineRule="auto"/>
              <w:jc w:val="center"/>
              <w:rPr>
                <w:rFonts w:cs="Times New Roman"/>
                <w:noProof/>
                <w:lang w:val="en-GB"/>
              </w:rPr>
            </w:pPr>
            <w:r w:rsidRPr="000653A9">
              <w:rPr>
                <w:rFonts w:cs="Times New Roman"/>
                <w:noProof/>
                <w:lang w:val="en-GB"/>
              </w:rPr>
              <w:t>N/A</w:t>
            </w:r>
          </w:p>
        </w:tc>
        <w:tc>
          <w:tcPr>
            <w:tcW w:w="1894" w:type="dxa"/>
            <w:tcMar>
              <w:left w:w="108" w:type="dxa"/>
              <w:right w:w="108" w:type="dxa"/>
            </w:tcMar>
            <w:vAlign w:val="center"/>
          </w:tcPr>
          <w:p w14:paraId="47936CE4"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7DC54070" w14:textId="77777777" w:rsidR="00FF7522" w:rsidRPr="000653A9" w:rsidRDefault="00FF7522" w:rsidP="00FF38B3">
            <w:pPr>
              <w:pStyle w:val="CMR-text"/>
              <w:spacing w:before="0" w:after="0" w:line="240" w:lineRule="auto"/>
              <w:jc w:val="center"/>
              <w:rPr>
                <w:rFonts w:cs="Times New Roman"/>
                <w:noProof/>
                <w:lang w:val="en-GB"/>
              </w:rPr>
            </w:pPr>
          </w:p>
        </w:tc>
        <w:tc>
          <w:tcPr>
            <w:tcW w:w="1894" w:type="dxa"/>
            <w:tcMar>
              <w:left w:w="108" w:type="dxa"/>
              <w:right w:w="108" w:type="dxa"/>
            </w:tcMar>
            <w:vAlign w:val="center"/>
          </w:tcPr>
          <w:p w14:paraId="1346122F" w14:textId="77777777" w:rsidR="00FF7522" w:rsidRPr="000653A9" w:rsidRDefault="00FF7522" w:rsidP="00FF38B3">
            <w:pPr>
              <w:pStyle w:val="CMR-text"/>
              <w:spacing w:before="0" w:after="0" w:line="240" w:lineRule="auto"/>
              <w:jc w:val="center"/>
              <w:rPr>
                <w:rFonts w:cs="Times New Roman"/>
                <w:noProof/>
                <w:lang w:val="en-GB"/>
              </w:rPr>
            </w:pPr>
          </w:p>
        </w:tc>
      </w:tr>
    </w:tbl>
    <w:p w14:paraId="0D23DAE9" w14:textId="08AD45BD" w:rsidR="008A5E41" w:rsidRPr="000653A9" w:rsidRDefault="007770FE" w:rsidP="003063A4">
      <w:pPr>
        <w:rPr>
          <w:i/>
          <w:iCs/>
          <w:noProof/>
          <w:sz w:val="20"/>
          <w:szCs w:val="20"/>
        </w:rPr>
      </w:pPr>
      <w:r w:rsidRPr="000653A9">
        <w:rPr>
          <w:i/>
          <w:iCs/>
          <w:noProof/>
          <w:sz w:val="20"/>
          <w:szCs w:val="20"/>
        </w:rPr>
        <w:t>Source:</w:t>
      </w:r>
      <w:r w:rsidR="003063A4" w:rsidRPr="000653A9">
        <w:rPr>
          <w:i/>
          <w:iCs/>
          <w:noProof/>
          <w:sz w:val="20"/>
          <w:szCs w:val="20"/>
        </w:rPr>
        <w:t xml:space="preserve"> </w:t>
      </w:r>
      <w:r w:rsidRPr="000653A9">
        <w:rPr>
          <w:i/>
          <w:iCs/>
          <w:noProof/>
          <w:sz w:val="20"/>
          <w:szCs w:val="20"/>
        </w:rPr>
        <w:t xml:space="preserve">Report from the </w:t>
      </w:r>
      <w:r w:rsidR="00641137" w:rsidRPr="000653A9">
        <w:rPr>
          <w:i/>
          <w:iCs/>
          <w:noProof/>
          <w:sz w:val="20"/>
          <w:szCs w:val="20"/>
        </w:rPr>
        <w:t>C</w:t>
      </w:r>
      <w:r w:rsidRPr="000653A9">
        <w:rPr>
          <w:i/>
          <w:iCs/>
          <w:noProof/>
          <w:sz w:val="20"/>
          <w:szCs w:val="20"/>
        </w:rPr>
        <w:t>ommission to the European Parliament and the Council on the functioning of the</w:t>
      </w:r>
      <w:r w:rsidR="003063A4" w:rsidRPr="000653A9">
        <w:rPr>
          <w:i/>
          <w:iCs/>
          <w:noProof/>
          <w:sz w:val="20"/>
          <w:szCs w:val="20"/>
        </w:rPr>
        <w:t xml:space="preserve"> </w:t>
      </w:r>
      <w:r w:rsidRPr="000653A9">
        <w:rPr>
          <w:i/>
          <w:iCs/>
          <w:noProof/>
          <w:sz w:val="20"/>
          <w:szCs w:val="20"/>
        </w:rPr>
        <w:t>European carbon market in 202</w:t>
      </w:r>
      <w:r w:rsidR="003B4719" w:rsidRPr="000653A9">
        <w:rPr>
          <w:i/>
          <w:iCs/>
          <w:noProof/>
          <w:sz w:val="20"/>
          <w:szCs w:val="20"/>
        </w:rPr>
        <w:t>4</w:t>
      </w:r>
      <w:r w:rsidRPr="000653A9">
        <w:rPr>
          <w:i/>
          <w:iCs/>
          <w:noProof/>
          <w:sz w:val="20"/>
          <w:szCs w:val="20"/>
        </w:rPr>
        <w:t xml:space="preserve"> pursuant to Articles 10(5) and 21(2) of Directive 2003/87/EC</w:t>
      </w:r>
      <w:bookmarkStart w:id="269" w:name="_Toc204154647"/>
      <w:bookmarkStart w:id="270" w:name="_Toc211518730"/>
      <w:bookmarkStart w:id="271" w:name="_Toc212049692"/>
    </w:p>
    <w:p w14:paraId="663DACB1" w14:textId="13DAC6F5" w:rsidR="00DC63F8" w:rsidRPr="000653A9" w:rsidRDefault="000C10EC" w:rsidP="009539AB">
      <w:pPr>
        <w:pStyle w:val="Heading2COM"/>
        <w:outlineLvl w:val="2"/>
        <w15:collapsed w:val="0"/>
        <w:rPr>
          <w:noProof/>
        </w:rPr>
      </w:pPr>
      <w:r w:rsidRPr="000653A9">
        <w:rPr>
          <w:noProof/>
        </w:rPr>
        <w:t xml:space="preserve"> </w:t>
      </w:r>
      <w:bookmarkStart w:id="272" w:name="_Toc230857895"/>
      <w:bookmarkStart w:id="273" w:name="_Toc232751086"/>
      <w:r w:rsidR="00DC63F8" w:rsidRPr="000653A9">
        <w:rPr>
          <w:noProof/>
        </w:rPr>
        <w:t>Policy measures</w:t>
      </w:r>
      <w:bookmarkEnd w:id="269"/>
      <w:bookmarkEnd w:id="270"/>
      <w:bookmarkEnd w:id="271"/>
      <w:bookmarkEnd w:id="272"/>
      <w:bookmarkEnd w:id="273"/>
    </w:p>
    <w:p w14:paraId="6716DD09" w14:textId="77777777" w:rsidR="00DC63F8" w:rsidRPr="000653A9" w:rsidRDefault="00DC63F8" w:rsidP="009539AB">
      <w:pPr>
        <w:pStyle w:val="Heading3COM"/>
        <w:outlineLvl w:val="3"/>
        <w:rPr>
          <w:noProof/>
        </w:rPr>
      </w:pPr>
      <w:bookmarkStart w:id="274" w:name="_Toc204154648"/>
      <w:bookmarkStart w:id="275" w:name="_Toc212049693"/>
      <w:bookmarkStart w:id="276" w:name="_Toc230857896"/>
      <w:bookmarkStart w:id="277" w:name="_Toc232751087"/>
      <w:bookmarkStart w:id="278" w:name="_Toc211518731"/>
      <w:r w:rsidRPr="000653A9">
        <w:rPr>
          <w:noProof/>
        </w:rPr>
        <w:t>Description</w:t>
      </w:r>
      <w:bookmarkEnd w:id="274"/>
      <w:bookmarkEnd w:id="275"/>
      <w:bookmarkEnd w:id="276"/>
      <w:bookmarkEnd w:id="277"/>
      <w:r w:rsidRPr="000653A9">
        <w:rPr>
          <w:noProof/>
        </w:rPr>
        <w:t xml:space="preserve"> </w:t>
      </w:r>
      <w:bookmarkEnd w:id="278"/>
    </w:p>
    <w:p w14:paraId="732AA132" w14:textId="77777777" w:rsidR="00DC63F8" w:rsidRPr="000653A9" w:rsidRDefault="00DC63F8" w:rsidP="009539AB">
      <w:pPr>
        <w:pStyle w:val="Heading4COM"/>
        <w:outlineLvl w:val="4"/>
        <w:rPr>
          <w:noProof/>
        </w:rPr>
      </w:pPr>
      <w:bookmarkStart w:id="279" w:name="_Toc212049694"/>
      <w:bookmarkStart w:id="280" w:name="_Toc230857897"/>
      <w:bookmarkStart w:id="281" w:name="_Toc232751088"/>
      <w:r w:rsidRPr="000653A9">
        <w:rPr>
          <w:noProof/>
        </w:rPr>
        <w:t>Carbon leakage prevention measures for direct emissions</w:t>
      </w:r>
      <w:bookmarkEnd w:id="279"/>
      <w:bookmarkEnd w:id="280"/>
      <w:bookmarkEnd w:id="281"/>
    </w:p>
    <w:p w14:paraId="26709A79" w14:textId="3A6817DE" w:rsidR="004208D4" w:rsidRPr="000653A9" w:rsidRDefault="004208D4" w:rsidP="004208D4">
      <w:pPr>
        <w:rPr>
          <w:noProof/>
          <w:color w:val="auto"/>
        </w:rPr>
      </w:pPr>
      <w:r w:rsidRPr="000653A9">
        <w:rPr>
          <w:noProof/>
          <w:color w:val="auto"/>
        </w:rPr>
        <w:t>The following three policy measures to be considered in the impact assessment include:</w:t>
      </w:r>
    </w:p>
    <w:p w14:paraId="261133BD" w14:textId="77777777" w:rsidR="001E0BB0" w:rsidRPr="000653A9" w:rsidRDefault="004208D4" w:rsidP="00CD163F">
      <w:pPr>
        <w:pStyle w:val="ListParagraph"/>
        <w:numPr>
          <w:ilvl w:val="0"/>
          <w:numId w:val="14"/>
        </w:numPr>
        <w:rPr>
          <w:noProof/>
          <w:color w:val="auto"/>
        </w:rPr>
      </w:pPr>
      <w:r w:rsidRPr="000653A9">
        <w:rPr>
          <w:noProof/>
          <w:color w:val="auto"/>
        </w:rPr>
        <w:t xml:space="preserve">CL1: Improved current </w:t>
      </w:r>
      <w:r w:rsidR="001E0BB0" w:rsidRPr="000653A9">
        <w:rPr>
          <w:noProof/>
          <w:color w:val="auto"/>
        </w:rPr>
        <w:t>approach on</w:t>
      </w:r>
      <w:r w:rsidRPr="000653A9">
        <w:rPr>
          <w:noProof/>
          <w:color w:val="auto"/>
        </w:rPr>
        <w:t xml:space="preserve"> free allocation: </w:t>
      </w:r>
    </w:p>
    <w:p w14:paraId="654030B5" w14:textId="2CC75D5E" w:rsidR="00CD6B60" w:rsidRPr="000653A9" w:rsidRDefault="007975AA" w:rsidP="001E0BB0">
      <w:pPr>
        <w:rPr>
          <w:noProof/>
          <w:color w:val="auto"/>
        </w:rPr>
      </w:pPr>
      <w:r w:rsidRPr="000653A9">
        <w:rPr>
          <w:noProof/>
          <w:color w:val="auto"/>
        </w:rPr>
        <w:t>This measure represent</w:t>
      </w:r>
      <w:r w:rsidR="00465730" w:rsidRPr="000653A9">
        <w:rPr>
          <w:noProof/>
          <w:color w:val="auto"/>
        </w:rPr>
        <w:t>s</w:t>
      </w:r>
      <w:r w:rsidRPr="000653A9">
        <w:rPr>
          <w:noProof/>
          <w:color w:val="auto"/>
        </w:rPr>
        <w:t xml:space="preserve"> a continuation of the current approach on </w:t>
      </w:r>
      <w:r w:rsidR="00643236" w:rsidRPr="000653A9">
        <w:rPr>
          <w:noProof/>
          <w:color w:val="auto"/>
        </w:rPr>
        <w:t>f</w:t>
      </w:r>
      <w:r w:rsidR="004208D4" w:rsidRPr="000653A9">
        <w:rPr>
          <w:noProof/>
          <w:color w:val="auto"/>
        </w:rPr>
        <w:t xml:space="preserve">ree </w:t>
      </w:r>
      <w:r w:rsidR="008133A4" w:rsidRPr="000653A9">
        <w:rPr>
          <w:noProof/>
          <w:color w:val="auto"/>
        </w:rPr>
        <w:t>allocation but</w:t>
      </w:r>
      <w:r w:rsidR="00465730" w:rsidRPr="000653A9">
        <w:rPr>
          <w:noProof/>
          <w:color w:val="auto"/>
        </w:rPr>
        <w:t xml:space="preserve"> also</w:t>
      </w:r>
      <w:r w:rsidR="00643236" w:rsidRPr="000653A9">
        <w:rPr>
          <w:noProof/>
          <w:color w:val="auto"/>
        </w:rPr>
        <w:t xml:space="preserve"> includ</w:t>
      </w:r>
      <w:r w:rsidR="00465730" w:rsidRPr="000653A9">
        <w:rPr>
          <w:noProof/>
          <w:color w:val="auto"/>
        </w:rPr>
        <w:t>es</w:t>
      </w:r>
      <w:r w:rsidR="00643236" w:rsidRPr="000653A9">
        <w:rPr>
          <w:noProof/>
          <w:color w:val="auto"/>
        </w:rPr>
        <w:t xml:space="preserve"> </w:t>
      </w:r>
      <w:r w:rsidR="00066EDB" w:rsidRPr="000653A9">
        <w:rPr>
          <w:noProof/>
          <w:color w:val="auto"/>
        </w:rPr>
        <w:t>several</w:t>
      </w:r>
      <w:r w:rsidR="00F67852" w:rsidRPr="000653A9">
        <w:rPr>
          <w:noProof/>
          <w:color w:val="auto"/>
        </w:rPr>
        <w:t xml:space="preserve"> simplifications and improvements</w:t>
      </w:r>
      <w:r w:rsidR="00066EDB" w:rsidRPr="000653A9">
        <w:rPr>
          <w:noProof/>
          <w:color w:val="auto"/>
        </w:rPr>
        <w:t xml:space="preserve">. </w:t>
      </w:r>
      <w:r w:rsidR="008B2C9C" w:rsidRPr="000653A9">
        <w:rPr>
          <w:noProof/>
          <w:color w:val="auto"/>
        </w:rPr>
        <w:t>S</w:t>
      </w:r>
      <w:r w:rsidR="00066EDB" w:rsidRPr="000653A9">
        <w:rPr>
          <w:noProof/>
          <w:color w:val="auto"/>
        </w:rPr>
        <w:t>implification</w:t>
      </w:r>
      <w:r w:rsidR="00EC2085" w:rsidRPr="000653A9">
        <w:rPr>
          <w:noProof/>
          <w:color w:val="auto"/>
        </w:rPr>
        <w:t>s</w:t>
      </w:r>
      <w:r w:rsidR="00066EDB" w:rsidRPr="000653A9">
        <w:rPr>
          <w:noProof/>
          <w:color w:val="auto"/>
        </w:rPr>
        <w:t xml:space="preserve"> consist of </w:t>
      </w:r>
      <w:r w:rsidR="00EC2085" w:rsidRPr="000653A9">
        <w:rPr>
          <w:noProof/>
          <w:color w:val="auto"/>
        </w:rPr>
        <w:t>a avoiding a general update of the carbon leak</w:t>
      </w:r>
      <w:r w:rsidR="007D12A5" w:rsidRPr="000653A9">
        <w:rPr>
          <w:noProof/>
          <w:color w:val="auto"/>
        </w:rPr>
        <w:t>a</w:t>
      </w:r>
      <w:r w:rsidR="00EC2085" w:rsidRPr="000653A9">
        <w:rPr>
          <w:noProof/>
          <w:color w:val="auto"/>
        </w:rPr>
        <w:t>ge list and streamlining of the application for free allocation and how the benchmarks are established to reduce the administrative burden.</w:t>
      </w:r>
      <w:r w:rsidR="008B2C9C" w:rsidRPr="000653A9">
        <w:rPr>
          <w:noProof/>
          <w:color w:val="auto"/>
        </w:rPr>
        <w:t xml:space="preserve"> </w:t>
      </w:r>
      <w:r w:rsidR="009262AA" w:rsidRPr="000653A9">
        <w:rPr>
          <w:noProof/>
          <w:color w:val="auto"/>
        </w:rPr>
        <w:t>B</w:t>
      </w:r>
      <w:r w:rsidR="00BB249C" w:rsidRPr="000653A9">
        <w:rPr>
          <w:noProof/>
          <w:color w:val="auto"/>
        </w:rPr>
        <w:t>enchmarks will continue to be set by the</w:t>
      </w:r>
      <w:r w:rsidR="0084504B" w:rsidRPr="000653A9">
        <w:rPr>
          <w:noProof/>
          <w:color w:val="auto"/>
        </w:rPr>
        <w:t xml:space="preserve"> average performance of the</w:t>
      </w:r>
      <w:r w:rsidR="00BB249C" w:rsidRPr="000653A9">
        <w:rPr>
          <w:noProof/>
          <w:color w:val="auto"/>
        </w:rPr>
        <w:t xml:space="preserve"> 10%</w:t>
      </w:r>
      <w:r w:rsidR="006A492F" w:rsidRPr="000653A9">
        <w:rPr>
          <w:noProof/>
          <w:color w:val="auto"/>
        </w:rPr>
        <w:t xml:space="preserve"> best performing </w:t>
      </w:r>
      <w:r w:rsidR="00C03149" w:rsidRPr="000653A9">
        <w:rPr>
          <w:noProof/>
          <w:color w:val="auto"/>
        </w:rPr>
        <w:t xml:space="preserve">installations, </w:t>
      </w:r>
      <w:r w:rsidR="00C70E49" w:rsidRPr="000653A9">
        <w:rPr>
          <w:noProof/>
          <w:color w:val="auto"/>
        </w:rPr>
        <w:t>taking into account the minimum and maximum update rates</w:t>
      </w:r>
      <w:r w:rsidR="00633004" w:rsidRPr="000653A9">
        <w:rPr>
          <w:noProof/>
          <w:color w:val="auto"/>
        </w:rPr>
        <w:t xml:space="preserve"> and the rules for extrapolation </w:t>
      </w:r>
      <w:r w:rsidR="004E7A00" w:rsidRPr="000653A9">
        <w:rPr>
          <w:noProof/>
          <w:color w:val="auto"/>
        </w:rPr>
        <w:t>of the trend</w:t>
      </w:r>
      <w:r w:rsidR="002D33BF" w:rsidRPr="000653A9">
        <w:rPr>
          <w:noProof/>
          <w:color w:val="auto"/>
        </w:rPr>
        <w:t xml:space="preserve"> to the mid-point of the relevant five years allocation period</w:t>
      </w:r>
      <w:r w:rsidR="00C70E49" w:rsidRPr="000653A9">
        <w:rPr>
          <w:noProof/>
          <w:color w:val="auto"/>
        </w:rPr>
        <w:t>.</w:t>
      </w:r>
      <w:r w:rsidR="007E1731">
        <w:rPr>
          <w:noProof/>
          <w:color w:val="auto"/>
        </w:rPr>
        <w:t xml:space="preserve"> </w:t>
      </w:r>
      <w:r w:rsidR="006E1911">
        <w:rPr>
          <w:noProof/>
          <w:color w:val="auto"/>
        </w:rPr>
        <w:t xml:space="preserve">However, fall back benchmarks should be differentiated to take into account the specificities of the different sectors. </w:t>
      </w:r>
      <w:r w:rsidR="008D52A2" w:rsidRPr="000653A9">
        <w:rPr>
          <w:noProof/>
          <w:color w:val="auto"/>
        </w:rPr>
        <w:t>The rules on allocation level changes and c</w:t>
      </w:r>
      <w:r w:rsidR="004208D4" w:rsidRPr="000653A9">
        <w:rPr>
          <w:noProof/>
          <w:color w:val="auto"/>
        </w:rPr>
        <w:t xml:space="preserve">onditionalities remain as they are </w:t>
      </w:r>
      <w:r w:rsidR="008D52A2" w:rsidRPr="000653A9">
        <w:rPr>
          <w:noProof/>
          <w:color w:val="auto"/>
        </w:rPr>
        <w:t>currently in force</w:t>
      </w:r>
      <w:r w:rsidR="004208D4" w:rsidRPr="000653A9">
        <w:rPr>
          <w:noProof/>
          <w:color w:val="auto"/>
        </w:rPr>
        <w:t>.</w:t>
      </w:r>
    </w:p>
    <w:p w14:paraId="61ABE413" w14:textId="4411500F" w:rsidR="00417166" w:rsidRPr="000653A9" w:rsidRDefault="004208D4" w:rsidP="00CD163F">
      <w:pPr>
        <w:pStyle w:val="ListParagraph"/>
        <w:numPr>
          <w:ilvl w:val="0"/>
          <w:numId w:val="14"/>
        </w:numPr>
        <w:jc w:val="left"/>
        <w:rPr>
          <w:noProof/>
          <w:color w:val="auto"/>
        </w:rPr>
      </w:pPr>
      <w:r w:rsidRPr="000653A9">
        <w:rPr>
          <w:noProof/>
          <w:color w:val="auto"/>
        </w:rPr>
        <w:t xml:space="preserve">CL2:  </w:t>
      </w:r>
      <w:r w:rsidR="008D52A2" w:rsidRPr="000653A9">
        <w:rPr>
          <w:noProof/>
          <w:color w:val="auto"/>
        </w:rPr>
        <w:t xml:space="preserve">Conditional </w:t>
      </w:r>
      <w:r w:rsidR="006944E1" w:rsidRPr="000653A9">
        <w:rPr>
          <w:noProof/>
          <w:color w:val="auto"/>
        </w:rPr>
        <w:t>f</w:t>
      </w:r>
      <w:r w:rsidRPr="000653A9">
        <w:rPr>
          <w:noProof/>
          <w:color w:val="auto"/>
        </w:rPr>
        <w:t xml:space="preserve">ree allocation for investments: </w:t>
      </w:r>
    </w:p>
    <w:p w14:paraId="4145C543" w14:textId="3162D627" w:rsidR="004208D4" w:rsidRPr="000653A9" w:rsidRDefault="007275F7" w:rsidP="6BB49B24">
      <w:pPr>
        <w:rPr>
          <w:noProof/>
          <w:color w:val="auto"/>
        </w:rPr>
      </w:pPr>
      <w:r w:rsidRPr="6BB49B24">
        <w:rPr>
          <w:noProof/>
          <w:color w:val="auto"/>
        </w:rPr>
        <w:t xml:space="preserve">This measure builds upon </w:t>
      </w:r>
      <w:r w:rsidR="0069513E" w:rsidRPr="6BB49B24">
        <w:rPr>
          <w:noProof/>
          <w:color w:val="auto"/>
        </w:rPr>
        <w:t>the improvements and simplification introduced in</w:t>
      </w:r>
      <w:r w:rsidR="00312520" w:rsidRPr="6BB49B24">
        <w:rPr>
          <w:noProof/>
          <w:color w:val="auto"/>
        </w:rPr>
        <w:t xml:space="preserve"> measure</w:t>
      </w:r>
      <w:r w:rsidR="0069513E" w:rsidRPr="6BB49B24">
        <w:rPr>
          <w:noProof/>
          <w:color w:val="auto"/>
        </w:rPr>
        <w:t xml:space="preserve"> </w:t>
      </w:r>
      <w:r w:rsidR="00FF75E4" w:rsidRPr="6BB49B24">
        <w:rPr>
          <w:noProof/>
          <w:color w:val="auto"/>
        </w:rPr>
        <w:t>CL1 and i</w:t>
      </w:r>
      <w:r w:rsidR="004208D4" w:rsidRPr="6BB49B24">
        <w:rPr>
          <w:noProof/>
          <w:color w:val="auto"/>
        </w:rPr>
        <w:t xml:space="preserve">t expands and generalises the conditionalities introduced for the period 2026-2030 (i.e. based on energy audits and climate neutrality plans for the least efficient installations and investments for district heating). A share of free allocation will be made conditional on installations </w:t>
      </w:r>
      <w:r w:rsidR="3B3D070F" w:rsidRPr="6BB49B24">
        <w:rPr>
          <w:noProof/>
          <w:color w:val="auto"/>
        </w:rPr>
        <w:t>developing</w:t>
      </w:r>
      <w:r w:rsidR="50B71273" w:rsidRPr="6BB49B24">
        <w:rPr>
          <w:noProof/>
          <w:color w:val="auto"/>
        </w:rPr>
        <w:t xml:space="preserve"> </w:t>
      </w:r>
      <w:r w:rsidR="004208D4" w:rsidRPr="6BB49B24">
        <w:rPr>
          <w:noProof/>
          <w:color w:val="auto"/>
        </w:rPr>
        <w:t>meaningful climate neutrality plans and</w:t>
      </w:r>
      <w:r w:rsidR="6C0FEAB8" w:rsidRPr="6BB49B24">
        <w:rPr>
          <w:noProof/>
          <w:color w:val="auto"/>
        </w:rPr>
        <w:t xml:space="preserve"> invest</w:t>
      </w:r>
      <w:r w:rsidR="140811EC" w:rsidRPr="6BB49B24">
        <w:rPr>
          <w:noProof/>
          <w:color w:val="auto"/>
        </w:rPr>
        <w:t>ing</w:t>
      </w:r>
      <w:r w:rsidR="6C0FEAB8" w:rsidRPr="6BB49B24">
        <w:rPr>
          <w:noProof/>
          <w:color w:val="auto"/>
        </w:rPr>
        <w:t xml:space="preserve"> in significant emission reductions an amount equivalent to economic value of the conditional free allocation. Enforcement will take place ex-ante and ex-post. Before </w:t>
      </w:r>
      <w:r w:rsidR="68BB1258" w:rsidRPr="6BB49B24">
        <w:rPr>
          <w:noProof/>
          <w:color w:val="auto"/>
        </w:rPr>
        <w:t xml:space="preserve">the allocation of </w:t>
      </w:r>
      <w:r w:rsidR="6C0FEAB8" w:rsidRPr="6BB49B24">
        <w:rPr>
          <w:noProof/>
          <w:color w:val="auto"/>
        </w:rPr>
        <w:t xml:space="preserve">(conditional) free </w:t>
      </w:r>
      <w:r w:rsidR="69F36801" w:rsidRPr="6BB49B24">
        <w:rPr>
          <w:noProof/>
          <w:color w:val="auto"/>
        </w:rPr>
        <w:t>allowances</w:t>
      </w:r>
      <w:r w:rsidR="004208D4" w:rsidRPr="6BB49B24">
        <w:rPr>
          <w:noProof/>
          <w:color w:val="auto"/>
        </w:rPr>
        <w:t xml:space="preserve"> for the following period, </w:t>
      </w:r>
      <w:r w:rsidR="350DC6AF" w:rsidRPr="6BB49B24">
        <w:rPr>
          <w:noProof/>
          <w:color w:val="auto"/>
        </w:rPr>
        <w:t xml:space="preserve">operators </w:t>
      </w:r>
      <w:r w:rsidR="117CD2BA" w:rsidRPr="6BB49B24">
        <w:rPr>
          <w:noProof/>
          <w:color w:val="auto"/>
        </w:rPr>
        <w:t xml:space="preserve">will need to make </w:t>
      </w:r>
      <w:r w:rsidR="004208D4" w:rsidRPr="6BB49B24">
        <w:rPr>
          <w:noProof/>
          <w:color w:val="auto"/>
        </w:rPr>
        <w:t xml:space="preserve">binding financing decisions </w:t>
      </w:r>
      <w:r w:rsidR="0E378737" w:rsidRPr="6BB49B24">
        <w:rPr>
          <w:noProof/>
          <w:color w:val="auto"/>
        </w:rPr>
        <w:t xml:space="preserve">for the required investments. </w:t>
      </w:r>
      <w:r w:rsidR="004208D4" w:rsidRPr="6BB49B24">
        <w:rPr>
          <w:noProof/>
          <w:color w:val="auto"/>
        </w:rPr>
        <w:t xml:space="preserve"> </w:t>
      </w:r>
      <w:r w:rsidR="70738783" w:rsidRPr="6BB49B24">
        <w:rPr>
          <w:noProof/>
          <w:color w:val="auto"/>
        </w:rPr>
        <w:t xml:space="preserve">At the end of the allocation period, </w:t>
      </w:r>
      <w:r w:rsidR="2E834D42" w:rsidRPr="6BB49B24">
        <w:rPr>
          <w:noProof/>
          <w:color w:val="auto"/>
        </w:rPr>
        <w:t xml:space="preserve">operators </w:t>
      </w:r>
      <w:r w:rsidR="70738783" w:rsidRPr="6BB49B24">
        <w:rPr>
          <w:noProof/>
          <w:color w:val="auto"/>
        </w:rPr>
        <w:t>will need to demonstrate that the planned investments have been implemented leading to GHG reduction</w:t>
      </w:r>
      <w:r w:rsidR="700AA5E3" w:rsidRPr="6BB49B24">
        <w:rPr>
          <w:noProof/>
          <w:color w:val="auto"/>
        </w:rPr>
        <w:t xml:space="preserve">. </w:t>
      </w:r>
      <w:r w:rsidR="004208D4" w:rsidRPr="6BB49B24">
        <w:rPr>
          <w:noProof/>
          <w:color w:val="auto"/>
        </w:rPr>
        <w:t xml:space="preserve">The conditional allowances thus not allocated will </w:t>
      </w:r>
      <w:r w:rsidR="0052000F" w:rsidRPr="6BB49B24">
        <w:rPr>
          <w:noProof/>
          <w:color w:val="auto"/>
        </w:rPr>
        <w:t xml:space="preserve">be </w:t>
      </w:r>
      <w:r w:rsidR="004208D4" w:rsidRPr="6BB49B24">
        <w:rPr>
          <w:noProof/>
          <w:color w:val="auto"/>
        </w:rPr>
        <w:t>made available for free allocation</w:t>
      </w:r>
      <w:r w:rsidR="00AA7A44" w:rsidRPr="6BB49B24">
        <w:rPr>
          <w:noProof/>
          <w:color w:val="auto"/>
        </w:rPr>
        <w:t xml:space="preserve"> to other operators</w:t>
      </w:r>
      <w:r w:rsidR="004208D4" w:rsidRPr="6BB49B24">
        <w:rPr>
          <w:noProof/>
          <w:color w:val="auto"/>
        </w:rPr>
        <w:t xml:space="preserve">. A gradual approach is necessary to enable economic actors to adjust. The share of conditional free allocation would be phased in starting with 20% in 2031, 40% in 2032, 60% in 2033, 80% in 2034 and then 100% from 2035. </w:t>
      </w:r>
      <w:r w:rsidR="00436A16" w:rsidRPr="6BB49B24">
        <w:rPr>
          <w:noProof/>
          <w:color w:val="auto"/>
        </w:rPr>
        <w:t>The impact of t</w:t>
      </w:r>
      <w:r w:rsidR="004208D4" w:rsidRPr="6BB49B24">
        <w:rPr>
          <w:noProof/>
          <w:color w:val="auto"/>
        </w:rPr>
        <w:t>his measure will</w:t>
      </w:r>
      <w:r w:rsidR="00436A16" w:rsidRPr="6BB49B24">
        <w:rPr>
          <w:noProof/>
          <w:color w:val="auto"/>
        </w:rPr>
        <w:t xml:space="preserve"> be assessed based on </w:t>
      </w:r>
      <w:r w:rsidR="00BF3D0A" w:rsidRPr="6BB49B24">
        <w:rPr>
          <w:noProof/>
          <w:color w:val="auto"/>
        </w:rPr>
        <w:t>two scenarios</w:t>
      </w:r>
      <w:r w:rsidR="00D22DF5" w:rsidRPr="6BB49B24">
        <w:rPr>
          <w:noProof/>
          <w:color w:val="auto"/>
        </w:rPr>
        <w:t xml:space="preserve"> assuming a different level of compliance with </w:t>
      </w:r>
      <w:r w:rsidR="00EC0EA3" w:rsidRPr="6BB49B24">
        <w:rPr>
          <w:noProof/>
          <w:color w:val="auto"/>
        </w:rPr>
        <w:t xml:space="preserve">the conditionalities, namely </w:t>
      </w:r>
      <w:r w:rsidR="004E3F0E" w:rsidRPr="6BB49B24">
        <w:rPr>
          <w:noProof/>
          <w:color w:val="auto"/>
        </w:rPr>
        <w:t xml:space="preserve">a compliance rate of </w:t>
      </w:r>
      <w:r w:rsidR="004208D4" w:rsidRPr="6BB49B24">
        <w:rPr>
          <w:noProof/>
          <w:color w:val="auto"/>
        </w:rPr>
        <w:t xml:space="preserve">90% </w:t>
      </w:r>
      <w:r w:rsidR="006624A7" w:rsidRPr="6BB49B24">
        <w:rPr>
          <w:noProof/>
          <w:color w:val="auto"/>
        </w:rPr>
        <w:t>(</w:t>
      </w:r>
      <w:r w:rsidR="00E4684B" w:rsidRPr="6BB49B24">
        <w:rPr>
          <w:noProof/>
          <w:color w:val="auto"/>
        </w:rPr>
        <w:t>referred to as “</w:t>
      </w:r>
      <w:r w:rsidR="006624A7" w:rsidRPr="6BB49B24">
        <w:rPr>
          <w:noProof/>
          <w:color w:val="auto"/>
        </w:rPr>
        <w:t>CL2_90</w:t>
      </w:r>
      <w:r w:rsidR="00E4684B" w:rsidRPr="6BB49B24">
        <w:rPr>
          <w:noProof/>
          <w:color w:val="auto"/>
        </w:rPr>
        <w:t>” in the rest of the document</w:t>
      </w:r>
      <w:r w:rsidR="006624A7" w:rsidRPr="6BB49B24">
        <w:rPr>
          <w:noProof/>
          <w:color w:val="auto"/>
        </w:rPr>
        <w:t>)</w:t>
      </w:r>
      <w:r w:rsidR="00E4684B" w:rsidRPr="6BB49B24">
        <w:rPr>
          <w:noProof/>
          <w:color w:val="auto"/>
        </w:rPr>
        <w:t xml:space="preserve"> </w:t>
      </w:r>
      <w:r w:rsidR="004208D4" w:rsidRPr="6BB49B24">
        <w:rPr>
          <w:noProof/>
          <w:color w:val="auto"/>
        </w:rPr>
        <w:t xml:space="preserve">and </w:t>
      </w:r>
      <w:r w:rsidR="004E3F0E" w:rsidRPr="6BB49B24">
        <w:rPr>
          <w:noProof/>
          <w:color w:val="auto"/>
        </w:rPr>
        <w:t xml:space="preserve">respectively </w:t>
      </w:r>
      <w:r w:rsidR="004208D4" w:rsidRPr="6BB49B24">
        <w:rPr>
          <w:noProof/>
          <w:color w:val="auto"/>
        </w:rPr>
        <w:t>50%</w:t>
      </w:r>
      <w:r w:rsidR="00E4684B" w:rsidRPr="6BB49B24">
        <w:rPr>
          <w:noProof/>
          <w:color w:val="auto"/>
        </w:rPr>
        <w:t xml:space="preserve"> (“CL2_50”)</w:t>
      </w:r>
      <w:r w:rsidR="004208D4" w:rsidRPr="6BB49B24">
        <w:rPr>
          <w:noProof/>
          <w:color w:val="auto"/>
        </w:rPr>
        <w:t xml:space="preserve">. </w:t>
      </w:r>
    </w:p>
    <w:p w14:paraId="4F1CA70A" w14:textId="2334DAD1" w:rsidR="00417166" w:rsidRPr="000653A9" w:rsidRDefault="004208D4" w:rsidP="00CD163F">
      <w:pPr>
        <w:pStyle w:val="ListParagraph"/>
        <w:numPr>
          <w:ilvl w:val="0"/>
          <w:numId w:val="14"/>
        </w:numPr>
        <w:spacing w:after="240"/>
        <w:ind w:left="714" w:hanging="357"/>
        <w:jc w:val="left"/>
        <w:rPr>
          <w:noProof/>
          <w:color w:val="auto"/>
        </w:rPr>
      </w:pPr>
      <w:r w:rsidRPr="000653A9">
        <w:rPr>
          <w:noProof/>
          <w:color w:val="auto"/>
        </w:rPr>
        <w:t>CL3:  No free allocation</w:t>
      </w:r>
      <w:r w:rsidR="00991E19" w:rsidRPr="000653A9">
        <w:rPr>
          <w:noProof/>
          <w:color w:val="auto"/>
        </w:rPr>
        <w:t xml:space="preserve"> and partial surrender of </w:t>
      </w:r>
      <w:r w:rsidR="00044048" w:rsidRPr="000653A9">
        <w:rPr>
          <w:noProof/>
          <w:color w:val="auto"/>
        </w:rPr>
        <w:t>allowances until</w:t>
      </w:r>
      <w:r w:rsidRPr="000653A9">
        <w:rPr>
          <w:noProof/>
          <w:color w:val="auto"/>
        </w:rPr>
        <w:t xml:space="preserve"> 2034</w:t>
      </w:r>
    </w:p>
    <w:p w14:paraId="2CAD6645" w14:textId="4FB054FA" w:rsidR="004208D4" w:rsidRPr="000653A9" w:rsidRDefault="00044048" w:rsidP="000C10EC">
      <w:pPr>
        <w:spacing w:after="240"/>
        <w:rPr>
          <w:noProof/>
          <w:color w:val="auto"/>
        </w:rPr>
      </w:pPr>
      <w:r w:rsidRPr="000653A9">
        <w:rPr>
          <w:noProof/>
          <w:color w:val="auto"/>
        </w:rPr>
        <w:t xml:space="preserve">This measure proposes an alternative </w:t>
      </w:r>
      <w:r w:rsidR="006D58CA" w:rsidRPr="000653A9">
        <w:rPr>
          <w:noProof/>
          <w:color w:val="auto"/>
        </w:rPr>
        <w:t>to f</w:t>
      </w:r>
      <w:r w:rsidR="005646E2" w:rsidRPr="000653A9">
        <w:rPr>
          <w:noProof/>
          <w:color w:val="auto"/>
        </w:rPr>
        <w:t xml:space="preserve">ree allocation for carbon leakage protection. It replaces the current free allocation provision with a system </w:t>
      </w:r>
      <w:r w:rsidR="008B2C9C" w:rsidRPr="000653A9">
        <w:rPr>
          <w:noProof/>
          <w:color w:val="auto"/>
        </w:rPr>
        <w:t>like</w:t>
      </w:r>
      <w:r w:rsidR="004208D4" w:rsidRPr="000653A9">
        <w:rPr>
          <w:noProof/>
          <w:color w:val="auto"/>
        </w:rPr>
        <w:t xml:space="preserve"> th</w:t>
      </w:r>
      <w:r w:rsidR="00A765D8" w:rsidRPr="000653A9">
        <w:rPr>
          <w:noProof/>
          <w:color w:val="auto"/>
        </w:rPr>
        <w:t>e</w:t>
      </w:r>
      <w:r w:rsidR="004208D4" w:rsidRPr="000653A9">
        <w:rPr>
          <w:noProof/>
          <w:color w:val="auto"/>
        </w:rPr>
        <w:t xml:space="preserve"> approach used for </w:t>
      </w:r>
      <w:r w:rsidR="00F173C5" w:rsidRPr="000653A9">
        <w:rPr>
          <w:noProof/>
          <w:color w:val="auto"/>
        </w:rPr>
        <w:t>phasing in the compliance obl</w:t>
      </w:r>
      <w:r w:rsidR="004150D4" w:rsidRPr="000653A9">
        <w:rPr>
          <w:noProof/>
          <w:color w:val="auto"/>
        </w:rPr>
        <w:t xml:space="preserve">igation </w:t>
      </w:r>
      <w:r w:rsidR="00A765D8" w:rsidRPr="000653A9">
        <w:rPr>
          <w:noProof/>
          <w:color w:val="auto"/>
        </w:rPr>
        <w:t xml:space="preserve">of </w:t>
      </w:r>
      <w:r w:rsidR="004208D4" w:rsidRPr="000653A9">
        <w:rPr>
          <w:noProof/>
          <w:color w:val="auto"/>
        </w:rPr>
        <w:t>maritime</w:t>
      </w:r>
      <w:r w:rsidR="004150D4" w:rsidRPr="000653A9">
        <w:rPr>
          <w:noProof/>
          <w:color w:val="auto"/>
        </w:rPr>
        <w:t xml:space="preserve">. Therefore, </w:t>
      </w:r>
      <w:r w:rsidR="00DE0080" w:rsidRPr="000653A9">
        <w:rPr>
          <w:noProof/>
          <w:color w:val="auto"/>
        </w:rPr>
        <w:t>installations, instead of receiving a certain quantity of allowances for free</w:t>
      </w:r>
      <w:r w:rsidR="00464257" w:rsidRPr="000653A9">
        <w:rPr>
          <w:noProof/>
          <w:color w:val="auto"/>
        </w:rPr>
        <w:t xml:space="preserve">, would be required to surrender allowances only for a part of their </w:t>
      </w:r>
      <w:r w:rsidR="00151054" w:rsidRPr="000653A9">
        <w:rPr>
          <w:noProof/>
          <w:color w:val="auto"/>
        </w:rPr>
        <w:t xml:space="preserve">reported emissions. </w:t>
      </w:r>
      <w:r w:rsidR="001D5682" w:rsidRPr="000653A9">
        <w:rPr>
          <w:noProof/>
          <w:color w:val="auto"/>
        </w:rPr>
        <w:t xml:space="preserve">However, unlike maritime, the </w:t>
      </w:r>
      <w:r w:rsidR="00E01D5B" w:rsidRPr="000653A9">
        <w:rPr>
          <w:noProof/>
          <w:color w:val="auto"/>
        </w:rPr>
        <w:t>non</w:t>
      </w:r>
      <w:r w:rsidR="001D5682" w:rsidRPr="000653A9">
        <w:rPr>
          <w:noProof/>
          <w:color w:val="auto"/>
        </w:rPr>
        <w:t>-surrender</w:t>
      </w:r>
      <w:r w:rsidR="00E01D5B" w:rsidRPr="000653A9">
        <w:rPr>
          <w:noProof/>
          <w:color w:val="auto"/>
        </w:rPr>
        <w:t>ed share of</w:t>
      </w:r>
      <w:r w:rsidR="001D5682" w:rsidRPr="000653A9">
        <w:rPr>
          <w:noProof/>
          <w:color w:val="auto"/>
        </w:rPr>
        <w:t xml:space="preserve"> allowances </w:t>
      </w:r>
      <w:r w:rsidR="006E472B" w:rsidRPr="000653A9">
        <w:rPr>
          <w:noProof/>
          <w:color w:val="auto"/>
        </w:rPr>
        <w:t>is</w:t>
      </w:r>
      <w:r w:rsidR="001D5682" w:rsidRPr="000653A9">
        <w:rPr>
          <w:noProof/>
          <w:color w:val="auto"/>
        </w:rPr>
        <w:t xml:space="preserve"> equivalent to allowances received for free</w:t>
      </w:r>
      <w:r w:rsidR="00E01D5B" w:rsidRPr="000653A9">
        <w:rPr>
          <w:noProof/>
          <w:color w:val="auto"/>
        </w:rPr>
        <w:t xml:space="preserve"> (in the other measures) and there</w:t>
      </w:r>
      <w:r w:rsidR="00EB562F" w:rsidRPr="000653A9">
        <w:rPr>
          <w:noProof/>
          <w:color w:val="auto"/>
        </w:rPr>
        <w:t>fore there would not be any adjustment to the cap to compensate for the partial surrender of allowances</w:t>
      </w:r>
      <w:r w:rsidR="00084EF1" w:rsidRPr="000653A9">
        <w:rPr>
          <w:noProof/>
          <w:color w:val="auto"/>
        </w:rPr>
        <w:t>.</w:t>
      </w:r>
      <w:r w:rsidR="00E01D5B" w:rsidRPr="000653A9">
        <w:rPr>
          <w:noProof/>
          <w:color w:val="auto"/>
        </w:rPr>
        <w:t xml:space="preserve"> </w:t>
      </w:r>
      <w:r w:rsidR="00151054" w:rsidRPr="000653A9">
        <w:rPr>
          <w:noProof/>
          <w:color w:val="auto"/>
        </w:rPr>
        <w:t>The share of emissions that w</w:t>
      </w:r>
      <w:r w:rsidR="00E154F1" w:rsidRPr="000653A9">
        <w:rPr>
          <w:noProof/>
          <w:color w:val="auto"/>
        </w:rPr>
        <w:t xml:space="preserve">ill require the surrendering of allowances will gradually increase to </w:t>
      </w:r>
      <w:r w:rsidR="004208D4" w:rsidRPr="000653A9">
        <w:rPr>
          <w:noProof/>
          <w:color w:val="auto"/>
        </w:rPr>
        <w:t xml:space="preserve">100% surrender of allowances </w:t>
      </w:r>
      <w:r w:rsidR="00E154F1" w:rsidRPr="000653A9">
        <w:rPr>
          <w:noProof/>
          <w:color w:val="auto"/>
        </w:rPr>
        <w:t>by</w:t>
      </w:r>
      <w:r w:rsidR="004208D4" w:rsidRPr="000653A9">
        <w:rPr>
          <w:noProof/>
          <w:color w:val="auto"/>
        </w:rPr>
        <w:t xml:space="preserve"> 2034 (20% surrender in 2031, 50% in 2032, 80% in 2033, 100% </w:t>
      </w:r>
      <w:r w:rsidR="00486AB0" w:rsidRPr="000653A9">
        <w:rPr>
          <w:noProof/>
          <w:color w:val="auto"/>
        </w:rPr>
        <w:t>from</w:t>
      </w:r>
      <w:r w:rsidR="004208D4" w:rsidRPr="000653A9">
        <w:rPr>
          <w:noProof/>
          <w:color w:val="auto"/>
        </w:rPr>
        <w:t xml:space="preserve"> 2034). In this way, all sectors (CBAM and non-CBAM) will pay for 100% of their emissions from 2034. </w:t>
      </w:r>
    </w:p>
    <w:p w14:paraId="72D75E81" w14:textId="37BE5AA7" w:rsidR="00841362" w:rsidRPr="000653A9" w:rsidRDefault="00841362" w:rsidP="00CD163F">
      <w:pPr>
        <w:pStyle w:val="ListParagraph"/>
        <w:numPr>
          <w:ilvl w:val="0"/>
          <w:numId w:val="14"/>
        </w:numPr>
        <w:spacing w:after="240"/>
        <w:rPr>
          <w:noProof/>
          <w:color w:val="auto"/>
        </w:rPr>
      </w:pPr>
      <w:r w:rsidRPr="000653A9">
        <w:rPr>
          <w:noProof/>
          <w:color w:val="auto"/>
        </w:rPr>
        <w:t xml:space="preserve">Revenue recycling variants </w:t>
      </w:r>
    </w:p>
    <w:p w14:paraId="5D49F313" w14:textId="761F9A52" w:rsidR="004E4EAD" w:rsidRPr="000653A9" w:rsidRDefault="004E4EAD" w:rsidP="004E4EAD">
      <w:pPr>
        <w:spacing w:after="240"/>
        <w:rPr>
          <w:noProof/>
          <w:color w:val="auto"/>
        </w:rPr>
      </w:pPr>
      <w:r w:rsidRPr="000653A9">
        <w:rPr>
          <w:noProof/>
          <w:color w:val="auto"/>
        </w:rPr>
        <w:t>In the standard</w:t>
      </w:r>
      <w:r w:rsidR="00C87D9A" w:rsidRPr="000653A9">
        <w:rPr>
          <w:noProof/>
          <w:color w:val="auto"/>
        </w:rPr>
        <w:t xml:space="preserve"> modelled</w:t>
      </w:r>
      <w:r w:rsidRPr="000653A9">
        <w:rPr>
          <w:noProof/>
          <w:color w:val="auto"/>
        </w:rPr>
        <w:t xml:space="preserve"> scenarios</w:t>
      </w:r>
      <w:r w:rsidR="00CA3740" w:rsidRPr="000653A9">
        <w:rPr>
          <w:noProof/>
          <w:color w:val="auto"/>
        </w:rPr>
        <w:t xml:space="preserve">, </w:t>
      </w:r>
      <w:r w:rsidR="007A7135" w:rsidRPr="000653A9">
        <w:rPr>
          <w:noProof/>
          <w:color w:val="auto"/>
        </w:rPr>
        <w:t xml:space="preserve">revenue generated by </w:t>
      </w:r>
      <w:r w:rsidR="006D7469" w:rsidRPr="000653A9">
        <w:rPr>
          <w:noProof/>
          <w:color w:val="auto"/>
        </w:rPr>
        <w:t xml:space="preserve">the </w:t>
      </w:r>
      <w:r w:rsidR="003D1FA0" w:rsidRPr="000653A9">
        <w:rPr>
          <w:noProof/>
          <w:color w:val="auto"/>
        </w:rPr>
        <w:t>EU ETS</w:t>
      </w:r>
      <w:r w:rsidR="007A7135" w:rsidRPr="000653A9">
        <w:rPr>
          <w:noProof/>
          <w:color w:val="auto"/>
        </w:rPr>
        <w:t xml:space="preserve"> is recycled with 50% financing </w:t>
      </w:r>
      <w:r w:rsidR="00C87D9A" w:rsidRPr="000653A9">
        <w:rPr>
          <w:noProof/>
          <w:color w:val="auto"/>
        </w:rPr>
        <w:t xml:space="preserve">power sector investments </w:t>
      </w:r>
      <w:r w:rsidR="00C0745F" w:rsidRPr="000653A9">
        <w:rPr>
          <w:noProof/>
          <w:color w:val="auto"/>
        </w:rPr>
        <w:t xml:space="preserve">and 50% dedicated to improving energy efficiency in </w:t>
      </w:r>
      <w:r w:rsidR="006D7469" w:rsidRPr="000653A9">
        <w:rPr>
          <w:noProof/>
          <w:color w:val="auto"/>
        </w:rPr>
        <w:t xml:space="preserve">covered </w:t>
      </w:r>
      <w:r w:rsidR="00C0745F" w:rsidRPr="000653A9">
        <w:rPr>
          <w:noProof/>
          <w:color w:val="auto"/>
        </w:rPr>
        <w:t>industries.</w:t>
      </w:r>
      <w:r w:rsidR="00CD0405" w:rsidRPr="000653A9">
        <w:rPr>
          <w:noProof/>
          <w:color w:val="auto"/>
        </w:rPr>
        <w:t xml:space="preserve"> Parts of this impact assessment also consider </w:t>
      </w:r>
      <w:r w:rsidR="00D63214" w:rsidRPr="000653A9">
        <w:rPr>
          <w:noProof/>
          <w:color w:val="auto"/>
        </w:rPr>
        <w:t>a revised recycling structure (CL1R, CL3R) where</w:t>
      </w:r>
      <w:r w:rsidR="00E7622E" w:rsidRPr="000653A9">
        <w:rPr>
          <w:noProof/>
          <w:color w:val="auto"/>
        </w:rPr>
        <w:t xml:space="preserve"> the 50% allocation to the power sector is instead transferred as a lump sum payment to households.</w:t>
      </w:r>
    </w:p>
    <w:p w14:paraId="2ACC578B" w14:textId="76689196" w:rsidR="00883D79" w:rsidRPr="000653A9" w:rsidRDefault="00883D79" w:rsidP="00CD163F">
      <w:pPr>
        <w:pStyle w:val="ListParagraph"/>
        <w:numPr>
          <w:ilvl w:val="0"/>
          <w:numId w:val="14"/>
        </w:numPr>
        <w:spacing w:after="240"/>
        <w:rPr>
          <w:noProof/>
          <w:color w:val="auto"/>
        </w:rPr>
      </w:pPr>
      <w:r w:rsidRPr="000653A9">
        <w:rPr>
          <w:noProof/>
          <w:color w:val="auto"/>
        </w:rPr>
        <w:t>CBAM variants</w:t>
      </w:r>
      <w:bookmarkStart w:id="282" w:name="_Toc221721958"/>
      <w:bookmarkStart w:id="283" w:name="_Toc222739645"/>
      <w:bookmarkEnd w:id="282"/>
      <w:bookmarkEnd w:id="283"/>
    </w:p>
    <w:p w14:paraId="1064943F" w14:textId="3D9DF8F6" w:rsidR="00883D79" w:rsidRPr="000653A9" w:rsidRDefault="001C591E" w:rsidP="00883D79">
      <w:pPr>
        <w:spacing w:after="240"/>
        <w:rPr>
          <w:noProof/>
          <w:color w:val="auto"/>
        </w:rPr>
      </w:pPr>
      <w:r w:rsidRPr="000653A9">
        <w:rPr>
          <w:noProof/>
          <w:color w:val="auto"/>
        </w:rPr>
        <w:t xml:space="preserve">All </w:t>
      </w:r>
      <w:r w:rsidR="00760C0E" w:rsidRPr="000653A9">
        <w:rPr>
          <w:noProof/>
          <w:color w:val="auto"/>
        </w:rPr>
        <w:t xml:space="preserve">policy measures </w:t>
      </w:r>
      <w:r w:rsidR="006F042D" w:rsidRPr="000653A9">
        <w:rPr>
          <w:noProof/>
          <w:color w:val="auto"/>
        </w:rPr>
        <w:t xml:space="preserve">for direct emissions target </w:t>
      </w:r>
      <w:r w:rsidR="001E7E1A" w:rsidRPr="000653A9">
        <w:rPr>
          <w:noProof/>
          <w:color w:val="auto"/>
        </w:rPr>
        <w:t>carbon leakage protection for non-CBAM sectors</w:t>
      </w:r>
      <w:r w:rsidR="00A87EDB" w:rsidRPr="000653A9">
        <w:rPr>
          <w:noProof/>
          <w:color w:val="auto"/>
        </w:rPr>
        <w:t xml:space="preserve">, while free allocation for installations covered CBAM continues to be phased out </w:t>
      </w:r>
      <w:r w:rsidR="00B17219" w:rsidRPr="000653A9">
        <w:rPr>
          <w:noProof/>
          <w:color w:val="auto"/>
        </w:rPr>
        <w:t>as currently planned in the ETS Directive by 2034.</w:t>
      </w:r>
      <w:bookmarkStart w:id="284" w:name="_Toc221721959"/>
      <w:bookmarkStart w:id="285" w:name="_Toc222739646"/>
      <w:bookmarkEnd w:id="284"/>
      <w:bookmarkEnd w:id="285"/>
    </w:p>
    <w:p w14:paraId="4BB6FE54" w14:textId="77777777" w:rsidR="00F4448D" w:rsidRDefault="00612916" w:rsidP="004E4EAD">
      <w:pPr>
        <w:spacing w:after="240"/>
        <w:rPr>
          <w:noProof/>
          <w:color w:val="auto"/>
        </w:rPr>
      </w:pPr>
      <w:r w:rsidRPr="000653A9">
        <w:rPr>
          <w:noProof/>
          <w:color w:val="auto"/>
        </w:rPr>
        <w:t xml:space="preserve">However, </w:t>
      </w:r>
      <w:r w:rsidR="0030276D" w:rsidRPr="000653A9">
        <w:rPr>
          <w:noProof/>
          <w:color w:val="auto"/>
        </w:rPr>
        <w:t>a CBAM variant is analysed for each policy measure</w:t>
      </w:r>
      <w:r w:rsidR="0048290C" w:rsidRPr="000653A9">
        <w:rPr>
          <w:noProof/>
          <w:color w:val="auto"/>
        </w:rPr>
        <w:t xml:space="preserve"> </w:t>
      </w:r>
      <w:r w:rsidR="003A078D" w:rsidRPr="000653A9">
        <w:rPr>
          <w:noProof/>
          <w:color w:val="auto"/>
        </w:rPr>
        <w:t>that</w:t>
      </w:r>
      <w:r w:rsidR="0048290C" w:rsidRPr="000653A9">
        <w:rPr>
          <w:noProof/>
          <w:color w:val="auto"/>
        </w:rPr>
        <w:t xml:space="preserve"> considers</w:t>
      </w:r>
      <w:r w:rsidR="003A078D" w:rsidRPr="000653A9">
        <w:rPr>
          <w:noProof/>
          <w:color w:val="auto"/>
        </w:rPr>
        <w:t xml:space="preserve">, in addition to the specific changes for that policy measure, </w:t>
      </w:r>
      <w:r w:rsidR="00701E06" w:rsidRPr="000653A9">
        <w:rPr>
          <w:noProof/>
          <w:color w:val="auto"/>
        </w:rPr>
        <w:t xml:space="preserve">re-allocating 15% of the free allowances that would have otherwise been </w:t>
      </w:r>
      <w:r w:rsidR="003055F2" w:rsidRPr="000653A9">
        <w:rPr>
          <w:noProof/>
          <w:color w:val="auto"/>
        </w:rPr>
        <w:t>phased out</w:t>
      </w:r>
      <w:r w:rsidR="00701E06" w:rsidRPr="000653A9">
        <w:rPr>
          <w:noProof/>
          <w:color w:val="auto"/>
        </w:rPr>
        <w:t xml:space="preserve"> to installations covered by CBAM.</w:t>
      </w:r>
    </w:p>
    <w:p w14:paraId="62B1C491" w14:textId="77777777" w:rsidR="00F4448D" w:rsidRDefault="00F4448D" w:rsidP="0018561F">
      <w:pPr>
        <w:pStyle w:val="ListParagraph"/>
        <w:numPr>
          <w:ilvl w:val="0"/>
          <w:numId w:val="37"/>
        </w:numPr>
        <w:spacing w:after="240"/>
        <w:rPr>
          <w:noProof/>
          <w:color w:val="auto"/>
        </w:rPr>
      </w:pPr>
      <w:r>
        <w:rPr>
          <w:noProof/>
          <w:color w:val="auto"/>
        </w:rPr>
        <w:t>Cap variants</w:t>
      </w:r>
    </w:p>
    <w:p w14:paraId="44788E03" w14:textId="57902BB3" w:rsidR="00A929D4" w:rsidRDefault="00A929D4" w:rsidP="00F4448D">
      <w:pPr>
        <w:spacing w:after="240"/>
        <w:rPr>
          <w:noProof/>
          <w:color w:val="auto"/>
        </w:rPr>
      </w:pPr>
      <w:r>
        <w:rPr>
          <w:noProof/>
          <w:color w:val="auto"/>
        </w:rPr>
        <w:t>For</w:t>
      </w:r>
      <w:r w:rsidR="006C3B22">
        <w:rPr>
          <w:noProof/>
          <w:color w:val="auto"/>
        </w:rPr>
        <w:t xml:space="preserve"> derriving a free allocation budget and the resulting free allocation and cross sectorial correction factor, each policy measure has </w:t>
      </w:r>
      <w:r w:rsidR="0054344E">
        <w:rPr>
          <w:noProof/>
          <w:color w:val="auto"/>
        </w:rPr>
        <w:t xml:space="preserve">been constructed based on the ambition level determined under </w:t>
      </w:r>
      <w:r>
        <w:rPr>
          <w:noProof/>
          <w:color w:val="auto"/>
        </w:rPr>
        <w:t>the measure CAP2</w:t>
      </w:r>
      <w:r w:rsidR="006C3B22" w:rsidRPr="00107E89">
        <w:rPr>
          <w:noProof/>
          <w:color w:val="auto"/>
        </w:rPr>
        <w:t>.</w:t>
      </w:r>
      <w:r w:rsidR="006C3B22">
        <w:rPr>
          <w:noProof/>
          <w:color w:val="auto"/>
        </w:rPr>
        <w:t xml:space="preserve"> </w:t>
      </w:r>
    </w:p>
    <w:p w14:paraId="004EFA66" w14:textId="0D48FF58" w:rsidR="00542D2D" w:rsidRPr="00F4448D" w:rsidRDefault="00DA5F08" w:rsidP="00F4448D">
      <w:pPr>
        <w:spacing w:after="240"/>
        <w:rPr>
          <w:noProof/>
          <w:color w:val="auto"/>
        </w:rPr>
      </w:pPr>
      <w:r>
        <w:rPr>
          <w:noProof/>
          <w:color w:val="auto"/>
        </w:rPr>
        <w:t xml:space="preserve">In addition, </w:t>
      </w:r>
      <w:r w:rsidR="002635CD">
        <w:rPr>
          <w:noProof/>
          <w:color w:val="auto"/>
        </w:rPr>
        <w:t xml:space="preserve">a variant is </w:t>
      </w:r>
      <w:r w:rsidR="00F634E7">
        <w:rPr>
          <w:noProof/>
          <w:color w:val="auto"/>
        </w:rPr>
        <w:t>analysed for CL2 based on a version of the 85%</w:t>
      </w:r>
      <w:r w:rsidR="00210FAC">
        <w:rPr>
          <w:noProof/>
          <w:color w:val="auto"/>
        </w:rPr>
        <w:t xml:space="preserve"> reference scenario</w:t>
      </w:r>
      <w:r w:rsidR="00F003E8">
        <w:rPr>
          <w:noProof/>
          <w:color w:val="auto"/>
        </w:rPr>
        <w:t xml:space="preserve"> a</w:t>
      </w:r>
      <w:r w:rsidR="00F003E8" w:rsidRPr="00F003E8">
        <w:rPr>
          <w:noProof/>
          <w:color w:val="auto"/>
          <w:lang w:val="en-US"/>
        </w:rPr>
        <w:t xml:space="preserve">ttaining </w:t>
      </w:r>
      <w:r w:rsidR="00F003E8" w:rsidRPr="00E34577">
        <w:rPr>
          <w:noProof/>
          <w:color w:val="auto"/>
          <w:lang w:val="en-US"/>
        </w:rPr>
        <w:t>in 2035 an economy-wide GHG emissions level target</w:t>
      </w:r>
      <w:r w:rsidR="00F003E8" w:rsidRPr="00F003E8">
        <w:rPr>
          <w:noProof/>
          <w:color w:val="auto"/>
          <w:lang w:val="en-US"/>
        </w:rPr>
        <w:t> consistent with a pathway towards a 90% target in 2040, but thereafter consistent with an 85% target in 2040.</w:t>
      </w:r>
      <w:r w:rsidR="00F003E8">
        <w:rPr>
          <w:noProof/>
          <w:color w:val="auto"/>
          <w:lang w:val="en-US"/>
        </w:rPr>
        <w:t xml:space="preserve"> (CL</w:t>
      </w:r>
      <w:r w:rsidR="00224619">
        <w:rPr>
          <w:noProof/>
          <w:color w:val="auto"/>
          <w:lang w:val="en-US"/>
        </w:rPr>
        <w:t>2</w:t>
      </w:r>
      <w:r w:rsidR="00F003E8">
        <w:rPr>
          <w:noProof/>
          <w:color w:val="auto"/>
          <w:lang w:val="en-US"/>
        </w:rPr>
        <w:t>90_</w:t>
      </w:r>
      <w:r w:rsidR="009A0EDC">
        <w:rPr>
          <w:noProof/>
          <w:color w:val="auto"/>
          <w:lang w:val="en-US"/>
        </w:rPr>
        <w:t xml:space="preserve">9085 </w:t>
      </w:r>
      <w:bookmarkStart w:id="286" w:name="_Toc221721960"/>
      <w:bookmarkStart w:id="287" w:name="_Toc222739647"/>
      <w:bookmarkEnd w:id="286"/>
      <w:bookmarkEnd w:id="287"/>
      <w:r w:rsidR="00224619">
        <w:rPr>
          <w:noProof/>
          <w:color w:val="auto"/>
        </w:rPr>
        <w:t>and CL_90C_</w:t>
      </w:r>
      <w:r w:rsidR="009A0EDC">
        <w:rPr>
          <w:noProof/>
          <w:color w:val="auto"/>
        </w:rPr>
        <w:t>9085</w:t>
      </w:r>
      <w:r w:rsidR="00224619">
        <w:rPr>
          <w:noProof/>
          <w:color w:val="auto"/>
        </w:rPr>
        <w:t>)</w:t>
      </w:r>
      <w:r w:rsidR="00542D2D">
        <w:rPr>
          <w:noProof/>
          <w:color w:val="auto"/>
        </w:rPr>
        <w:t xml:space="preserve">. </w:t>
      </w:r>
      <w:r w:rsidR="00633601">
        <w:rPr>
          <w:noProof/>
          <w:color w:val="auto"/>
        </w:rPr>
        <w:t xml:space="preserve">This corresponds to the CAP3 </w:t>
      </w:r>
      <w:r w:rsidR="000A1207">
        <w:rPr>
          <w:noProof/>
          <w:color w:val="auto"/>
        </w:rPr>
        <w:t>measure for the trajectory of the EU ETS from 203</w:t>
      </w:r>
      <w:r w:rsidR="00A14590">
        <w:rPr>
          <w:noProof/>
          <w:color w:val="auto"/>
        </w:rPr>
        <w:t>1</w:t>
      </w:r>
      <w:r w:rsidR="000A1207">
        <w:rPr>
          <w:noProof/>
          <w:color w:val="auto"/>
        </w:rPr>
        <w:t>-2040</w:t>
      </w:r>
      <w:r w:rsidR="00542D2D">
        <w:rPr>
          <w:noProof/>
          <w:color w:val="auto"/>
        </w:rPr>
        <w:t xml:space="preserve"> </w:t>
      </w:r>
      <w:r w:rsidR="00A14590">
        <w:rPr>
          <w:noProof/>
          <w:color w:val="auto"/>
        </w:rPr>
        <w:t>(see Annex 8 – part 1, section. 2.2)</w:t>
      </w:r>
    </w:p>
    <w:p w14:paraId="3E1C4ACE" w14:textId="77777777" w:rsidR="00DC63F8" w:rsidRPr="000653A9" w:rsidRDefault="00DC63F8" w:rsidP="009539AB">
      <w:pPr>
        <w:pStyle w:val="Heading4COM"/>
        <w:outlineLvl w:val="4"/>
        <w:rPr>
          <w:noProof/>
        </w:rPr>
      </w:pPr>
      <w:bookmarkStart w:id="288" w:name="_Toc212049695"/>
      <w:bookmarkStart w:id="289" w:name="_Toc230857898"/>
      <w:bookmarkStart w:id="290" w:name="_Toc232751089"/>
      <w:r w:rsidRPr="000653A9">
        <w:rPr>
          <w:noProof/>
        </w:rPr>
        <w:t>Carbon leakage prevention measures for indirect emissions</w:t>
      </w:r>
      <w:bookmarkEnd w:id="288"/>
      <w:bookmarkEnd w:id="289"/>
      <w:bookmarkEnd w:id="290"/>
    </w:p>
    <w:p w14:paraId="2E2CA785" w14:textId="362D532C" w:rsidR="00A07417" w:rsidRPr="000653A9" w:rsidRDefault="00A07417" w:rsidP="00A07417">
      <w:pPr>
        <w:rPr>
          <w:noProof/>
          <w:color w:val="auto"/>
        </w:rPr>
      </w:pPr>
      <w:r w:rsidRPr="000653A9">
        <w:rPr>
          <w:noProof/>
          <w:color w:val="auto"/>
        </w:rPr>
        <w:t xml:space="preserve">The following two policy measures </w:t>
      </w:r>
      <w:r w:rsidR="00385CC6" w:rsidRPr="000653A9">
        <w:rPr>
          <w:noProof/>
          <w:color w:val="auto"/>
        </w:rPr>
        <w:t>are</w:t>
      </w:r>
      <w:r w:rsidRPr="000653A9">
        <w:rPr>
          <w:noProof/>
          <w:color w:val="auto"/>
        </w:rPr>
        <w:t xml:space="preserve"> considered in the impact assessment</w:t>
      </w:r>
      <w:r w:rsidR="008B2C9C" w:rsidRPr="000653A9">
        <w:rPr>
          <w:noProof/>
          <w:color w:val="auto"/>
        </w:rPr>
        <w:t>:</w:t>
      </w:r>
    </w:p>
    <w:p w14:paraId="3A57F992" w14:textId="3345B7F0" w:rsidR="00A07417" w:rsidRPr="000653A9" w:rsidRDefault="00A07417" w:rsidP="00CD163F">
      <w:pPr>
        <w:pStyle w:val="ListParagraph"/>
        <w:numPr>
          <w:ilvl w:val="0"/>
          <w:numId w:val="13"/>
        </w:numPr>
        <w:jc w:val="left"/>
        <w:rPr>
          <w:noProof/>
          <w:color w:val="auto"/>
        </w:rPr>
      </w:pPr>
      <w:r w:rsidRPr="000653A9">
        <w:rPr>
          <w:noProof/>
          <w:color w:val="auto"/>
        </w:rPr>
        <w:t xml:space="preserve">ICC1:  Continued existing </w:t>
      </w:r>
      <w:r w:rsidR="00C940BB" w:rsidRPr="000653A9">
        <w:rPr>
          <w:noProof/>
          <w:color w:val="auto"/>
        </w:rPr>
        <w:t>S</w:t>
      </w:r>
      <w:r w:rsidR="003B2C3D" w:rsidRPr="000653A9">
        <w:rPr>
          <w:noProof/>
          <w:color w:val="auto"/>
        </w:rPr>
        <w:t>tate-aid</w:t>
      </w:r>
      <w:r w:rsidRPr="000653A9">
        <w:rPr>
          <w:noProof/>
          <w:color w:val="auto"/>
        </w:rPr>
        <w:t xml:space="preserve"> encouragement: </w:t>
      </w:r>
    </w:p>
    <w:p w14:paraId="45755BE2" w14:textId="2FD2FBE5" w:rsidR="00FE01E1" w:rsidRPr="000653A9" w:rsidRDefault="00A07417" w:rsidP="00F66911">
      <w:pPr>
        <w:rPr>
          <w:noProof/>
          <w:color w:val="auto"/>
        </w:rPr>
      </w:pPr>
      <w:r w:rsidRPr="000653A9">
        <w:rPr>
          <w:noProof/>
          <w:color w:val="auto"/>
        </w:rPr>
        <w:t xml:space="preserve">The policy measure envisages continuing the encouragement for Member States to provide indirect carbon cost </w:t>
      </w:r>
      <w:r w:rsidR="00E405B9" w:rsidRPr="000653A9">
        <w:rPr>
          <w:noProof/>
          <w:color w:val="auto"/>
        </w:rPr>
        <w:t>(ICC)</w:t>
      </w:r>
      <w:r w:rsidRPr="000653A9">
        <w:rPr>
          <w:noProof/>
          <w:color w:val="auto"/>
        </w:rPr>
        <w:t xml:space="preserve"> compensation in line with State aid rules</w:t>
      </w:r>
      <w:r w:rsidR="00953C20" w:rsidRPr="000653A9">
        <w:rPr>
          <w:noProof/>
          <w:color w:val="auto"/>
        </w:rPr>
        <w:t>, as set out in Article 10a(6) of the ETS Directive</w:t>
      </w:r>
      <w:r>
        <w:rPr>
          <w:noProof/>
          <w:color w:val="auto"/>
        </w:rPr>
        <w:t>.</w:t>
      </w:r>
    </w:p>
    <w:p w14:paraId="02236047" w14:textId="261437BA" w:rsidR="00A07417" w:rsidRDefault="00167A72" w:rsidP="00B76ABB">
      <w:pPr>
        <w:rPr>
          <w:noProof/>
          <w:color w:val="auto"/>
        </w:rPr>
      </w:pPr>
      <w:r w:rsidRPr="000653A9">
        <w:rPr>
          <w:noProof/>
          <w:color w:val="auto"/>
        </w:rPr>
        <w:t>As with the existing Article 10</w:t>
      </w:r>
      <w:r w:rsidR="0063005D" w:rsidRPr="000653A9">
        <w:rPr>
          <w:noProof/>
          <w:color w:val="auto"/>
        </w:rPr>
        <w:t>a</w:t>
      </w:r>
      <w:r w:rsidRPr="000653A9">
        <w:rPr>
          <w:noProof/>
          <w:color w:val="auto"/>
        </w:rPr>
        <w:t>(6)</w:t>
      </w:r>
      <w:r w:rsidR="0063005D" w:rsidRPr="000653A9">
        <w:rPr>
          <w:noProof/>
          <w:color w:val="auto"/>
        </w:rPr>
        <w:t>,</w:t>
      </w:r>
      <w:r>
        <w:rPr>
          <w:noProof/>
          <w:color w:val="auto"/>
        </w:rPr>
        <w:t xml:space="preserve"> </w:t>
      </w:r>
      <w:r w:rsidR="00CF5AF9" w:rsidRPr="000653A9">
        <w:rPr>
          <w:noProof/>
          <w:color w:val="auto"/>
        </w:rPr>
        <w:t>the Commission may elaborate</w:t>
      </w:r>
      <w:r>
        <w:rPr>
          <w:noProof/>
          <w:color w:val="auto"/>
        </w:rPr>
        <w:t xml:space="preserve"> </w:t>
      </w:r>
      <w:r w:rsidR="0063005D" w:rsidRPr="000653A9">
        <w:rPr>
          <w:noProof/>
          <w:color w:val="auto"/>
        </w:rPr>
        <w:t>specific rules</w:t>
      </w:r>
      <w:r>
        <w:rPr>
          <w:noProof/>
          <w:color w:val="auto"/>
        </w:rPr>
        <w:t xml:space="preserve"> </w:t>
      </w:r>
      <w:r w:rsidR="00DE1463" w:rsidRPr="000653A9">
        <w:rPr>
          <w:noProof/>
          <w:color w:val="auto"/>
        </w:rPr>
        <w:t>concerning ICC compensation</w:t>
      </w:r>
      <w:r>
        <w:rPr>
          <w:noProof/>
          <w:color w:val="auto"/>
        </w:rPr>
        <w:t xml:space="preserve"> </w:t>
      </w:r>
      <w:r w:rsidR="00C251CB">
        <w:rPr>
          <w:noProof/>
          <w:color w:val="auto"/>
        </w:rPr>
        <w:t>through State aid guidelines</w:t>
      </w:r>
      <w:r w:rsidR="00DE1463" w:rsidRPr="000653A9">
        <w:rPr>
          <w:noProof/>
          <w:color w:val="auto"/>
        </w:rPr>
        <w:t>.</w:t>
      </w:r>
      <w:r>
        <w:rPr>
          <w:noProof/>
          <w:color w:val="auto"/>
        </w:rPr>
        <w:t xml:space="preserve"> </w:t>
      </w:r>
      <w:r w:rsidR="00806BFF" w:rsidRPr="000653A9">
        <w:rPr>
          <w:noProof/>
          <w:color w:val="auto"/>
        </w:rPr>
        <w:t>The</w:t>
      </w:r>
      <w:r>
        <w:rPr>
          <w:noProof/>
          <w:color w:val="auto"/>
        </w:rPr>
        <w:t xml:space="preserve"> </w:t>
      </w:r>
      <w:r w:rsidR="00C251CB">
        <w:rPr>
          <w:noProof/>
          <w:color w:val="auto"/>
        </w:rPr>
        <w:t>guidelines</w:t>
      </w:r>
      <w:r>
        <w:rPr>
          <w:noProof/>
          <w:color w:val="auto"/>
        </w:rPr>
        <w:t xml:space="preserve"> </w:t>
      </w:r>
      <w:r w:rsidR="0084287A" w:rsidRPr="000653A9">
        <w:rPr>
          <w:noProof/>
          <w:color w:val="auto"/>
        </w:rPr>
        <w:t>currently</w:t>
      </w:r>
      <w:r>
        <w:rPr>
          <w:noProof/>
          <w:color w:val="auto"/>
        </w:rPr>
        <w:t xml:space="preserve"> </w:t>
      </w:r>
      <w:r w:rsidR="00806BFF" w:rsidRPr="000653A9">
        <w:rPr>
          <w:noProof/>
          <w:color w:val="auto"/>
        </w:rPr>
        <w:t>in force</w:t>
      </w:r>
      <w:r>
        <w:rPr>
          <w:noProof/>
          <w:color w:val="auto"/>
        </w:rPr>
        <w:t xml:space="preserve"> </w:t>
      </w:r>
      <w:r w:rsidR="0084287A" w:rsidRPr="000653A9">
        <w:rPr>
          <w:noProof/>
          <w:color w:val="auto"/>
        </w:rPr>
        <w:t>apply</w:t>
      </w:r>
      <w:r>
        <w:rPr>
          <w:noProof/>
          <w:color w:val="auto"/>
        </w:rPr>
        <w:t xml:space="preserve"> </w:t>
      </w:r>
      <w:r w:rsidR="00C10793" w:rsidRPr="000653A9">
        <w:rPr>
          <w:noProof/>
          <w:color w:val="auto"/>
        </w:rPr>
        <w:t>to</w:t>
      </w:r>
      <w:r>
        <w:rPr>
          <w:noProof/>
          <w:color w:val="auto"/>
        </w:rPr>
        <w:t xml:space="preserve"> </w:t>
      </w:r>
      <w:r w:rsidR="00701E3B" w:rsidRPr="000653A9">
        <w:rPr>
          <w:noProof/>
          <w:color w:val="auto"/>
        </w:rPr>
        <w:t>Member States’</w:t>
      </w:r>
      <w:r>
        <w:rPr>
          <w:noProof/>
          <w:color w:val="auto"/>
        </w:rPr>
        <w:t xml:space="preserve"> </w:t>
      </w:r>
      <w:r w:rsidR="00701E3B" w:rsidRPr="000653A9">
        <w:rPr>
          <w:noProof/>
          <w:color w:val="auto"/>
        </w:rPr>
        <w:t>measures</w:t>
      </w:r>
      <w:r>
        <w:rPr>
          <w:noProof/>
          <w:color w:val="auto"/>
        </w:rPr>
        <w:t xml:space="preserve"> </w:t>
      </w:r>
      <w:r w:rsidR="00C10793" w:rsidRPr="000653A9">
        <w:rPr>
          <w:noProof/>
          <w:color w:val="auto"/>
        </w:rPr>
        <w:t>granted</w:t>
      </w:r>
      <w:r>
        <w:rPr>
          <w:noProof/>
          <w:color w:val="auto"/>
        </w:rPr>
        <w:t xml:space="preserve"> </w:t>
      </w:r>
      <w:r w:rsidR="005E3780" w:rsidRPr="000653A9">
        <w:rPr>
          <w:noProof/>
          <w:color w:val="auto"/>
        </w:rPr>
        <w:t>up to 2030</w:t>
      </w:r>
      <w:r w:rsidR="003D3FE9" w:rsidRPr="000653A9">
        <w:rPr>
          <w:noProof/>
          <w:color w:val="auto"/>
        </w:rPr>
        <w:t>.</w:t>
      </w:r>
      <w:r>
        <w:rPr>
          <w:noProof/>
          <w:color w:val="auto"/>
        </w:rPr>
        <w:t xml:space="preserve"> </w:t>
      </w:r>
    </w:p>
    <w:p w14:paraId="663A67F2" w14:textId="03CABF83" w:rsidR="003B2C3D" w:rsidRPr="000653A9" w:rsidRDefault="00A07417" w:rsidP="00CD163F">
      <w:pPr>
        <w:pStyle w:val="ListParagraph"/>
        <w:numPr>
          <w:ilvl w:val="0"/>
          <w:numId w:val="13"/>
        </w:numPr>
        <w:jc w:val="left"/>
        <w:rPr>
          <w:b/>
          <w:bCs/>
          <w:noProof/>
          <w:color w:val="auto"/>
        </w:rPr>
      </w:pPr>
      <w:r w:rsidRPr="000653A9">
        <w:rPr>
          <w:noProof/>
          <w:color w:val="auto"/>
        </w:rPr>
        <w:t xml:space="preserve">ICC2:  </w:t>
      </w:r>
      <w:r w:rsidR="001B514F" w:rsidRPr="000653A9">
        <w:rPr>
          <w:noProof/>
          <w:color w:val="auto"/>
        </w:rPr>
        <w:t>Partly h</w:t>
      </w:r>
      <w:r w:rsidRPr="000653A9">
        <w:rPr>
          <w:noProof/>
          <w:color w:val="auto"/>
        </w:rPr>
        <w:t xml:space="preserve">armonised ICC: </w:t>
      </w:r>
    </w:p>
    <w:p w14:paraId="4D7F7808" w14:textId="327E1F89" w:rsidR="00A07417" w:rsidRPr="000653A9" w:rsidRDefault="00BA6BEF" w:rsidP="00811BDE">
      <w:pPr>
        <w:rPr>
          <w:b/>
          <w:bCs/>
          <w:noProof/>
          <w:color w:val="auto"/>
        </w:rPr>
      </w:pPr>
      <w:r w:rsidRPr="000653A9">
        <w:rPr>
          <w:noProof/>
          <w:color w:val="auto"/>
        </w:rPr>
        <w:t xml:space="preserve">In addition to the measures described in ICC1, this would consist of providing EU-level funding for ICC compensation by reserving </w:t>
      </w:r>
      <w:r w:rsidRPr="00347175">
        <w:rPr>
          <w:noProof/>
          <w:color w:val="auto"/>
        </w:rPr>
        <w:t>5%</w:t>
      </w:r>
      <w:r w:rsidRPr="000653A9">
        <w:rPr>
          <w:noProof/>
          <w:color w:val="auto"/>
        </w:rPr>
        <w:t xml:space="preserve"> of auctioned allowances for this purpose. </w:t>
      </w:r>
      <w:r w:rsidR="00F2323E" w:rsidRPr="000653A9">
        <w:rPr>
          <w:noProof/>
          <w:color w:val="auto"/>
        </w:rPr>
        <w:t>Providing harmonised ICC compensation through an EU-level instrument would reduce distortion in the single market</w:t>
      </w:r>
      <w:r w:rsidR="00EA1977" w:rsidRPr="000653A9">
        <w:rPr>
          <w:noProof/>
          <w:color w:val="auto"/>
        </w:rPr>
        <w:t xml:space="preserve"> and provide increased certainty to firms.</w:t>
      </w:r>
      <w:r w:rsidR="00EF5F7F" w:rsidRPr="000653A9">
        <w:rPr>
          <w:noProof/>
          <w:color w:val="auto"/>
        </w:rPr>
        <w:t xml:space="preserve"> Given budget constraints, </w:t>
      </w:r>
      <w:r w:rsidR="00880D0D" w:rsidRPr="000653A9">
        <w:rPr>
          <w:noProof/>
          <w:color w:val="auto"/>
        </w:rPr>
        <w:t xml:space="preserve">a harmonised ICC fund may </w:t>
      </w:r>
      <w:r w:rsidR="26176CE7" w:rsidRPr="000653A9">
        <w:rPr>
          <w:noProof/>
          <w:color w:val="auto"/>
        </w:rPr>
        <w:t>not</w:t>
      </w:r>
      <w:r w:rsidR="00880D0D" w:rsidRPr="000653A9">
        <w:rPr>
          <w:noProof/>
          <w:color w:val="auto"/>
        </w:rPr>
        <w:t xml:space="preserve"> be able to provide </w:t>
      </w:r>
      <w:r w:rsidR="268C2EA2" w:rsidRPr="000653A9">
        <w:rPr>
          <w:noProof/>
          <w:color w:val="auto"/>
        </w:rPr>
        <w:t xml:space="preserve">support </w:t>
      </w:r>
      <w:r w:rsidR="00880D0D" w:rsidRPr="000653A9">
        <w:rPr>
          <w:noProof/>
          <w:color w:val="auto"/>
        </w:rPr>
        <w:t xml:space="preserve">at the maximum intensity </w:t>
      </w:r>
      <w:r w:rsidR="00670199" w:rsidRPr="000653A9">
        <w:rPr>
          <w:noProof/>
          <w:color w:val="auto"/>
        </w:rPr>
        <w:t>currently permitted</w:t>
      </w:r>
      <w:r w:rsidR="00880D0D" w:rsidRPr="000653A9">
        <w:rPr>
          <w:noProof/>
          <w:color w:val="auto"/>
        </w:rPr>
        <w:t xml:space="preserve"> </w:t>
      </w:r>
      <w:r w:rsidR="00670199" w:rsidRPr="000653A9">
        <w:rPr>
          <w:noProof/>
          <w:color w:val="auto"/>
        </w:rPr>
        <w:t>in the State aid guidelines. Therefore,</w:t>
      </w:r>
      <w:r w:rsidR="00F2323E" w:rsidRPr="000653A9">
        <w:rPr>
          <w:noProof/>
          <w:color w:val="auto"/>
        </w:rPr>
        <w:t xml:space="preserve"> </w:t>
      </w:r>
      <w:r w:rsidR="00714CC2" w:rsidRPr="000653A9">
        <w:rPr>
          <w:noProof/>
          <w:color w:val="auto"/>
        </w:rPr>
        <w:t xml:space="preserve">each </w:t>
      </w:r>
      <w:r w:rsidRPr="000653A9">
        <w:rPr>
          <w:noProof/>
          <w:color w:val="auto"/>
        </w:rPr>
        <w:t xml:space="preserve">Member State would retain the right to provide </w:t>
      </w:r>
      <w:r w:rsidR="00714CC2" w:rsidRPr="000653A9">
        <w:rPr>
          <w:noProof/>
          <w:color w:val="auto"/>
        </w:rPr>
        <w:t>additional compensation</w:t>
      </w:r>
      <w:r w:rsidRPr="000653A9">
        <w:rPr>
          <w:noProof/>
          <w:color w:val="auto"/>
        </w:rPr>
        <w:t xml:space="preserve"> up to the level permitted under State aid rules.</w:t>
      </w:r>
    </w:p>
    <w:p w14:paraId="5DAFA462" w14:textId="1A29568F" w:rsidR="00DC63F8" w:rsidRPr="000653A9" w:rsidRDefault="00FE6BC8" w:rsidP="009539AB">
      <w:pPr>
        <w:pStyle w:val="Heading2COM"/>
        <w:outlineLvl w:val="2"/>
        <w15:collapsed w:val="0"/>
        <w:rPr>
          <w:noProof/>
        </w:rPr>
      </w:pPr>
      <w:bookmarkStart w:id="291" w:name="_Toc204154650"/>
      <w:bookmarkStart w:id="292" w:name="_Toc211518733"/>
      <w:bookmarkStart w:id="293" w:name="_Toc212049697"/>
      <w:r w:rsidRPr="000653A9">
        <w:rPr>
          <w:noProof/>
        </w:rPr>
        <w:t xml:space="preserve"> </w:t>
      </w:r>
      <w:bookmarkStart w:id="294" w:name="_Toc230857899"/>
      <w:bookmarkStart w:id="295" w:name="_Toc232751090"/>
      <w:r w:rsidR="00DC63F8" w:rsidRPr="000653A9">
        <w:rPr>
          <w:noProof/>
        </w:rPr>
        <w:t>Assessment of the measures</w:t>
      </w:r>
      <w:bookmarkEnd w:id="291"/>
      <w:bookmarkEnd w:id="292"/>
      <w:bookmarkEnd w:id="293"/>
      <w:bookmarkEnd w:id="294"/>
      <w:bookmarkEnd w:id="295"/>
    </w:p>
    <w:p w14:paraId="0048D5F5" w14:textId="1BA86BAF" w:rsidR="009260A9" w:rsidRPr="000653A9" w:rsidRDefault="009260A9" w:rsidP="009539AB">
      <w:pPr>
        <w:pStyle w:val="Heading3COM"/>
        <w:outlineLvl w:val="3"/>
        <w:rPr>
          <w:noProof/>
        </w:rPr>
      </w:pPr>
      <w:bookmarkStart w:id="296" w:name="_Toc211284354"/>
      <w:bookmarkStart w:id="297" w:name="_Toc230857900"/>
      <w:bookmarkStart w:id="298" w:name="_Toc232751091"/>
      <w:bookmarkStart w:id="299" w:name="_Toc204154651"/>
      <w:bookmarkStart w:id="300" w:name="_Toc211518734"/>
      <w:bookmarkStart w:id="301" w:name="_Toc212049698"/>
      <w:bookmarkEnd w:id="296"/>
      <w:r w:rsidRPr="000653A9">
        <w:rPr>
          <w:noProof/>
        </w:rPr>
        <w:t>Overview</w:t>
      </w:r>
      <w:bookmarkEnd w:id="297"/>
      <w:bookmarkEnd w:id="298"/>
    </w:p>
    <w:p w14:paraId="1FF114FB" w14:textId="1EB23B92" w:rsidR="009260A9" w:rsidRPr="000653A9" w:rsidRDefault="009260A9" w:rsidP="009260A9">
      <w:pPr>
        <w:rPr>
          <w:noProof/>
          <w:color w:val="auto"/>
        </w:rPr>
      </w:pPr>
      <w:r w:rsidRPr="000653A9">
        <w:rPr>
          <w:noProof/>
          <w:color w:val="auto"/>
        </w:rPr>
        <w:t xml:space="preserve">Free allocation numbers, indirect carbon costs and the impact on carbon leakage protection are affected not only by changes in the free allocation measures, but also by the broader changes to the ETS Directive, such as the level of ambition and the resulting ETS cap and linear reduction factor, the integration of removals or the inclusion of waste incineration in the scope of </w:t>
      </w:r>
      <w:r w:rsidR="006D7469" w:rsidRPr="000653A9">
        <w:rPr>
          <w:noProof/>
          <w:color w:val="auto"/>
        </w:rPr>
        <w:t xml:space="preserve">the </w:t>
      </w:r>
      <w:r w:rsidR="003D1FA0" w:rsidRPr="000653A9">
        <w:rPr>
          <w:noProof/>
          <w:color w:val="auto"/>
        </w:rPr>
        <w:t>EU ETS</w:t>
      </w:r>
      <w:r w:rsidRPr="000653A9">
        <w:rPr>
          <w:noProof/>
          <w:color w:val="auto"/>
        </w:rPr>
        <w:t xml:space="preserve">. Changes to the Market Stability Reserve may also impact liquidity. Therefore, the full impact of the measures on carbon leakage protection outlined in this chapter can only be assessed in combination with the measures on ambition, the integration of removals, MSR, cap and scope as part of the policy options, outlined in section </w:t>
      </w:r>
      <w:r w:rsidR="007311AF">
        <w:rPr>
          <w:noProof/>
          <w:color w:val="auto"/>
        </w:rPr>
        <w:t>6</w:t>
      </w:r>
      <w:r w:rsidRPr="000653A9">
        <w:rPr>
          <w:noProof/>
          <w:color w:val="auto"/>
        </w:rPr>
        <w:t xml:space="preserve"> of this</w:t>
      </w:r>
      <w:r w:rsidR="007311AF">
        <w:rPr>
          <w:noProof/>
          <w:color w:val="auto"/>
        </w:rPr>
        <w:t xml:space="preserve"> impact assessment</w:t>
      </w:r>
      <w:r w:rsidRPr="000653A9">
        <w:rPr>
          <w:noProof/>
          <w:color w:val="auto"/>
        </w:rPr>
        <w:t xml:space="preserve"> .</w:t>
      </w:r>
    </w:p>
    <w:p w14:paraId="7EBEA225" w14:textId="5B179E07" w:rsidR="009260A9" w:rsidRPr="000653A9" w:rsidRDefault="009260A9" w:rsidP="009260A9">
      <w:pPr>
        <w:rPr>
          <w:noProof/>
          <w:color w:val="auto"/>
        </w:rPr>
      </w:pPr>
      <w:r w:rsidRPr="000653A9">
        <w:rPr>
          <w:noProof/>
          <w:color w:val="auto"/>
        </w:rPr>
        <w:t xml:space="preserve">The impact of the carbon leakage protection measures described in section 1.4 focuses on the quantitative assessments of the quantity of free allocation under the different scenarios, the sectorial distribution of the free allocation, as well as the financial value of these allowances. </w:t>
      </w:r>
    </w:p>
    <w:p w14:paraId="725F51C9" w14:textId="77777777" w:rsidR="009260A9" w:rsidRPr="000653A9" w:rsidRDefault="009260A9" w:rsidP="009260A9">
      <w:pPr>
        <w:rPr>
          <w:noProof/>
          <w:color w:val="auto"/>
        </w:rPr>
      </w:pPr>
      <w:r w:rsidRPr="000653A9">
        <w:rPr>
          <w:noProof/>
          <w:color w:val="auto"/>
        </w:rPr>
        <w:t xml:space="preserve">In addition, GEM-E3 model runs have been completed to estimate a range of economic, social and environmental impacts resulting from different free allocation distributions across non-CBAM sectors over the 2031-40 period. The GEM-E3 model is informed by output provided by PRIMES to then assess the impact of different options for the provision of free allocation. The baseline considered under the GEM-E3 model is a free allocation budget based on the continuation of the existing legislation that assumes the ETS cap declines with an LRF of 4.4% between 2031-2040. </w:t>
      </w:r>
    </w:p>
    <w:p w14:paraId="4DD17F09" w14:textId="673C60DE" w:rsidR="009260A9" w:rsidRDefault="009260A9" w:rsidP="009260A9">
      <w:pPr>
        <w:rPr>
          <w:noProof/>
          <w:color w:val="auto"/>
        </w:rPr>
      </w:pPr>
      <w:r w:rsidRPr="000653A9">
        <w:rPr>
          <w:noProof/>
          <w:color w:val="auto"/>
        </w:rPr>
        <w:t>The modelling then compares different expectations in terms of free allocation budgets and how the allowances are distributed across industrial sectors to then provide quantitative metrics on carbon leakage rates as well as macro-economic implications. The annual share of the verified emissions that are estimated to be covered by free allocation for different industrial sectors between 2031 and 2040 is provided as a modelling input on free allocation for the GEM-E3 model runs. This modelling input has been determined based upon a comprehensive bottom-up calculation of free allocation using sub-installation data from the preliminary NIMs dataset for 2019-23 for both activity levels and emissions. The NIMs database is the outcome of the National Implementation Measure (NIM), which was specified in Article 14 of Commission Delegated Regulation (EU) 2019/331 – ‘Free Allocation Regulation’ (FAR)</w:t>
      </w:r>
      <w:r w:rsidRPr="000653A9">
        <w:rPr>
          <w:rStyle w:val="FootnoteReference"/>
          <w:noProof/>
          <w:color w:val="auto"/>
        </w:rPr>
        <w:footnoteReference w:id="10"/>
      </w:r>
      <w:r w:rsidRPr="000653A9">
        <w:rPr>
          <w:noProof/>
          <w:color w:val="auto"/>
        </w:rPr>
        <w:t xml:space="preserve"> requiring EU Member States to inform the European Commission by providing a list of installations covered by the EU ETS and the preliminary amount of free allowances to be allocated to these installations calculated in accordance with Union-wide harmonised rules for free allocation. </w:t>
      </w:r>
      <w:r w:rsidR="003021EE" w:rsidRPr="000653A9">
        <w:rPr>
          <w:noProof/>
          <w:color w:val="auto"/>
        </w:rPr>
        <w:t xml:space="preserve">Table </w:t>
      </w:r>
      <w:r w:rsidR="0024785B" w:rsidRPr="000653A9">
        <w:rPr>
          <w:noProof/>
          <w:color w:val="auto"/>
        </w:rPr>
        <w:t>3</w:t>
      </w:r>
      <w:r w:rsidR="003021EE" w:rsidRPr="000653A9">
        <w:rPr>
          <w:noProof/>
          <w:color w:val="auto"/>
        </w:rPr>
        <w:t xml:space="preserve"> provides an overview of the scenarios </w:t>
      </w:r>
      <w:r w:rsidR="00DC4904" w:rsidRPr="000653A9">
        <w:rPr>
          <w:noProof/>
          <w:color w:val="auto"/>
        </w:rPr>
        <w:t>used for the GEM-E3 assessment, while a</w:t>
      </w:r>
      <w:r w:rsidRPr="000653A9">
        <w:rPr>
          <w:noProof/>
          <w:color w:val="auto"/>
        </w:rPr>
        <w:t xml:space="preserve"> full explanation of the GEM-E3 model and its application in this impact assessment is outlined in Annex 4.</w:t>
      </w:r>
    </w:p>
    <w:p w14:paraId="70AAA1F9" w14:textId="77777777" w:rsidR="00CC4F87" w:rsidRDefault="001100D1" w:rsidP="009260A9">
      <w:pPr>
        <w:pStyle w:val="Tabletitle"/>
        <w:rPr>
          <w:noProof/>
        </w:rPr>
      </w:pPr>
      <w:bookmarkStart w:id="302" w:name="_Toc234435106"/>
      <w:bookmarkStart w:id="303" w:name="_Toc232003566"/>
      <w:r w:rsidRPr="000653A9">
        <w:rPr>
          <w:noProof/>
        </w:rPr>
        <w:t>Summary of GEM-E3 scenarios and policy options they address</w:t>
      </w:r>
      <w:bookmarkEnd w:id="302"/>
      <w:bookmarkEnd w:id="30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7089"/>
      </w:tblGrid>
      <w:tr w:rsidR="008A1F5C" w:rsidRPr="000653A9" w14:paraId="0207D9F0" w14:textId="77777777" w:rsidTr="0024785B">
        <w:trPr>
          <w:tblHeader/>
        </w:trPr>
        <w:tc>
          <w:tcPr>
            <w:tcW w:w="1525" w:type="dxa"/>
            <w:hideMark/>
          </w:tcPr>
          <w:p w14:paraId="5024AC3C" w14:textId="77777777" w:rsidR="008A1F5C" w:rsidRPr="000653A9" w:rsidRDefault="008A1F5C" w:rsidP="0024785B">
            <w:pPr>
              <w:spacing w:after="0"/>
              <w:rPr>
                <w:b/>
                <w:noProof/>
                <w:color w:val="auto"/>
                <w:sz w:val="22"/>
                <w:szCs w:val="22"/>
              </w:rPr>
            </w:pPr>
            <w:r w:rsidRPr="000653A9">
              <w:rPr>
                <w:b/>
                <w:noProof/>
                <w:color w:val="auto"/>
                <w:sz w:val="22"/>
                <w:szCs w:val="22"/>
              </w:rPr>
              <w:t>Policy Options</w:t>
            </w:r>
          </w:p>
        </w:tc>
        <w:tc>
          <w:tcPr>
            <w:tcW w:w="8103" w:type="dxa"/>
            <w:hideMark/>
          </w:tcPr>
          <w:p w14:paraId="29F04806" w14:textId="77777777" w:rsidR="008A1F5C" w:rsidRPr="000653A9" w:rsidRDefault="008A1F5C" w:rsidP="0024785B">
            <w:pPr>
              <w:spacing w:after="0"/>
              <w:rPr>
                <w:b/>
                <w:noProof/>
                <w:color w:val="auto"/>
              </w:rPr>
            </w:pPr>
            <w:r w:rsidRPr="000653A9">
              <w:rPr>
                <w:b/>
                <w:noProof/>
                <w:color w:val="auto"/>
              </w:rPr>
              <w:t>Impact (Summary)</w:t>
            </w:r>
          </w:p>
        </w:tc>
      </w:tr>
      <w:tr w:rsidR="008A1F5C" w:rsidRPr="000653A9" w14:paraId="42E0A930" w14:textId="77777777" w:rsidTr="0024785B">
        <w:tc>
          <w:tcPr>
            <w:tcW w:w="1525" w:type="dxa"/>
            <w:hideMark/>
          </w:tcPr>
          <w:p w14:paraId="0220E971" w14:textId="00A49F56" w:rsidR="008A1F5C" w:rsidRPr="000653A9" w:rsidRDefault="008A1F5C" w:rsidP="0024785B">
            <w:pPr>
              <w:spacing w:after="0"/>
              <w:rPr>
                <w:noProof/>
                <w:color w:val="auto"/>
                <w:sz w:val="22"/>
                <w:szCs w:val="22"/>
              </w:rPr>
            </w:pPr>
            <w:r w:rsidRPr="000653A9">
              <w:rPr>
                <w:noProof/>
                <w:color w:val="auto"/>
                <w:sz w:val="22"/>
                <w:szCs w:val="22"/>
              </w:rPr>
              <w:t>Baseline/Reference Scenario</w:t>
            </w:r>
          </w:p>
        </w:tc>
        <w:tc>
          <w:tcPr>
            <w:tcW w:w="8103" w:type="dxa"/>
            <w:hideMark/>
          </w:tcPr>
          <w:p w14:paraId="43A85191" w14:textId="60AC92CB" w:rsidR="008A1F5C" w:rsidRPr="000653A9" w:rsidRDefault="008A1F5C" w:rsidP="0024785B">
            <w:pPr>
              <w:spacing w:after="0"/>
              <w:rPr>
                <w:noProof/>
                <w:color w:val="auto"/>
              </w:rPr>
            </w:pPr>
            <w:r w:rsidRPr="000653A9">
              <w:rPr>
                <w:noProof/>
                <w:color w:val="auto"/>
              </w:rPr>
              <w:t xml:space="preserve">Post-2030 greenhouse gas emissions reductions are driven by continued mitigation in both ETS and non-ETS sectors, in line with existing regulatory frameworks. Under the scenario, </w:t>
            </w:r>
            <w:r w:rsidR="003D1FA0" w:rsidRPr="000653A9">
              <w:rPr>
                <w:noProof/>
                <w:color w:val="auto"/>
              </w:rPr>
              <w:t>EU ETS</w:t>
            </w:r>
            <w:r w:rsidRPr="000653A9">
              <w:rPr>
                <w:noProof/>
                <w:color w:val="auto"/>
              </w:rPr>
              <w:t xml:space="preserve"> emissions</w:t>
            </w:r>
            <w:r w:rsidR="0081327F">
              <w:rPr>
                <w:noProof/>
                <w:color w:val="auto"/>
              </w:rPr>
              <w:t xml:space="preserve"> continue to</w:t>
            </w:r>
            <w:r w:rsidRPr="000653A9">
              <w:rPr>
                <w:noProof/>
                <w:color w:val="auto"/>
              </w:rPr>
              <w:t xml:space="preserve"> decline annually</w:t>
            </w:r>
            <w:r w:rsidR="0081327F">
              <w:rPr>
                <w:noProof/>
                <w:color w:val="auto"/>
              </w:rPr>
              <w:t xml:space="preserve"> </w:t>
            </w:r>
            <w:r w:rsidRPr="000653A9">
              <w:rPr>
                <w:noProof/>
                <w:color w:val="auto"/>
              </w:rPr>
              <w:t>following the linear reduction pathway</w:t>
            </w:r>
            <w:r w:rsidR="008C300F">
              <w:rPr>
                <w:noProof/>
                <w:color w:val="auto"/>
              </w:rPr>
              <w:t xml:space="preserve"> as currently legislated</w:t>
            </w:r>
            <w:r w:rsidRPr="000653A9">
              <w:rPr>
                <w:noProof/>
                <w:color w:val="auto"/>
              </w:rPr>
              <w:t xml:space="preserve">. The revenue generated via </w:t>
            </w:r>
            <w:r w:rsidR="006D7469" w:rsidRPr="000653A9">
              <w:rPr>
                <w:noProof/>
                <w:color w:val="auto"/>
              </w:rPr>
              <w:t xml:space="preserve">the </w:t>
            </w:r>
            <w:r w:rsidR="003D1FA0" w:rsidRPr="000653A9">
              <w:rPr>
                <w:noProof/>
                <w:color w:val="auto"/>
              </w:rPr>
              <w:t>EU ETS</w:t>
            </w:r>
            <w:r w:rsidRPr="000653A9">
              <w:rPr>
                <w:noProof/>
                <w:color w:val="auto"/>
              </w:rPr>
              <w:t xml:space="preserve"> is recycled, with 50% allocated to financing power-sector investments and the remaining 50% dedicated to improving energy efficiency in </w:t>
            </w:r>
            <w:r w:rsidR="003D1FA0" w:rsidRPr="000653A9">
              <w:rPr>
                <w:noProof/>
                <w:color w:val="auto"/>
              </w:rPr>
              <w:t>EU ETS</w:t>
            </w:r>
            <w:r w:rsidRPr="000653A9">
              <w:rPr>
                <w:noProof/>
                <w:color w:val="auto"/>
              </w:rPr>
              <w:t xml:space="preserve"> industries.</w:t>
            </w:r>
          </w:p>
        </w:tc>
      </w:tr>
      <w:tr w:rsidR="008A1F5C" w:rsidRPr="000653A9" w14:paraId="7ED7C14C" w14:textId="77777777" w:rsidTr="0024785B">
        <w:tc>
          <w:tcPr>
            <w:tcW w:w="1525" w:type="dxa"/>
            <w:hideMark/>
          </w:tcPr>
          <w:p w14:paraId="6B57E538" w14:textId="0BDBE1F4" w:rsidR="008A1F5C" w:rsidRPr="000653A9" w:rsidRDefault="007C2A2E" w:rsidP="0024785B">
            <w:pPr>
              <w:spacing w:after="0"/>
              <w:rPr>
                <w:noProof/>
                <w:color w:val="auto"/>
                <w:sz w:val="22"/>
                <w:szCs w:val="22"/>
              </w:rPr>
            </w:pPr>
            <w:r w:rsidRPr="000653A9">
              <w:rPr>
                <w:noProof/>
                <w:color w:val="auto"/>
                <w:sz w:val="22"/>
                <w:szCs w:val="22"/>
              </w:rPr>
              <w:t xml:space="preserve">PO1 </w:t>
            </w:r>
            <w:r w:rsidR="008A1F5C" w:rsidRPr="000653A9">
              <w:rPr>
                <w:noProof/>
                <w:color w:val="auto"/>
                <w:sz w:val="22"/>
                <w:szCs w:val="22"/>
              </w:rPr>
              <w:t>(CL1 &amp; CL1R)</w:t>
            </w:r>
          </w:p>
        </w:tc>
        <w:tc>
          <w:tcPr>
            <w:tcW w:w="8103" w:type="dxa"/>
            <w:hideMark/>
          </w:tcPr>
          <w:p w14:paraId="26018CB5" w14:textId="0E9149EA" w:rsidR="008A1F5C" w:rsidRPr="000653A9" w:rsidRDefault="008A1F5C" w:rsidP="0024785B">
            <w:pPr>
              <w:spacing w:after="0"/>
              <w:rPr>
                <w:noProof/>
                <w:color w:val="auto"/>
              </w:rPr>
            </w:pPr>
            <w:r w:rsidRPr="000653A9">
              <w:rPr>
                <w:noProof/>
                <w:color w:val="auto"/>
              </w:rPr>
              <w:t xml:space="preserve">CL1: EU targets </w:t>
            </w:r>
            <w:r w:rsidR="00AE3B3A">
              <w:rPr>
                <w:noProof/>
                <w:color w:val="auto"/>
              </w:rPr>
              <w:t>85</w:t>
            </w:r>
            <w:r w:rsidRPr="000653A9">
              <w:rPr>
                <w:noProof/>
                <w:color w:val="auto"/>
              </w:rPr>
              <w:t xml:space="preserve">% reduction in GHG emissions by 2040, with free allocation for non-CBAM sectors based on updated product benchmarks, which is the improved current approach. The revenue generated via </w:t>
            </w:r>
            <w:r w:rsidR="006D7469" w:rsidRPr="000653A9">
              <w:rPr>
                <w:noProof/>
                <w:color w:val="auto"/>
              </w:rPr>
              <w:t xml:space="preserve">the </w:t>
            </w:r>
            <w:r w:rsidR="003D1FA0" w:rsidRPr="000653A9">
              <w:rPr>
                <w:noProof/>
                <w:color w:val="auto"/>
              </w:rPr>
              <w:t>EU ETS</w:t>
            </w:r>
            <w:r w:rsidRPr="000653A9">
              <w:rPr>
                <w:noProof/>
                <w:color w:val="auto"/>
              </w:rPr>
              <w:t xml:space="preserve"> is recycled, with 50% allocated to financing power-sector investments and the remaining 50% dedicated to improving energy efficiency in </w:t>
            </w:r>
            <w:r w:rsidR="003D1FA0" w:rsidRPr="000653A9">
              <w:rPr>
                <w:noProof/>
                <w:color w:val="auto"/>
              </w:rPr>
              <w:t>EU ETS</w:t>
            </w:r>
            <w:r w:rsidRPr="000653A9">
              <w:rPr>
                <w:noProof/>
                <w:color w:val="auto"/>
              </w:rPr>
              <w:t xml:space="preserve"> industries.</w:t>
            </w:r>
          </w:p>
          <w:p w14:paraId="247FBCDE" w14:textId="77777777" w:rsidR="008A1F5C" w:rsidRPr="000653A9" w:rsidRDefault="008A1F5C" w:rsidP="0024785B">
            <w:pPr>
              <w:spacing w:after="0"/>
              <w:rPr>
                <w:noProof/>
                <w:color w:val="auto"/>
              </w:rPr>
            </w:pPr>
            <w:r w:rsidRPr="000653A9">
              <w:rPr>
                <w:noProof/>
                <w:color w:val="auto"/>
              </w:rPr>
              <w:t>CL1R: CL1 with revised recycling structure, where the 50% allocation to financing power-sector investments is instead transferred as a lumpsum payment to the households, while power investments are financed via domestic and foreign borrowing.</w:t>
            </w:r>
          </w:p>
        </w:tc>
      </w:tr>
      <w:tr w:rsidR="008A1F5C" w:rsidRPr="000653A9" w14:paraId="76F1D3CD" w14:textId="77777777" w:rsidTr="0024785B">
        <w:trPr>
          <w:trHeight w:val="300"/>
        </w:trPr>
        <w:tc>
          <w:tcPr>
            <w:tcW w:w="1525" w:type="dxa"/>
            <w:hideMark/>
          </w:tcPr>
          <w:p w14:paraId="0C87F94D" w14:textId="35601EC5" w:rsidR="008A1F5C" w:rsidRPr="00D20CDD" w:rsidRDefault="007C2A2E" w:rsidP="0024785B">
            <w:pPr>
              <w:spacing w:after="0"/>
              <w:rPr>
                <w:noProof/>
                <w:color w:val="auto"/>
                <w:sz w:val="22"/>
                <w:szCs w:val="22"/>
                <w:lang w:val="it-IT"/>
              </w:rPr>
            </w:pPr>
            <w:r w:rsidRPr="00D20CDD">
              <w:rPr>
                <w:noProof/>
                <w:color w:val="auto"/>
                <w:sz w:val="22"/>
                <w:szCs w:val="22"/>
                <w:lang w:val="it-IT"/>
              </w:rPr>
              <w:t xml:space="preserve">PO2 </w:t>
            </w:r>
            <w:r w:rsidR="008A1F5C" w:rsidRPr="00D20CDD">
              <w:rPr>
                <w:noProof/>
                <w:color w:val="auto"/>
                <w:sz w:val="22"/>
                <w:szCs w:val="22"/>
                <w:lang w:val="it-IT"/>
              </w:rPr>
              <w:t>(CL2_50, CL2_90, CL2_50C &amp; CL2_90C</w:t>
            </w:r>
            <w:r w:rsidR="00A14590" w:rsidRPr="00D20CDD">
              <w:rPr>
                <w:noProof/>
                <w:color w:val="auto"/>
                <w:sz w:val="22"/>
                <w:szCs w:val="22"/>
                <w:lang w:val="it-IT"/>
              </w:rPr>
              <w:t>, CL2_90_</w:t>
            </w:r>
            <w:r w:rsidR="007F1ECE" w:rsidRPr="00D20CDD">
              <w:rPr>
                <w:noProof/>
                <w:color w:val="auto"/>
                <w:sz w:val="22"/>
                <w:szCs w:val="22"/>
                <w:lang w:val="it-IT"/>
              </w:rPr>
              <w:t>9085</w:t>
            </w:r>
            <w:r w:rsidR="00D83F5E" w:rsidRPr="00D20CDD">
              <w:rPr>
                <w:noProof/>
                <w:color w:val="auto"/>
                <w:sz w:val="22"/>
                <w:szCs w:val="22"/>
                <w:lang w:val="it-IT"/>
              </w:rPr>
              <w:t xml:space="preserve"> and CL2_90</w:t>
            </w:r>
            <w:r w:rsidR="007F1ECE" w:rsidRPr="00D20CDD">
              <w:rPr>
                <w:noProof/>
                <w:color w:val="auto"/>
                <w:sz w:val="22"/>
                <w:szCs w:val="22"/>
                <w:lang w:val="it-IT"/>
              </w:rPr>
              <w:t>C</w:t>
            </w:r>
            <w:r w:rsidR="00D83F5E" w:rsidRPr="00D20CDD">
              <w:rPr>
                <w:noProof/>
                <w:color w:val="auto"/>
                <w:sz w:val="22"/>
                <w:szCs w:val="22"/>
                <w:lang w:val="it-IT"/>
              </w:rPr>
              <w:t>_</w:t>
            </w:r>
            <w:r w:rsidR="007F1ECE" w:rsidRPr="00D20CDD">
              <w:rPr>
                <w:noProof/>
                <w:color w:val="auto"/>
                <w:sz w:val="22"/>
                <w:szCs w:val="22"/>
                <w:lang w:val="it-IT"/>
              </w:rPr>
              <w:t>9085</w:t>
            </w:r>
            <w:r w:rsidR="008A1F5C" w:rsidRPr="00D20CDD">
              <w:rPr>
                <w:noProof/>
                <w:color w:val="auto"/>
                <w:sz w:val="22"/>
                <w:szCs w:val="22"/>
                <w:lang w:val="it-IT"/>
              </w:rPr>
              <w:t>)</w:t>
            </w:r>
          </w:p>
        </w:tc>
        <w:tc>
          <w:tcPr>
            <w:tcW w:w="8103" w:type="dxa"/>
            <w:hideMark/>
          </w:tcPr>
          <w:p w14:paraId="5773C4A8" w14:textId="4708B7BC" w:rsidR="008A1F5C" w:rsidRPr="000653A9" w:rsidRDefault="008A1F5C" w:rsidP="0024785B">
            <w:pPr>
              <w:spacing w:after="0"/>
              <w:rPr>
                <w:noProof/>
                <w:color w:val="auto"/>
              </w:rPr>
            </w:pPr>
            <w:r w:rsidRPr="000653A9">
              <w:rPr>
                <w:noProof/>
                <w:color w:val="auto"/>
              </w:rPr>
              <w:t xml:space="preserve">CL2_50 &amp; CL2_90: EU targets </w:t>
            </w:r>
            <w:r w:rsidR="00AE3B3A">
              <w:rPr>
                <w:noProof/>
                <w:color w:val="auto"/>
              </w:rPr>
              <w:t>85</w:t>
            </w:r>
            <w:r w:rsidRPr="000653A9">
              <w:rPr>
                <w:noProof/>
                <w:color w:val="auto"/>
              </w:rPr>
              <w:t xml:space="preserve">% reduction in GHG emissions by 2040, along with a progressive share of free allocation for non-CBAM sectors which is conditional on investment in green energy/technology with two compliance variants, i.e. 50% and 90%. The emissions from the municipal waste are also considered under </w:t>
            </w:r>
            <w:r w:rsidR="006D7469" w:rsidRPr="000653A9">
              <w:rPr>
                <w:noProof/>
                <w:color w:val="auto"/>
              </w:rPr>
              <w:t xml:space="preserve">the </w:t>
            </w:r>
            <w:r w:rsidR="003D1FA0" w:rsidRPr="000653A9">
              <w:rPr>
                <w:noProof/>
                <w:color w:val="auto"/>
              </w:rPr>
              <w:t>EU ETS</w:t>
            </w:r>
            <w:r w:rsidRPr="000653A9">
              <w:rPr>
                <w:noProof/>
                <w:color w:val="auto"/>
              </w:rPr>
              <w:t xml:space="preserve">. The revenue generated via </w:t>
            </w:r>
            <w:r w:rsidR="006D7469" w:rsidRPr="000653A9">
              <w:rPr>
                <w:noProof/>
                <w:color w:val="auto"/>
              </w:rPr>
              <w:t>the</w:t>
            </w:r>
            <w:r w:rsidRPr="000653A9">
              <w:rPr>
                <w:noProof/>
                <w:color w:val="auto"/>
              </w:rPr>
              <w:t xml:space="preserve"> </w:t>
            </w:r>
            <w:r w:rsidR="003D1FA0" w:rsidRPr="000653A9">
              <w:rPr>
                <w:noProof/>
                <w:color w:val="auto"/>
              </w:rPr>
              <w:t>EU ETS</w:t>
            </w:r>
            <w:r w:rsidRPr="000653A9">
              <w:rPr>
                <w:noProof/>
                <w:color w:val="auto"/>
              </w:rPr>
              <w:t xml:space="preserve"> is recycled, with 50% allocated to financing power-sector investments and the remaining 50% dedicated to improving energy efficiency in </w:t>
            </w:r>
            <w:r w:rsidR="003D1FA0" w:rsidRPr="000653A9">
              <w:rPr>
                <w:noProof/>
                <w:color w:val="auto"/>
              </w:rPr>
              <w:t>EU ETS</w:t>
            </w:r>
            <w:r w:rsidRPr="000653A9">
              <w:rPr>
                <w:noProof/>
                <w:color w:val="auto"/>
              </w:rPr>
              <w:t xml:space="preserve"> industries.</w:t>
            </w:r>
          </w:p>
          <w:p w14:paraId="251167DB" w14:textId="77777777" w:rsidR="008A1F5C" w:rsidRDefault="008A1F5C" w:rsidP="0024785B">
            <w:pPr>
              <w:spacing w:after="0"/>
              <w:rPr>
                <w:noProof/>
                <w:color w:val="auto"/>
              </w:rPr>
            </w:pPr>
            <w:r w:rsidRPr="000653A9">
              <w:rPr>
                <w:noProof/>
                <w:color w:val="auto"/>
              </w:rPr>
              <w:t>CL2_50C &amp; CL2_90C: CL2_50 &amp; CL2_90 with a progressive share of free allocation for both CBAM and non-CBAM sectors.</w:t>
            </w:r>
          </w:p>
          <w:p w14:paraId="0F4C3807" w14:textId="639B1951" w:rsidR="00D83F5E" w:rsidRPr="000653A9" w:rsidRDefault="00D83F5E" w:rsidP="0024785B">
            <w:pPr>
              <w:spacing w:after="0"/>
              <w:rPr>
                <w:noProof/>
                <w:color w:val="auto"/>
              </w:rPr>
            </w:pPr>
            <w:r>
              <w:rPr>
                <w:noProof/>
                <w:color w:val="auto"/>
              </w:rPr>
              <w:t>CL2_90_</w:t>
            </w:r>
            <w:r w:rsidR="00AD56BF">
              <w:rPr>
                <w:noProof/>
                <w:color w:val="auto"/>
              </w:rPr>
              <w:t>9085</w:t>
            </w:r>
            <w:r>
              <w:rPr>
                <w:noProof/>
                <w:color w:val="auto"/>
              </w:rPr>
              <w:t xml:space="preserve"> and </w:t>
            </w:r>
            <w:r w:rsidR="00DC2FA8">
              <w:rPr>
                <w:noProof/>
                <w:color w:val="auto"/>
              </w:rPr>
              <w:t>CL2_90C_</w:t>
            </w:r>
            <w:r w:rsidR="00AD56BF">
              <w:rPr>
                <w:noProof/>
                <w:color w:val="auto"/>
              </w:rPr>
              <w:t>9085</w:t>
            </w:r>
            <w:r w:rsidR="00DC2FA8">
              <w:rPr>
                <w:noProof/>
                <w:color w:val="auto"/>
              </w:rPr>
              <w:t xml:space="preserve"> </w:t>
            </w:r>
            <w:r w:rsidR="00D67AC8">
              <w:rPr>
                <w:noProof/>
                <w:color w:val="auto"/>
              </w:rPr>
              <w:t>represent the same policy measures as in CL_90 and CL_</w:t>
            </w:r>
            <w:r w:rsidR="00AD56BF">
              <w:rPr>
                <w:noProof/>
                <w:color w:val="auto"/>
              </w:rPr>
              <w:t>90 but</w:t>
            </w:r>
            <w:r w:rsidR="00D67AC8">
              <w:rPr>
                <w:noProof/>
                <w:color w:val="auto"/>
              </w:rPr>
              <w:t xml:space="preserve"> assessed based on the 90</w:t>
            </w:r>
            <w:r w:rsidR="00166D15">
              <w:rPr>
                <w:noProof/>
                <w:color w:val="auto"/>
              </w:rPr>
              <w:t>-85 cap pathway</w:t>
            </w:r>
            <w:r w:rsidR="00277D7B">
              <w:rPr>
                <w:noProof/>
                <w:color w:val="auto"/>
              </w:rPr>
              <w:t xml:space="preserve">. </w:t>
            </w:r>
          </w:p>
        </w:tc>
      </w:tr>
      <w:tr w:rsidR="008A1F5C" w:rsidRPr="000653A9" w14:paraId="758C3D72" w14:textId="77777777" w:rsidTr="0024785B">
        <w:tc>
          <w:tcPr>
            <w:tcW w:w="1525" w:type="dxa"/>
            <w:hideMark/>
          </w:tcPr>
          <w:p w14:paraId="0912B11F" w14:textId="75F3F4BB" w:rsidR="008A1F5C" w:rsidRPr="000653A9" w:rsidRDefault="007C2A2E" w:rsidP="0024785B">
            <w:pPr>
              <w:spacing w:after="0"/>
              <w:rPr>
                <w:noProof/>
                <w:color w:val="auto"/>
                <w:sz w:val="22"/>
                <w:szCs w:val="22"/>
              </w:rPr>
            </w:pPr>
            <w:r w:rsidRPr="000653A9">
              <w:rPr>
                <w:noProof/>
                <w:color w:val="auto"/>
                <w:sz w:val="22"/>
                <w:szCs w:val="22"/>
              </w:rPr>
              <w:t xml:space="preserve">PO3 </w:t>
            </w:r>
            <w:r w:rsidR="008A1F5C" w:rsidRPr="000653A9">
              <w:rPr>
                <w:noProof/>
                <w:color w:val="auto"/>
                <w:sz w:val="22"/>
                <w:szCs w:val="22"/>
              </w:rPr>
              <w:t>(CL3 &amp; CL3R)</w:t>
            </w:r>
          </w:p>
        </w:tc>
        <w:tc>
          <w:tcPr>
            <w:tcW w:w="8103" w:type="dxa"/>
            <w:hideMark/>
          </w:tcPr>
          <w:p w14:paraId="2D21B254" w14:textId="722D6716" w:rsidR="008A1F5C" w:rsidRPr="000653A9" w:rsidRDefault="008A1F5C" w:rsidP="0024785B">
            <w:pPr>
              <w:spacing w:after="0"/>
              <w:rPr>
                <w:noProof/>
                <w:color w:val="auto"/>
              </w:rPr>
            </w:pPr>
            <w:r w:rsidRPr="000653A9">
              <w:rPr>
                <w:noProof/>
                <w:color w:val="auto"/>
              </w:rPr>
              <w:t xml:space="preserve">CL3: EU targets </w:t>
            </w:r>
            <w:r w:rsidR="00AE3B3A">
              <w:rPr>
                <w:noProof/>
                <w:color w:val="auto"/>
              </w:rPr>
              <w:t>85</w:t>
            </w:r>
            <w:r w:rsidRPr="000653A9">
              <w:rPr>
                <w:noProof/>
                <w:color w:val="auto"/>
              </w:rPr>
              <w:t xml:space="preserve">% reduction in GHG emissions by 2040 as it phases out the free allowance for non-CBAM sectors to ensure no further free allowances are provided to industry 2034 onwards. The emissions from the waste sector (including municipal, landfill, etc.) are also considered under </w:t>
            </w:r>
            <w:r w:rsidR="006D7469" w:rsidRPr="000653A9">
              <w:rPr>
                <w:noProof/>
                <w:color w:val="auto"/>
              </w:rPr>
              <w:t>the</w:t>
            </w:r>
            <w:r w:rsidRPr="000653A9">
              <w:rPr>
                <w:noProof/>
                <w:color w:val="auto"/>
              </w:rPr>
              <w:t xml:space="preserve"> </w:t>
            </w:r>
            <w:r w:rsidR="003D1FA0" w:rsidRPr="000653A9">
              <w:rPr>
                <w:noProof/>
                <w:color w:val="auto"/>
              </w:rPr>
              <w:t>EU ETS</w:t>
            </w:r>
            <w:r w:rsidRPr="000653A9">
              <w:rPr>
                <w:noProof/>
                <w:color w:val="auto"/>
              </w:rPr>
              <w:t xml:space="preserve">. The revenue generated via </w:t>
            </w:r>
            <w:r w:rsidR="006D7469" w:rsidRPr="000653A9">
              <w:rPr>
                <w:noProof/>
                <w:color w:val="auto"/>
              </w:rPr>
              <w:t>the</w:t>
            </w:r>
            <w:r w:rsidRPr="000653A9">
              <w:rPr>
                <w:noProof/>
                <w:color w:val="auto"/>
              </w:rPr>
              <w:t xml:space="preserve"> </w:t>
            </w:r>
            <w:r w:rsidR="003D1FA0" w:rsidRPr="000653A9">
              <w:rPr>
                <w:noProof/>
                <w:color w:val="auto"/>
              </w:rPr>
              <w:t>EU ETS</w:t>
            </w:r>
            <w:r w:rsidRPr="000653A9">
              <w:rPr>
                <w:noProof/>
                <w:color w:val="auto"/>
              </w:rPr>
              <w:t xml:space="preserve"> is recycled, with 50% allocated to financing power-sector investments and the remaining 50% dedicated to improving energy efficiency in </w:t>
            </w:r>
            <w:r w:rsidR="003D1FA0" w:rsidRPr="000653A9">
              <w:rPr>
                <w:noProof/>
                <w:color w:val="auto"/>
              </w:rPr>
              <w:t>EU ETS</w:t>
            </w:r>
            <w:r w:rsidRPr="000653A9">
              <w:rPr>
                <w:noProof/>
                <w:color w:val="auto"/>
              </w:rPr>
              <w:t xml:space="preserve"> industries.</w:t>
            </w:r>
          </w:p>
          <w:p w14:paraId="00C2FF9C" w14:textId="77777777" w:rsidR="008A1F5C" w:rsidRPr="000653A9" w:rsidRDefault="008A1F5C" w:rsidP="0024785B">
            <w:pPr>
              <w:spacing w:after="0"/>
              <w:rPr>
                <w:noProof/>
                <w:color w:val="auto"/>
              </w:rPr>
            </w:pPr>
            <w:r w:rsidRPr="000653A9">
              <w:rPr>
                <w:noProof/>
                <w:color w:val="auto"/>
              </w:rPr>
              <w:t>CL3R: CL3 with revised recycling structure, where the 50% allocation to financing power-sector investments is instead transferred as a lumpsum payment to the households, while power investments are financed via domestic and foreign borrowing.</w:t>
            </w:r>
          </w:p>
        </w:tc>
      </w:tr>
    </w:tbl>
    <w:p w14:paraId="0F02CDBF" w14:textId="27A32DF7" w:rsidR="009260A9" w:rsidRPr="000653A9" w:rsidRDefault="009260A9" w:rsidP="2B7FB05A">
      <w:pPr>
        <w:rPr>
          <w:noProof/>
          <w:color w:val="auto"/>
        </w:rPr>
      </w:pPr>
      <w:r w:rsidRPr="000653A9">
        <w:rPr>
          <w:noProof/>
          <w:color w:val="auto"/>
        </w:rPr>
        <w:t xml:space="preserve">For indirect carbon costs, the section analyses their possible evolution out to 2040 and considers how the ETS Directive’s provisions concerning indirect cost compensation should evolve. This analysis is limited in its level of detail since indirect cost compensation is currently provided via State aid and granular assessment of indirect cost compensation is typically conducted through the elaboration and amendment of dedicated State Aid Guidelines. </w:t>
      </w:r>
    </w:p>
    <w:p w14:paraId="7E093DC5" w14:textId="76233C73" w:rsidR="009260A9" w:rsidRPr="000653A9" w:rsidRDefault="009260A9" w:rsidP="009260A9">
      <w:pPr>
        <w:rPr>
          <w:noProof/>
          <w:color w:val="auto"/>
        </w:rPr>
      </w:pPr>
      <w:r w:rsidRPr="000653A9">
        <w:rPr>
          <w:noProof/>
          <w:color w:val="auto"/>
        </w:rPr>
        <w:t xml:space="preserve">The impact assessment also relies upon more qualitative inputs, especially with regards to stakeholder interviews and OPC responses to put the assumptions applied in the modelling into context of the experiences from industry and others.  </w:t>
      </w:r>
    </w:p>
    <w:p w14:paraId="3642308C" w14:textId="3B3F23AF" w:rsidR="00DC63F8" w:rsidRPr="000653A9" w:rsidRDefault="00DC63F8" w:rsidP="009539AB">
      <w:pPr>
        <w:pStyle w:val="Heading3COM"/>
        <w:outlineLvl w:val="3"/>
        <w:rPr>
          <w:noProof/>
        </w:rPr>
      </w:pPr>
      <w:bookmarkStart w:id="304" w:name="_Toc230857901"/>
      <w:bookmarkStart w:id="305" w:name="_Toc232751092"/>
      <w:r w:rsidRPr="000653A9">
        <w:rPr>
          <w:noProof/>
        </w:rPr>
        <w:t>Economic impacts</w:t>
      </w:r>
      <w:bookmarkEnd w:id="299"/>
      <w:bookmarkEnd w:id="300"/>
      <w:bookmarkEnd w:id="301"/>
      <w:bookmarkEnd w:id="304"/>
      <w:bookmarkEnd w:id="305"/>
    </w:p>
    <w:p w14:paraId="244D48BF" w14:textId="77777777" w:rsidR="00DC63F8" w:rsidRPr="000653A9" w:rsidRDefault="00DC63F8" w:rsidP="009539AB">
      <w:pPr>
        <w:pStyle w:val="Heading4COM"/>
        <w:outlineLvl w:val="4"/>
        <w:rPr>
          <w:noProof/>
        </w:rPr>
      </w:pPr>
      <w:bookmarkStart w:id="306" w:name="_Toc212049699"/>
      <w:bookmarkStart w:id="307" w:name="_Toc230857902"/>
      <w:bookmarkStart w:id="308" w:name="_Toc232751093"/>
      <w:r w:rsidRPr="000653A9">
        <w:rPr>
          <w:noProof/>
        </w:rPr>
        <w:t>Conduct of business</w:t>
      </w:r>
      <w:bookmarkEnd w:id="306"/>
      <w:bookmarkEnd w:id="307"/>
      <w:bookmarkEnd w:id="308"/>
    </w:p>
    <w:p w14:paraId="43EC91B7" w14:textId="77777777" w:rsidR="00DC63F8" w:rsidRPr="000653A9" w:rsidRDefault="00DC63F8" w:rsidP="009539AB">
      <w:pPr>
        <w:pStyle w:val="Heading5COM"/>
        <w:outlineLvl w:val="5"/>
        <w:rPr>
          <w:noProof/>
        </w:rPr>
      </w:pPr>
      <w:bookmarkStart w:id="309" w:name="_Toc212049700"/>
      <w:bookmarkStart w:id="310" w:name="_Toc230857903"/>
      <w:bookmarkStart w:id="311" w:name="_Toc232751094"/>
      <w:r w:rsidRPr="000653A9">
        <w:rPr>
          <w:noProof/>
        </w:rPr>
        <w:t>Carbon leakage prevention measures for direct emissions</w:t>
      </w:r>
      <w:bookmarkEnd w:id="309"/>
      <w:bookmarkEnd w:id="310"/>
      <w:bookmarkEnd w:id="311"/>
    </w:p>
    <w:p w14:paraId="3A528810" w14:textId="5336023D" w:rsidR="00FB6CAC" w:rsidRPr="000653A9" w:rsidRDefault="00FB6CAC" w:rsidP="00FB6CAC">
      <w:pPr>
        <w:rPr>
          <w:noProof/>
          <w:color w:val="auto"/>
        </w:rPr>
      </w:pPr>
      <w:r w:rsidRPr="000653A9">
        <w:rPr>
          <w:noProof/>
          <w:color w:val="auto"/>
        </w:rPr>
        <w:t>According to the legal default, no free allocation is provided f</w:t>
      </w:r>
      <w:r w:rsidR="000A6FFA" w:rsidRPr="000653A9">
        <w:rPr>
          <w:noProof/>
          <w:color w:val="auto"/>
        </w:rPr>
        <w:t>rom</w:t>
      </w:r>
      <w:r w:rsidRPr="000653A9">
        <w:rPr>
          <w:noProof/>
          <w:color w:val="auto"/>
        </w:rPr>
        <w:t xml:space="preserve"> 2031. However, this </w:t>
      </w:r>
      <w:r w:rsidR="00770F32" w:rsidRPr="000653A9">
        <w:rPr>
          <w:noProof/>
          <w:color w:val="auto"/>
        </w:rPr>
        <w:t xml:space="preserve">is different to </w:t>
      </w:r>
      <w:r w:rsidRPr="000653A9">
        <w:rPr>
          <w:noProof/>
          <w:color w:val="auto"/>
        </w:rPr>
        <w:t>w</w:t>
      </w:r>
      <w:r w:rsidR="00770F32" w:rsidRPr="000653A9">
        <w:rPr>
          <w:noProof/>
          <w:color w:val="auto"/>
        </w:rPr>
        <w:t>hat was envisaged in other Union legislation</w:t>
      </w:r>
      <w:r w:rsidR="000C3AC4" w:rsidRPr="000653A9">
        <w:rPr>
          <w:rStyle w:val="FootnoteReference"/>
          <w:noProof/>
          <w:color w:val="auto"/>
        </w:rPr>
        <w:footnoteReference w:id="11"/>
      </w:r>
      <w:r w:rsidRPr="000653A9">
        <w:rPr>
          <w:noProof/>
          <w:color w:val="auto"/>
        </w:rPr>
        <w:t xml:space="preserve">, so it was </w:t>
      </w:r>
      <w:r w:rsidR="00770F32" w:rsidRPr="000653A9">
        <w:rPr>
          <w:noProof/>
          <w:color w:val="auto"/>
        </w:rPr>
        <w:t>appropriate</w:t>
      </w:r>
      <w:r w:rsidRPr="000653A9">
        <w:rPr>
          <w:noProof/>
          <w:color w:val="auto"/>
        </w:rPr>
        <w:t xml:space="preserve"> to establish a different baseline scenario for the provision of free allocation over 2031-40. The decision was taken to assume in the baseline that there will be a continuation of the current carbon leakage rules albeit with no update of the carbon leakage list or product benchmarks. In the baseline, free allocation was therefore still determined using preliminary NIMs date and applying the existing formula for free allocation (i.e. preliminary free allocation = activity level*benchmark (BM)*Carbon Leakage Exposure Factor (CLEF)*Cross Sectoral Correction Factor (CSCF)). Key assumptions taken to determine free allocation in the baseline included:</w:t>
      </w:r>
    </w:p>
    <w:p w14:paraId="0B3A9021" w14:textId="18B0E93B" w:rsidR="00FB6CAC" w:rsidRPr="000653A9" w:rsidRDefault="00FB6CAC" w:rsidP="00CD163F">
      <w:pPr>
        <w:pStyle w:val="ListParagraph"/>
        <w:numPr>
          <w:ilvl w:val="0"/>
          <w:numId w:val="21"/>
        </w:numPr>
        <w:rPr>
          <w:noProof/>
          <w:color w:val="auto"/>
        </w:rPr>
      </w:pPr>
      <w:r w:rsidRPr="000653A9">
        <w:rPr>
          <w:noProof/>
          <w:color w:val="auto"/>
        </w:rPr>
        <w:t xml:space="preserve">The free allocation budget was </w:t>
      </w:r>
      <w:r w:rsidR="00052DA9" w:rsidRPr="000653A9">
        <w:rPr>
          <w:noProof/>
          <w:color w:val="auto"/>
        </w:rPr>
        <w:t>determined based on</w:t>
      </w:r>
      <w:r w:rsidRPr="000653A9">
        <w:rPr>
          <w:noProof/>
          <w:color w:val="auto"/>
        </w:rPr>
        <w:t xml:space="preserve"> a share of 43% of an ETS cap</w:t>
      </w:r>
      <w:r w:rsidR="00064CFB" w:rsidRPr="000653A9">
        <w:rPr>
          <w:noProof/>
          <w:color w:val="auto"/>
        </w:rPr>
        <w:t xml:space="preserve"> resulting from the continuation of the currently </w:t>
      </w:r>
      <w:r w:rsidR="000E1E5A" w:rsidRPr="000653A9">
        <w:rPr>
          <w:noProof/>
          <w:color w:val="auto"/>
        </w:rPr>
        <w:t>legislated</w:t>
      </w:r>
      <w:r w:rsidR="00064CFB" w:rsidRPr="000653A9">
        <w:rPr>
          <w:noProof/>
          <w:color w:val="auto"/>
        </w:rPr>
        <w:t xml:space="preserve"> linear reduction factor </w:t>
      </w:r>
      <w:r w:rsidR="00F3683B" w:rsidRPr="000653A9">
        <w:rPr>
          <w:noProof/>
          <w:color w:val="auto"/>
        </w:rPr>
        <w:t>of 4.4%</w:t>
      </w:r>
      <w:r w:rsidR="00873E43" w:rsidRPr="000653A9">
        <w:rPr>
          <w:noProof/>
          <w:color w:val="auto"/>
        </w:rPr>
        <w:t>. The 3% buffer for free allocation is not continued post 2030.</w:t>
      </w:r>
    </w:p>
    <w:p w14:paraId="60B7EBF2" w14:textId="77777777" w:rsidR="00FB6CAC" w:rsidRPr="000653A9" w:rsidRDefault="00FB6CAC" w:rsidP="00CD163F">
      <w:pPr>
        <w:pStyle w:val="ListParagraph"/>
        <w:numPr>
          <w:ilvl w:val="0"/>
          <w:numId w:val="21"/>
        </w:numPr>
        <w:rPr>
          <w:noProof/>
          <w:color w:val="auto"/>
        </w:rPr>
      </w:pPr>
      <w:r w:rsidRPr="000653A9">
        <w:rPr>
          <w:noProof/>
          <w:color w:val="auto"/>
        </w:rPr>
        <w:t>The level of activity was assumed to conservatively remain constant over time.</w:t>
      </w:r>
    </w:p>
    <w:p w14:paraId="0AE39855" w14:textId="7BA089C2" w:rsidR="00FB6CAC" w:rsidRPr="000653A9" w:rsidRDefault="00FB6CAC" w:rsidP="00CD163F">
      <w:pPr>
        <w:pStyle w:val="ListParagraph"/>
        <w:numPr>
          <w:ilvl w:val="0"/>
          <w:numId w:val="21"/>
        </w:numPr>
        <w:rPr>
          <w:noProof/>
          <w:color w:val="auto"/>
        </w:rPr>
      </w:pPr>
      <w:r w:rsidRPr="000653A9">
        <w:rPr>
          <w:noProof/>
          <w:color w:val="auto"/>
        </w:rPr>
        <w:t xml:space="preserve">The existing product benchmarks were updated based upon 2021/22 </w:t>
      </w:r>
      <w:r w:rsidR="00261C36" w:rsidRPr="000653A9">
        <w:rPr>
          <w:noProof/>
          <w:color w:val="auto"/>
        </w:rPr>
        <w:t xml:space="preserve">data </w:t>
      </w:r>
      <w:r w:rsidRPr="000653A9">
        <w:rPr>
          <w:noProof/>
          <w:color w:val="auto"/>
        </w:rPr>
        <w:t xml:space="preserve">to determine the top 10% of sub-installations for the 2026-30 </w:t>
      </w:r>
      <w:r w:rsidR="00FD0E18" w:rsidRPr="000653A9">
        <w:rPr>
          <w:noProof/>
          <w:color w:val="auto"/>
        </w:rPr>
        <w:t>period</w:t>
      </w:r>
      <w:r w:rsidRPr="000653A9">
        <w:rPr>
          <w:noProof/>
          <w:color w:val="auto"/>
        </w:rPr>
        <w:t xml:space="preserve"> and these values were then further extrapolated for the 2031-40 period.</w:t>
      </w:r>
      <w:r w:rsidRPr="000653A9">
        <w:rPr>
          <w:rStyle w:val="FootnoteReference"/>
          <w:noProof/>
          <w:color w:val="auto"/>
        </w:rPr>
        <w:footnoteReference w:id="12"/>
      </w:r>
    </w:p>
    <w:p w14:paraId="58579A31" w14:textId="2875179A" w:rsidR="00FB6CAC" w:rsidRPr="000653A9" w:rsidRDefault="00FB6CAC" w:rsidP="00CD163F">
      <w:pPr>
        <w:pStyle w:val="ListParagraph"/>
        <w:numPr>
          <w:ilvl w:val="0"/>
          <w:numId w:val="21"/>
        </w:numPr>
        <w:rPr>
          <w:noProof/>
          <w:color w:val="auto"/>
        </w:rPr>
      </w:pPr>
      <w:r w:rsidRPr="000653A9">
        <w:rPr>
          <w:noProof/>
          <w:color w:val="auto"/>
        </w:rPr>
        <w:t xml:space="preserve">The CLEF was not applied in the 2031-40 </w:t>
      </w:r>
      <w:r w:rsidR="00FD0E18" w:rsidRPr="000653A9">
        <w:rPr>
          <w:noProof/>
          <w:color w:val="auto"/>
        </w:rPr>
        <w:t>period</w:t>
      </w:r>
      <w:r w:rsidR="008517B4" w:rsidRPr="000653A9">
        <w:rPr>
          <w:noProof/>
          <w:color w:val="auto"/>
        </w:rPr>
        <w:t>,</w:t>
      </w:r>
      <w:r w:rsidRPr="000653A9">
        <w:rPr>
          <w:noProof/>
          <w:color w:val="auto"/>
        </w:rPr>
        <w:t xml:space="preserve"> as the carbon leakage list was not updated. </w:t>
      </w:r>
    </w:p>
    <w:p w14:paraId="4049AAB0" w14:textId="2A52717B" w:rsidR="00FB4D03" w:rsidRPr="000653A9" w:rsidRDefault="00681087" w:rsidP="00FB4D03">
      <w:pPr>
        <w:rPr>
          <w:noProof/>
        </w:rPr>
      </w:pPr>
      <w:r w:rsidRPr="000653A9">
        <w:rPr>
          <w:noProof/>
        </w:rPr>
        <w:t>To</w:t>
      </w:r>
      <w:r w:rsidR="00FB4D03" w:rsidRPr="000653A9">
        <w:rPr>
          <w:noProof/>
        </w:rPr>
        <w:t xml:space="preserve"> estimate the economic impact in terms of cost of the policy measures, it was necessary to calculate free allocation for Phase V of the EU ETS for the different policy measures under consideration. Each of the policy measures apply the same assumptions as outlined above in the baseline scenario except for the following key assumptions:</w:t>
      </w:r>
    </w:p>
    <w:p w14:paraId="09F7E008" w14:textId="2D58CCDE" w:rsidR="00552B40" w:rsidRPr="000653A9" w:rsidRDefault="00F10E72" w:rsidP="004A1C30">
      <w:pPr>
        <w:pStyle w:val="ListParagraph"/>
        <w:numPr>
          <w:ilvl w:val="0"/>
          <w:numId w:val="31"/>
        </w:numPr>
        <w:rPr>
          <w:noProof/>
        </w:rPr>
      </w:pPr>
      <w:r w:rsidRPr="000653A9">
        <w:rPr>
          <w:noProof/>
        </w:rPr>
        <w:t xml:space="preserve">The free allocation budget is set based on the assumption that the share of the ETS cap reserved for free allocation increases to 46% of </w:t>
      </w:r>
      <w:r w:rsidR="00857033" w:rsidRPr="000653A9">
        <w:rPr>
          <w:noProof/>
        </w:rPr>
        <w:t>the</w:t>
      </w:r>
      <w:r w:rsidRPr="000653A9">
        <w:rPr>
          <w:noProof/>
        </w:rPr>
        <w:t xml:space="preserve"> </w:t>
      </w:r>
      <w:r w:rsidR="0051011C" w:rsidRPr="000653A9">
        <w:rPr>
          <w:noProof/>
        </w:rPr>
        <w:t>ETS</w:t>
      </w:r>
      <w:r w:rsidR="00857033" w:rsidRPr="000653A9">
        <w:rPr>
          <w:noProof/>
        </w:rPr>
        <w:t xml:space="preserve"> cap</w:t>
      </w:r>
      <w:r w:rsidR="0051011C" w:rsidRPr="000653A9">
        <w:rPr>
          <w:noProof/>
        </w:rPr>
        <w:t xml:space="preserve"> for distribution</w:t>
      </w:r>
      <w:r w:rsidR="003E3E1D" w:rsidRPr="000653A9">
        <w:rPr>
          <w:noProof/>
        </w:rPr>
        <w:t xml:space="preserve">, following any </w:t>
      </w:r>
      <w:r w:rsidR="00F4681D" w:rsidRPr="000653A9">
        <w:rPr>
          <w:noProof/>
        </w:rPr>
        <w:t xml:space="preserve">transfers </w:t>
      </w:r>
      <w:r w:rsidR="000447E8" w:rsidRPr="000653A9">
        <w:rPr>
          <w:noProof/>
        </w:rPr>
        <w:t xml:space="preserve">to instruments to support investments, such as the Industrial Decarbonisation Bank (IDB) or </w:t>
      </w:r>
      <w:r w:rsidR="0078361B" w:rsidRPr="000653A9">
        <w:rPr>
          <w:noProof/>
        </w:rPr>
        <w:t>the Innovation Fund (IF)</w:t>
      </w:r>
      <w:r w:rsidRPr="000653A9">
        <w:rPr>
          <w:noProof/>
        </w:rPr>
        <w:t xml:space="preserve">. </w:t>
      </w:r>
      <w:r w:rsidR="00857033" w:rsidRPr="000653A9">
        <w:rPr>
          <w:noProof/>
        </w:rPr>
        <w:t xml:space="preserve">The share of 46% results from the 43% from the baseline and the 3% free allocation buffer that was foreseen but not used in Phase IV. As the CSCF is projected to be triggered in all scenarios, the 3% buffer is already integrated in the free allocation budget. </w:t>
      </w:r>
    </w:p>
    <w:p w14:paraId="5654F85C" w14:textId="68BE2360" w:rsidR="008F2052" w:rsidRPr="000653A9" w:rsidRDefault="00F10E72" w:rsidP="008F2052">
      <w:pPr>
        <w:rPr>
          <w:noProof/>
        </w:rPr>
      </w:pPr>
      <w:r w:rsidRPr="00021B82">
        <w:rPr>
          <w:noProof/>
        </w:rPr>
        <w:t xml:space="preserve">The free allocation budget is higher in </w:t>
      </w:r>
      <w:r w:rsidR="00C149CC" w:rsidRPr="00021B82">
        <w:rPr>
          <w:noProof/>
        </w:rPr>
        <w:t>all</w:t>
      </w:r>
      <w:r w:rsidRPr="00021B82">
        <w:rPr>
          <w:noProof/>
        </w:rPr>
        <w:t xml:space="preserve"> the policy measures as lower LRFs were applied to the ETS cap over the 2031-40 period than in the baseline scenario</w:t>
      </w:r>
      <w:r w:rsidR="00DA267C">
        <w:rPr>
          <w:noProof/>
        </w:rPr>
        <w:t xml:space="preserve"> (see Annex 8 – part 1, </w:t>
      </w:r>
      <w:r w:rsidR="009A6C2D">
        <w:rPr>
          <w:noProof/>
        </w:rPr>
        <w:t>section 2.6</w:t>
      </w:r>
      <w:r w:rsidR="00DA267C">
        <w:rPr>
          <w:noProof/>
        </w:rPr>
        <w:t>)</w:t>
      </w:r>
      <w:r w:rsidRPr="00021B82">
        <w:rPr>
          <w:noProof/>
        </w:rPr>
        <w:t xml:space="preserve">. </w:t>
      </w:r>
      <w:r w:rsidR="00B77815" w:rsidRPr="000653A9">
        <w:rPr>
          <w:noProof/>
        </w:rPr>
        <w:t xml:space="preserve">Based on these assumptions a </w:t>
      </w:r>
      <w:r w:rsidR="008F2052" w:rsidRPr="000653A9">
        <w:rPr>
          <w:noProof/>
        </w:rPr>
        <w:t xml:space="preserve">free allocation budget </w:t>
      </w:r>
      <w:r w:rsidR="00B77815" w:rsidRPr="000653A9">
        <w:rPr>
          <w:noProof/>
        </w:rPr>
        <w:t xml:space="preserve">results </w:t>
      </w:r>
      <w:r w:rsidR="008F2052" w:rsidRPr="000653A9">
        <w:rPr>
          <w:noProof/>
        </w:rPr>
        <w:t xml:space="preserve">under the baseline and </w:t>
      </w:r>
      <w:r w:rsidR="001659C3" w:rsidRPr="000653A9">
        <w:rPr>
          <w:noProof/>
        </w:rPr>
        <w:t>each</w:t>
      </w:r>
      <w:r w:rsidR="001F74D0" w:rsidRPr="000653A9">
        <w:rPr>
          <w:noProof/>
        </w:rPr>
        <w:t xml:space="preserve"> policy options scenarios</w:t>
      </w:r>
      <w:r w:rsidR="00B77815" w:rsidRPr="000653A9">
        <w:rPr>
          <w:noProof/>
        </w:rPr>
        <w:t>, as</w:t>
      </w:r>
      <w:r w:rsidR="001F74D0" w:rsidRPr="000653A9">
        <w:rPr>
          <w:noProof/>
        </w:rPr>
        <w:t xml:space="preserve"> outlined in </w:t>
      </w:r>
      <w:r w:rsidR="4D8FD866" w:rsidRPr="000653A9">
        <w:rPr>
          <w:noProof/>
        </w:rPr>
        <w:t>T</w:t>
      </w:r>
      <w:r w:rsidR="001F74D0" w:rsidRPr="000653A9">
        <w:rPr>
          <w:noProof/>
        </w:rPr>
        <w:t xml:space="preserve">able </w:t>
      </w:r>
      <w:r w:rsidR="00116434" w:rsidRPr="000653A9">
        <w:rPr>
          <w:noProof/>
        </w:rPr>
        <w:t>4</w:t>
      </w:r>
    </w:p>
    <w:p w14:paraId="44CB5353" w14:textId="1AEC3325" w:rsidR="001F74D0" w:rsidRPr="000653A9" w:rsidRDefault="001F74D0" w:rsidP="00C92FA9">
      <w:pPr>
        <w:pStyle w:val="Tabletitle"/>
        <w:rPr>
          <w:noProof/>
        </w:rPr>
      </w:pPr>
      <w:bookmarkStart w:id="312" w:name="_Toc234435107"/>
      <w:bookmarkStart w:id="313" w:name="_Toc232003567"/>
      <w:r w:rsidRPr="000653A9">
        <w:rPr>
          <w:noProof/>
        </w:rPr>
        <w:t>Overview of the 2031-40 free allocation in the baseline compared to the policy measures</w:t>
      </w:r>
      <w:bookmarkEnd w:id="312"/>
      <w:bookmarkEnd w:id="313"/>
      <w:r w:rsidRPr="000653A9">
        <w:rPr>
          <w:noProof/>
        </w:rPr>
        <w:tab/>
      </w:r>
    </w:p>
    <w:p w14:paraId="5D14D1A1" w14:textId="77777777" w:rsidR="00CC4F87" w:rsidRDefault="00CC4F87" w:rsidP="00C92FA9">
      <w:pPr>
        <w:spacing w:after="240"/>
        <w:rPr>
          <w:noProof/>
        </w:rPr>
      </w:pPr>
    </w:p>
    <w:tbl>
      <w:tblPr>
        <w:tblStyle w:val="RicardoTabl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6"/>
        <w:gridCol w:w="4030"/>
      </w:tblGrid>
      <w:tr w:rsidR="002B2860" w:rsidRPr="000653A9" w14:paraId="7E599199" w14:textId="77777777" w:rsidTr="00253145">
        <w:trPr>
          <w:cnfStyle w:val="100000000000" w:firstRow="1" w:lastRow="0" w:firstColumn="0" w:lastColumn="0" w:oddVBand="0" w:evenVBand="0" w:oddHBand="0" w:evenHBand="0" w:firstRowFirstColumn="0" w:firstRowLastColumn="0" w:lastRowFirstColumn="0" w:lastRowLastColumn="0"/>
          <w:jc w:val="center"/>
        </w:trPr>
        <w:tc>
          <w:tcPr>
            <w:tcW w:w="2486" w:type="dxa"/>
            <w:vAlign w:val="center"/>
          </w:tcPr>
          <w:p w14:paraId="73AE3D4A" w14:textId="77777777" w:rsidR="002B2860" w:rsidRPr="000653A9" w:rsidRDefault="002B2860" w:rsidP="00253145">
            <w:pPr>
              <w:keepNext w:val="0"/>
              <w:spacing w:before="40" w:after="0"/>
              <w:jc w:val="center"/>
              <w:rPr>
                <w:b w:val="0"/>
                <w:noProof/>
                <w:color w:val="242828" w:themeColor="text1"/>
                <w:sz w:val="22"/>
                <w:szCs w:val="22"/>
              </w:rPr>
            </w:pPr>
            <w:r>
              <w:rPr>
                <w:b w:val="0"/>
                <w:noProof/>
                <w:color w:val="242828" w:themeColor="text1"/>
                <w:sz w:val="22"/>
                <w:szCs w:val="22"/>
              </w:rPr>
              <w:t>Scenario</w:t>
            </w:r>
          </w:p>
        </w:tc>
        <w:tc>
          <w:tcPr>
            <w:tcW w:w="4030" w:type="dxa"/>
            <w:vAlign w:val="center"/>
          </w:tcPr>
          <w:p w14:paraId="7E72349E" w14:textId="77777777" w:rsidR="002B2860" w:rsidRPr="000653A9" w:rsidRDefault="002B2860" w:rsidP="00253145">
            <w:pPr>
              <w:keepNext w:val="0"/>
              <w:spacing w:before="40" w:after="0"/>
              <w:jc w:val="center"/>
              <w:rPr>
                <w:b w:val="0"/>
                <w:noProof/>
                <w:color w:val="242828" w:themeColor="text1"/>
                <w:sz w:val="22"/>
                <w:szCs w:val="22"/>
              </w:rPr>
            </w:pPr>
            <w:r>
              <w:rPr>
                <w:b w:val="0"/>
                <w:noProof/>
                <w:color w:val="242828" w:themeColor="text1"/>
                <w:sz w:val="22"/>
                <w:szCs w:val="22"/>
              </w:rPr>
              <w:t>2031-40 free allocation budget (M EUAs)</w:t>
            </w:r>
          </w:p>
        </w:tc>
      </w:tr>
      <w:tr w:rsidR="002B2860" w:rsidRPr="000653A9" w14:paraId="6FE4AD5E" w14:textId="77777777" w:rsidTr="00253145">
        <w:trPr>
          <w:jc w:val="center"/>
        </w:trPr>
        <w:tc>
          <w:tcPr>
            <w:tcW w:w="2486" w:type="dxa"/>
            <w:vAlign w:val="center"/>
          </w:tcPr>
          <w:p w14:paraId="4D3392B1" w14:textId="77777777" w:rsidR="002B2860" w:rsidRPr="000653A9" w:rsidRDefault="002B2860" w:rsidP="00253145">
            <w:pPr>
              <w:spacing w:before="40" w:after="0"/>
              <w:jc w:val="center"/>
              <w:rPr>
                <w:noProof/>
                <w:sz w:val="22"/>
                <w:szCs w:val="22"/>
              </w:rPr>
            </w:pPr>
            <w:r>
              <w:rPr>
                <w:noProof/>
                <w:sz w:val="22"/>
                <w:szCs w:val="22"/>
              </w:rPr>
              <w:t>Baseline</w:t>
            </w:r>
          </w:p>
        </w:tc>
        <w:tc>
          <w:tcPr>
            <w:tcW w:w="4030" w:type="dxa"/>
            <w:vAlign w:val="center"/>
          </w:tcPr>
          <w:p w14:paraId="4E8F70BC" w14:textId="77777777" w:rsidR="002B2860" w:rsidRPr="000653A9" w:rsidRDefault="002B2860" w:rsidP="00253145">
            <w:pPr>
              <w:spacing w:before="40" w:after="0"/>
              <w:jc w:val="center"/>
              <w:rPr>
                <w:noProof/>
                <w:sz w:val="22"/>
                <w:szCs w:val="22"/>
              </w:rPr>
            </w:pPr>
            <w:r>
              <w:rPr>
                <w:noProof/>
                <w:sz w:val="22"/>
                <w:szCs w:val="22"/>
              </w:rPr>
              <w:t>1453</w:t>
            </w:r>
          </w:p>
        </w:tc>
      </w:tr>
      <w:tr w:rsidR="002B2860" w:rsidRPr="000653A9" w14:paraId="74EB5A6E" w14:textId="77777777" w:rsidTr="00253145">
        <w:trPr>
          <w:jc w:val="center"/>
        </w:trPr>
        <w:tc>
          <w:tcPr>
            <w:tcW w:w="2486" w:type="dxa"/>
            <w:vAlign w:val="center"/>
          </w:tcPr>
          <w:p w14:paraId="32DBDD85" w14:textId="77777777" w:rsidR="002B2860" w:rsidRPr="000653A9" w:rsidRDefault="002B2860" w:rsidP="00253145">
            <w:pPr>
              <w:spacing w:before="40" w:after="0"/>
              <w:jc w:val="center"/>
              <w:rPr>
                <w:noProof/>
                <w:sz w:val="22"/>
                <w:szCs w:val="22"/>
              </w:rPr>
            </w:pPr>
            <w:r>
              <w:rPr>
                <w:noProof/>
                <w:sz w:val="22"/>
                <w:szCs w:val="22"/>
              </w:rPr>
              <w:t>CL1/PO1</w:t>
            </w:r>
          </w:p>
        </w:tc>
        <w:tc>
          <w:tcPr>
            <w:tcW w:w="4030" w:type="dxa"/>
            <w:vAlign w:val="center"/>
          </w:tcPr>
          <w:p w14:paraId="37CE0039" w14:textId="77777777" w:rsidR="002B2860" w:rsidRPr="000653A9" w:rsidRDefault="002B2860" w:rsidP="00253145">
            <w:pPr>
              <w:spacing w:before="40" w:after="0"/>
              <w:jc w:val="center"/>
              <w:rPr>
                <w:noProof/>
                <w:sz w:val="22"/>
                <w:szCs w:val="22"/>
              </w:rPr>
            </w:pPr>
            <w:r>
              <w:rPr>
                <w:noProof/>
                <w:sz w:val="22"/>
                <w:szCs w:val="22"/>
              </w:rPr>
              <w:t>1,934</w:t>
            </w:r>
          </w:p>
        </w:tc>
      </w:tr>
      <w:tr w:rsidR="002B2860" w:rsidRPr="000653A9" w14:paraId="377C26D5" w14:textId="77777777" w:rsidTr="00253145">
        <w:trPr>
          <w:jc w:val="center"/>
        </w:trPr>
        <w:tc>
          <w:tcPr>
            <w:tcW w:w="2486" w:type="dxa"/>
            <w:vAlign w:val="center"/>
          </w:tcPr>
          <w:p w14:paraId="03F911FF" w14:textId="77777777" w:rsidR="002B2860" w:rsidRPr="000653A9" w:rsidRDefault="002B2860" w:rsidP="00253145">
            <w:pPr>
              <w:spacing w:before="40" w:after="0"/>
              <w:jc w:val="center"/>
              <w:rPr>
                <w:noProof/>
                <w:sz w:val="22"/>
                <w:szCs w:val="22"/>
              </w:rPr>
            </w:pPr>
            <w:r>
              <w:rPr>
                <w:noProof/>
                <w:sz w:val="22"/>
                <w:szCs w:val="22"/>
              </w:rPr>
              <w:t>CL2/PO2</w:t>
            </w:r>
          </w:p>
        </w:tc>
        <w:tc>
          <w:tcPr>
            <w:tcW w:w="4030" w:type="dxa"/>
            <w:vAlign w:val="center"/>
          </w:tcPr>
          <w:p w14:paraId="053403A3" w14:textId="77777777" w:rsidR="002B2860" w:rsidRPr="000653A9" w:rsidRDefault="002B2860" w:rsidP="00253145">
            <w:pPr>
              <w:spacing w:before="40" w:after="0"/>
              <w:jc w:val="center"/>
              <w:rPr>
                <w:noProof/>
                <w:sz w:val="22"/>
                <w:szCs w:val="22"/>
              </w:rPr>
            </w:pPr>
            <w:r>
              <w:rPr>
                <w:noProof/>
                <w:sz w:val="22"/>
                <w:szCs w:val="22"/>
              </w:rPr>
              <w:t>2,026</w:t>
            </w:r>
          </w:p>
        </w:tc>
      </w:tr>
      <w:tr w:rsidR="002B2860" w:rsidRPr="000653A9" w14:paraId="43ED1C6F" w14:textId="77777777" w:rsidTr="00253145">
        <w:trPr>
          <w:trHeight w:val="66"/>
          <w:jc w:val="center"/>
        </w:trPr>
        <w:tc>
          <w:tcPr>
            <w:tcW w:w="2486" w:type="dxa"/>
            <w:vAlign w:val="center"/>
          </w:tcPr>
          <w:p w14:paraId="30EA9012" w14:textId="77777777" w:rsidR="002B2860" w:rsidRPr="000653A9" w:rsidRDefault="002B2860" w:rsidP="00253145">
            <w:pPr>
              <w:spacing w:before="40" w:after="0"/>
              <w:jc w:val="center"/>
              <w:rPr>
                <w:noProof/>
                <w:sz w:val="22"/>
                <w:szCs w:val="22"/>
              </w:rPr>
            </w:pPr>
            <w:r>
              <w:rPr>
                <w:noProof/>
                <w:sz w:val="22"/>
                <w:szCs w:val="22"/>
              </w:rPr>
              <w:t>CL3/PO3</w:t>
            </w:r>
          </w:p>
        </w:tc>
        <w:tc>
          <w:tcPr>
            <w:tcW w:w="4030" w:type="dxa"/>
            <w:vAlign w:val="center"/>
          </w:tcPr>
          <w:p w14:paraId="31A5E273" w14:textId="77777777" w:rsidR="002B2860" w:rsidRPr="000653A9" w:rsidRDefault="002B2860" w:rsidP="00253145">
            <w:pPr>
              <w:spacing w:before="40" w:after="0"/>
              <w:jc w:val="center"/>
              <w:rPr>
                <w:noProof/>
                <w:sz w:val="22"/>
                <w:szCs w:val="22"/>
              </w:rPr>
            </w:pPr>
            <w:r>
              <w:rPr>
                <w:noProof/>
                <w:sz w:val="22"/>
                <w:szCs w:val="22"/>
              </w:rPr>
              <w:t>2,367</w:t>
            </w:r>
          </w:p>
        </w:tc>
      </w:tr>
    </w:tbl>
    <w:p w14:paraId="2F992E8E" w14:textId="312502B4" w:rsidR="001F74D0" w:rsidRPr="000653A9" w:rsidRDefault="001F74D0" w:rsidP="001F74D0">
      <w:pPr>
        <w:spacing w:after="240"/>
        <w:rPr>
          <w:i/>
          <w:iCs/>
          <w:noProof/>
          <w:sz w:val="20"/>
          <w:szCs w:val="20"/>
        </w:rPr>
      </w:pPr>
      <w:r w:rsidRPr="000653A9">
        <w:rPr>
          <w:i/>
          <w:iCs/>
          <w:noProof/>
          <w:sz w:val="20"/>
          <w:szCs w:val="20"/>
        </w:rPr>
        <w:t>Source:</w:t>
      </w:r>
      <w:r w:rsidRPr="000653A9">
        <w:rPr>
          <w:i/>
          <w:iCs/>
          <w:noProof/>
          <w:sz w:val="20"/>
          <w:szCs w:val="20"/>
        </w:rPr>
        <w:tab/>
        <w:t xml:space="preserve">Own calculation </w:t>
      </w:r>
    </w:p>
    <w:p w14:paraId="524AAB61" w14:textId="4A525241" w:rsidR="00FA39F6" w:rsidRPr="000653A9" w:rsidRDefault="00FA39F6" w:rsidP="006A6B71">
      <w:pPr>
        <w:rPr>
          <w:noProof/>
        </w:rPr>
      </w:pPr>
      <w:r w:rsidRPr="000653A9">
        <w:rPr>
          <w:noProof/>
        </w:rPr>
        <w:t xml:space="preserve">The free allocation </w:t>
      </w:r>
      <w:r w:rsidR="0037225B" w:rsidRPr="000653A9">
        <w:rPr>
          <w:noProof/>
        </w:rPr>
        <w:t>to be</w:t>
      </w:r>
      <w:r w:rsidR="005E0E85" w:rsidRPr="000653A9">
        <w:rPr>
          <w:noProof/>
        </w:rPr>
        <w:t xml:space="preserve"> </w:t>
      </w:r>
      <w:r w:rsidRPr="000653A9">
        <w:rPr>
          <w:noProof/>
        </w:rPr>
        <w:t xml:space="preserve">received by industry then varied further depending upon the implementation of </w:t>
      </w:r>
      <w:r w:rsidR="008271F0" w:rsidRPr="000653A9">
        <w:rPr>
          <w:noProof/>
        </w:rPr>
        <w:t>each</w:t>
      </w:r>
      <w:r w:rsidR="005E0E85" w:rsidRPr="000653A9">
        <w:rPr>
          <w:noProof/>
        </w:rPr>
        <w:t xml:space="preserve"> </w:t>
      </w:r>
      <w:r w:rsidRPr="000653A9">
        <w:rPr>
          <w:noProof/>
        </w:rPr>
        <w:t>measure.</w:t>
      </w:r>
    </w:p>
    <w:p w14:paraId="62DBBDFC" w14:textId="6915A330" w:rsidR="00FB6CAC" w:rsidRPr="000653A9" w:rsidRDefault="00FB6CAC" w:rsidP="00CD163F">
      <w:pPr>
        <w:pStyle w:val="ListParagraph"/>
        <w:numPr>
          <w:ilvl w:val="0"/>
          <w:numId w:val="22"/>
        </w:numPr>
        <w:rPr>
          <w:noProof/>
          <w:color w:val="auto"/>
        </w:rPr>
      </w:pPr>
      <w:r w:rsidRPr="000653A9">
        <w:rPr>
          <w:noProof/>
          <w:color w:val="auto"/>
        </w:rPr>
        <w:t xml:space="preserve">Under the </w:t>
      </w:r>
      <w:r w:rsidRPr="000653A9">
        <w:rPr>
          <w:b/>
          <w:bCs/>
          <w:noProof/>
          <w:color w:val="auto"/>
        </w:rPr>
        <w:t>improved current approach</w:t>
      </w:r>
      <w:r w:rsidRPr="000653A9">
        <w:rPr>
          <w:noProof/>
          <w:color w:val="auto"/>
        </w:rPr>
        <w:t xml:space="preserve"> (CL1), the methodology is </w:t>
      </w:r>
      <w:r w:rsidR="00B245A5" w:rsidRPr="000653A9">
        <w:rPr>
          <w:noProof/>
          <w:color w:val="auto"/>
        </w:rPr>
        <w:t>the same</w:t>
      </w:r>
      <w:r w:rsidRPr="000653A9">
        <w:rPr>
          <w:noProof/>
          <w:color w:val="auto"/>
        </w:rPr>
        <w:t xml:space="preserve"> as in the </w:t>
      </w:r>
      <w:r w:rsidR="00FD0E18" w:rsidRPr="000653A9">
        <w:rPr>
          <w:noProof/>
          <w:color w:val="auto"/>
        </w:rPr>
        <w:t>baseline</w:t>
      </w:r>
      <w:r w:rsidR="00E0026A" w:rsidRPr="000653A9">
        <w:rPr>
          <w:noProof/>
          <w:color w:val="auto"/>
        </w:rPr>
        <w:t xml:space="preserve">. Potential simplifications or improvements </w:t>
      </w:r>
      <w:r w:rsidR="00AB085D" w:rsidRPr="000653A9">
        <w:rPr>
          <w:noProof/>
          <w:color w:val="auto"/>
        </w:rPr>
        <w:t xml:space="preserve">under CL1 are not expected to impact </w:t>
      </w:r>
      <w:r w:rsidR="002C58F7" w:rsidRPr="000653A9">
        <w:rPr>
          <w:noProof/>
          <w:color w:val="auto"/>
        </w:rPr>
        <w:t>overall FA values</w:t>
      </w:r>
      <w:r w:rsidR="00096346" w:rsidRPr="000653A9">
        <w:rPr>
          <w:noProof/>
          <w:color w:val="auto"/>
        </w:rPr>
        <w:t>. T</w:t>
      </w:r>
      <w:r w:rsidRPr="000653A9">
        <w:rPr>
          <w:noProof/>
          <w:color w:val="auto"/>
        </w:rPr>
        <w:t xml:space="preserve">he free allocation budget is higher in CL1 </w:t>
      </w:r>
      <w:r w:rsidR="00B245A5" w:rsidRPr="000653A9">
        <w:rPr>
          <w:noProof/>
          <w:color w:val="auto"/>
        </w:rPr>
        <w:t>because of</w:t>
      </w:r>
      <w:r w:rsidR="00096346" w:rsidRPr="000653A9">
        <w:rPr>
          <w:noProof/>
          <w:color w:val="auto"/>
        </w:rPr>
        <w:t xml:space="preserve"> the different level of ambition and the different </w:t>
      </w:r>
      <w:r w:rsidRPr="000653A9">
        <w:rPr>
          <w:noProof/>
          <w:color w:val="auto"/>
        </w:rPr>
        <w:t xml:space="preserve">ETS cap. Also assumes existing conditionality requirements are fulfilled. </w:t>
      </w:r>
      <w:r w:rsidR="00883D79" w:rsidRPr="000653A9">
        <w:rPr>
          <w:noProof/>
          <w:color w:val="auto"/>
        </w:rPr>
        <w:t xml:space="preserve">The phase-out of free allocation for CBAM sectors is continued as in the baseline. </w:t>
      </w:r>
      <w:r w:rsidR="004B2ADE" w:rsidRPr="000653A9">
        <w:rPr>
          <w:noProof/>
          <w:color w:val="auto"/>
        </w:rPr>
        <w:t xml:space="preserve"> </w:t>
      </w:r>
    </w:p>
    <w:p w14:paraId="2314670F" w14:textId="091AECFF" w:rsidR="00FB6CAC" w:rsidRPr="000653A9" w:rsidRDefault="00FB6CAC" w:rsidP="00CD163F">
      <w:pPr>
        <w:pStyle w:val="ListParagraph"/>
        <w:numPr>
          <w:ilvl w:val="0"/>
          <w:numId w:val="22"/>
        </w:numPr>
        <w:rPr>
          <w:noProof/>
          <w:color w:val="auto"/>
        </w:rPr>
      </w:pPr>
      <w:r w:rsidRPr="000653A9">
        <w:rPr>
          <w:noProof/>
          <w:color w:val="auto"/>
        </w:rPr>
        <w:t xml:space="preserve">Under the </w:t>
      </w:r>
      <w:r w:rsidR="00FD0E18" w:rsidRPr="000653A9">
        <w:rPr>
          <w:b/>
          <w:bCs/>
          <w:noProof/>
          <w:color w:val="auto"/>
        </w:rPr>
        <w:t>conditional</w:t>
      </w:r>
      <w:r w:rsidR="00FD0E18" w:rsidRPr="000653A9">
        <w:rPr>
          <w:noProof/>
          <w:color w:val="auto"/>
        </w:rPr>
        <w:t xml:space="preserve"> </w:t>
      </w:r>
      <w:r w:rsidRPr="000653A9">
        <w:rPr>
          <w:b/>
          <w:bCs/>
          <w:noProof/>
          <w:color w:val="auto"/>
        </w:rPr>
        <w:t>free allocation for investments</w:t>
      </w:r>
      <w:r w:rsidRPr="000653A9">
        <w:rPr>
          <w:noProof/>
          <w:color w:val="auto"/>
        </w:rPr>
        <w:t xml:space="preserve"> approach (CL2), the methodology is the same as outlined in CL1 but with expanded conditionality in 2031-40 with two variants </w:t>
      </w:r>
      <w:r w:rsidR="00B245A5" w:rsidRPr="000653A9">
        <w:rPr>
          <w:noProof/>
          <w:color w:val="auto"/>
        </w:rPr>
        <w:t>to</w:t>
      </w:r>
      <w:r w:rsidRPr="000653A9">
        <w:rPr>
          <w:noProof/>
          <w:color w:val="auto"/>
        </w:rPr>
        <w:t xml:space="preserve"> assume a range of compliance amongst ETS operators.</w:t>
      </w:r>
    </w:p>
    <w:p w14:paraId="60C25D40" w14:textId="77777777" w:rsidR="00FB6CAC" w:rsidRPr="000653A9" w:rsidRDefault="00FB6CAC" w:rsidP="00CD163F">
      <w:pPr>
        <w:pStyle w:val="ListParagraph"/>
        <w:numPr>
          <w:ilvl w:val="0"/>
          <w:numId w:val="22"/>
        </w:numPr>
        <w:rPr>
          <w:noProof/>
          <w:color w:val="auto"/>
        </w:rPr>
      </w:pPr>
      <w:r w:rsidRPr="000653A9">
        <w:rPr>
          <w:noProof/>
          <w:color w:val="auto"/>
        </w:rPr>
        <w:t xml:space="preserve">Under the </w:t>
      </w:r>
      <w:r w:rsidRPr="000653A9">
        <w:rPr>
          <w:b/>
          <w:bCs/>
          <w:noProof/>
          <w:color w:val="auto"/>
        </w:rPr>
        <w:t>no free allocation from 2034</w:t>
      </w:r>
      <w:r w:rsidRPr="000653A9">
        <w:rPr>
          <w:noProof/>
          <w:color w:val="auto"/>
        </w:rPr>
        <w:t xml:space="preserve"> approach (CL3), the methodology differs from the previous policy measures as free allocation is calculated based upon a share of emissions in line with schedule phase out under this policy option.</w:t>
      </w:r>
    </w:p>
    <w:p w14:paraId="7BB3B1AD" w14:textId="09BD1949" w:rsidR="00F81849" w:rsidRDefault="00B06223" w:rsidP="00B06223">
      <w:pPr>
        <w:spacing w:before="240"/>
        <w:rPr>
          <w:noProof/>
        </w:rPr>
      </w:pPr>
      <w:bookmarkStart w:id="314" w:name="_Ref212624876"/>
      <w:r w:rsidRPr="000653A9">
        <w:rPr>
          <w:noProof/>
        </w:rPr>
        <w:t xml:space="preserve">Given that </w:t>
      </w:r>
      <w:r w:rsidR="004131C1" w:rsidRPr="000653A9">
        <w:rPr>
          <w:noProof/>
        </w:rPr>
        <w:t xml:space="preserve">each </w:t>
      </w:r>
      <w:r w:rsidRPr="000653A9">
        <w:rPr>
          <w:noProof/>
        </w:rPr>
        <w:t>policy measures under consideration in this impact assessment involve</w:t>
      </w:r>
      <w:r w:rsidR="00FF3CA1" w:rsidRPr="000653A9">
        <w:rPr>
          <w:noProof/>
        </w:rPr>
        <w:t>s</w:t>
      </w:r>
      <w:r w:rsidRPr="000653A9">
        <w:rPr>
          <w:noProof/>
        </w:rPr>
        <w:t xml:space="preserve"> a different distribution of free allowances across industry compared to the baseline, the economic impact is outlined for each scenario in the following sub-sections below by firstly summarising in a table the overall volume of free allowances that industry receives</w:t>
      </w:r>
      <w:r w:rsidR="00A53F57" w:rsidRPr="000653A9">
        <w:rPr>
          <w:noProof/>
        </w:rPr>
        <w:t>,</w:t>
      </w:r>
      <w:r w:rsidRPr="000653A9">
        <w:rPr>
          <w:noProof/>
        </w:rPr>
        <w:t xml:space="preserve"> and</w:t>
      </w:r>
      <w:r w:rsidR="00883D9A" w:rsidRPr="000653A9">
        <w:rPr>
          <w:noProof/>
        </w:rPr>
        <w:t>,</w:t>
      </w:r>
      <w:r w:rsidRPr="000653A9">
        <w:rPr>
          <w:noProof/>
        </w:rPr>
        <w:t xml:space="preserve"> secondly by illustrating in a figure how the volume of allowances is distributed across industry. </w:t>
      </w:r>
      <w:r w:rsidR="00C81DC6" w:rsidRPr="000653A9">
        <w:rPr>
          <w:noProof/>
        </w:rPr>
        <w:t xml:space="preserve">Figure </w:t>
      </w:r>
      <w:r w:rsidR="00DB5EC5">
        <w:rPr>
          <w:noProof/>
        </w:rPr>
        <w:t>2</w:t>
      </w:r>
      <w:r w:rsidR="00C81DC6" w:rsidRPr="000653A9">
        <w:rPr>
          <w:noProof/>
        </w:rPr>
        <w:t xml:space="preserve"> provides an overview of the </w:t>
      </w:r>
      <w:r w:rsidR="00627F1E" w:rsidRPr="000653A9">
        <w:rPr>
          <w:noProof/>
        </w:rPr>
        <w:t xml:space="preserve">free </w:t>
      </w:r>
      <w:r w:rsidR="00462697" w:rsidRPr="000653A9">
        <w:rPr>
          <w:noProof/>
        </w:rPr>
        <w:t>allowances</w:t>
      </w:r>
      <w:r w:rsidR="00627F1E" w:rsidRPr="000653A9">
        <w:rPr>
          <w:noProof/>
        </w:rPr>
        <w:t xml:space="preserve"> to be </w:t>
      </w:r>
      <w:r w:rsidR="00462697" w:rsidRPr="000653A9">
        <w:rPr>
          <w:noProof/>
        </w:rPr>
        <w:t>allocated under the baseline and the different policy options</w:t>
      </w:r>
      <w:r>
        <w:rPr>
          <w:noProof/>
        </w:rPr>
        <w:t>.</w:t>
      </w:r>
    </w:p>
    <w:p w14:paraId="367FAAE9" w14:textId="77777777" w:rsidR="00F81849" w:rsidRDefault="00F81849">
      <w:pPr>
        <w:spacing w:before="0" w:line="259" w:lineRule="auto"/>
        <w:rPr>
          <w:noProof/>
        </w:rPr>
      </w:pPr>
      <w:r>
        <w:rPr>
          <w:noProof/>
        </w:rPr>
        <w:br w:type="page"/>
      </w:r>
    </w:p>
    <w:p w14:paraId="76A81A0D" w14:textId="22597497" w:rsidR="00E651C3" w:rsidRPr="000653A9" w:rsidRDefault="0061407F" w:rsidP="00A45B63">
      <w:pPr>
        <w:pStyle w:val="Figuretitle"/>
        <w:rPr>
          <w:noProof/>
        </w:rPr>
      </w:pPr>
      <w:bookmarkStart w:id="315" w:name="_Toc224659135"/>
      <w:r w:rsidRPr="000653A9">
        <w:rPr>
          <w:noProof/>
        </w:rPr>
        <w:t>Total free allocation across the policy options</w:t>
      </w:r>
      <w:bookmarkEnd w:id="315"/>
    </w:p>
    <w:p w14:paraId="0540AEA3" w14:textId="77777777" w:rsidR="00CC4F87" w:rsidRDefault="00E651C3" w:rsidP="00C92FA9">
      <w:pPr>
        <w:spacing w:before="240"/>
        <w:jc w:val="center"/>
        <w:rPr>
          <w:noProof/>
        </w:rPr>
      </w:pPr>
      <w:r>
        <w:rPr>
          <w:noProof/>
          <w:lang w:eastAsia="en-GB"/>
        </w:rPr>
        <w:drawing>
          <wp:inline distT="0" distB="0" distL="0" distR="0" wp14:anchorId="6B3F70AD" wp14:editId="17E4E4E3">
            <wp:extent cx="5388209" cy="3521544"/>
            <wp:effectExtent l="0" t="0" r="3175" b="3175"/>
            <wp:docPr id="417120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83923" cy="3584099"/>
                    </a:xfrm>
                    <a:prstGeom prst="rect">
                      <a:avLst/>
                    </a:prstGeom>
                    <a:noFill/>
                  </pic:spPr>
                </pic:pic>
              </a:graphicData>
            </a:graphic>
          </wp:inline>
        </w:drawing>
      </w:r>
    </w:p>
    <w:p w14:paraId="7980621D" w14:textId="096243E0" w:rsidR="00ED14A6" w:rsidRPr="000653A9" w:rsidRDefault="0061407F" w:rsidP="0061407F">
      <w:pPr>
        <w:spacing w:before="240"/>
        <w:rPr>
          <w:i/>
          <w:iCs/>
          <w:noProof/>
          <w:sz w:val="20"/>
          <w:szCs w:val="20"/>
        </w:rPr>
      </w:pPr>
      <w:r w:rsidRPr="000653A9">
        <w:rPr>
          <w:i/>
          <w:iCs/>
          <w:noProof/>
          <w:sz w:val="20"/>
          <w:szCs w:val="20"/>
        </w:rPr>
        <w:t>Source: Preliminary NIMs dataset (2019-23), Own calculation</w:t>
      </w:r>
    </w:p>
    <w:p w14:paraId="37B445BD" w14:textId="77777777" w:rsidR="00B06223" w:rsidRPr="000653A9" w:rsidRDefault="00B06223" w:rsidP="00B06223">
      <w:pPr>
        <w:rPr>
          <w:noProof/>
        </w:rPr>
      </w:pPr>
      <w:r w:rsidRPr="000653A9">
        <w:rPr>
          <w:noProof/>
        </w:rPr>
        <w:t xml:space="preserve">While the economic impact of the policy measures on the conduct of business focuses primarily on changes in the allocation of free allowances across industry, the introduction of further conditionality under CL2 requires an assessment to quantify the potential positive impacts of requiring installations to make binding financing decisions of an equivalent value with the conditional free allocation to implement their climate neutrality plans. A share of free allocation will be made conditional on installations demonstrating that they have meaningful climate neutrality plans in place and that, by a certain deadline before the application for free allocation for the following period, have made binding financing decisions of an equivalent financial value with the conditional free allocation to implement their climate neutrality plans. </w:t>
      </w:r>
    </w:p>
    <w:p w14:paraId="19E4424C" w14:textId="2A91E218" w:rsidR="00B06223" w:rsidRPr="000653A9" w:rsidRDefault="00B06223" w:rsidP="00B06223">
      <w:pPr>
        <w:rPr>
          <w:noProof/>
        </w:rPr>
      </w:pPr>
      <w:r w:rsidRPr="000653A9">
        <w:rPr>
          <w:noProof/>
        </w:rPr>
        <w:t xml:space="preserve">The estimation of free allocation volumes in this analysis over 2031-40 is a simplification as it relies upon the assumption that activity levels remain constant at 2023 levels for the entirety of Phase V. </w:t>
      </w:r>
    </w:p>
    <w:p w14:paraId="64D020E5" w14:textId="62EEC90E" w:rsidR="00B06223" w:rsidRPr="000653A9" w:rsidRDefault="00B06223" w:rsidP="00B06223">
      <w:pPr>
        <w:rPr>
          <w:noProof/>
        </w:rPr>
      </w:pPr>
      <w:r w:rsidRPr="000653A9">
        <w:rPr>
          <w:noProof/>
        </w:rPr>
        <w:t xml:space="preserve">The policy measures were designed to apply to sectors not currently covered by the CBAM. The rationale for this was that a phase out of free allocation for CBAM sectors was already legislated for under the CBAM regulation and the focus of the impact assessment was on how best to reform free allocation for the remaining sectors. </w:t>
      </w:r>
    </w:p>
    <w:p w14:paraId="0FDCD75D" w14:textId="75C0CCD9" w:rsidR="00DA7828" w:rsidRPr="000653A9" w:rsidRDefault="00B06223" w:rsidP="00DA7828">
      <w:pPr>
        <w:rPr>
          <w:noProof/>
        </w:rPr>
      </w:pPr>
      <w:r w:rsidRPr="000653A9">
        <w:rPr>
          <w:noProof/>
        </w:rPr>
        <w:t xml:space="preserve">The analysis then concludes by summarising the relative changes in the volume of free allocation and its distribution across industry and then converted the allowances into a monetary value by applying an average EUA price projected for the 2031-40 </w:t>
      </w:r>
      <w:r w:rsidR="000511B3" w:rsidRPr="000653A9">
        <w:rPr>
          <w:noProof/>
        </w:rPr>
        <w:t>period</w:t>
      </w:r>
      <w:r w:rsidRPr="000653A9">
        <w:rPr>
          <w:noProof/>
        </w:rPr>
        <w:t xml:space="preserve"> to quantify the potential economic impact on the conduct of business. </w:t>
      </w:r>
      <w:bookmarkStart w:id="316" w:name="_Ref212624955"/>
      <w:bookmarkStart w:id="317" w:name="_Ref212624950"/>
      <w:bookmarkEnd w:id="314"/>
    </w:p>
    <w:p w14:paraId="76939CC4" w14:textId="77777777" w:rsidR="00BF73CF" w:rsidRPr="000653A9" w:rsidRDefault="00BF73CF" w:rsidP="00BF73CF">
      <w:pPr>
        <w:spacing w:before="240"/>
        <w:rPr>
          <w:i/>
          <w:iCs/>
          <w:noProof/>
          <w:u w:val="single"/>
        </w:rPr>
      </w:pPr>
      <w:r w:rsidRPr="000653A9">
        <w:rPr>
          <w:i/>
          <w:iCs/>
          <w:noProof/>
          <w:u w:val="single"/>
        </w:rPr>
        <w:t>Baseline</w:t>
      </w:r>
    </w:p>
    <w:p w14:paraId="17F20351" w14:textId="26B617DF" w:rsidR="00BF73CF" w:rsidRPr="000653A9" w:rsidRDefault="00C149CC" w:rsidP="00BF73CF">
      <w:pPr>
        <w:rPr>
          <w:noProof/>
        </w:rPr>
      </w:pPr>
      <w:r w:rsidRPr="000653A9">
        <w:rPr>
          <w:noProof/>
        </w:rPr>
        <w:t xml:space="preserve">Table </w:t>
      </w:r>
      <w:r w:rsidR="00116434" w:rsidRPr="000653A9">
        <w:rPr>
          <w:noProof/>
        </w:rPr>
        <w:t>5</w:t>
      </w:r>
      <w:r w:rsidR="00BF73CF" w:rsidRPr="000653A9">
        <w:rPr>
          <w:noProof/>
        </w:rPr>
        <w:t xml:space="preserve"> shows that the overall budget for free allocation between 2031-40 in the baseline. The starting point for the estimation is the free allocation budget, which is set based upon the ETS cap and the share of it reserved for free allocation. In the baseline, the total free allocation budget is assumed to be </w:t>
      </w:r>
      <w:r>
        <w:rPr>
          <w:noProof/>
        </w:rPr>
        <w:t>1,453</w:t>
      </w:r>
      <w:r w:rsidR="00BF73CF" w:rsidRPr="000653A9">
        <w:rPr>
          <w:noProof/>
        </w:rPr>
        <w:t xml:space="preserve"> M EUAs over 2031-40. The preliminary free allocation was then calculated following a bottom-up approach (see discussion above) and this resulted in a total of </w:t>
      </w:r>
      <w:r>
        <w:rPr>
          <w:noProof/>
        </w:rPr>
        <w:t>3,417</w:t>
      </w:r>
      <w:r w:rsidR="00BF73CF" w:rsidRPr="000653A9">
        <w:rPr>
          <w:noProof/>
        </w:rPr>
        <w:t xml:space="preserve"> M EUAs over 2031-40. As the preliminary allocation exceeded the free allocation budget, the CSCF was progressively applied over the </w:t>
      </w:r>
      <w:r w:rsidR="000511B3" w:rsidRPr="000653A9">
        <w:rPr>
          <w:noProof/>
        </w:rPr>
        <w:t>period</w:t>
      </w:r>
      <w:r w:rsidR="00BF73CF" w:rsidRPr="000653A9">
        <w:rPr>
          <w:noProof/>
        </w:rPr>
        <w:t xml:space="preserve"> with the value declining rapidly from </w:t>
      </w:r>
      <w:r>
        <w:rPr>
          <w:noProof/>
        </w:rPr>
        <w:t>0.55</w:t>
      </w:r>
      <w:r w:rsidR="00431B8F" w:rsidRPr="000653A9">
        <w:rPr>
          <w:noProof/>
        </w:rPr>
        <w:t xml:space="preserve"> </w:t>
      </w:r>
      <w:r w:rsidR="00BF73CF" w:rsidRPr="000653A9">
        <w:rPr>
          <w:noProof/>
        </w:rPr>
        <w:t xml:space="preserve">in 2034 to </w:t>
      </w:r>
      <w:r>
        <w:rPr>
          <w:noProof/>
        </w:rPr>
        <w:t>0</w:t>
      </w:r>
      <w:r w:rsidR="00BF73CF" w:rsidRPr="000653A9">
        <w:rPr>
          <w:noProof/>
        </w:rPr>
        <w:t xml:space="preserve"> by 2040. The application of the CSCF allows the final free allocation budget to not exceed the free allocation budget for the 2031-40 </w:t>
      </w:r>
      <w:r w:rsidR="000511B3" w:rsidRPr="000653A9">
        <w:rPr>
          <w:noProof/>
        </w:rPr>
        <w:t>period</w:t>
      </w:r>
      <w:r w:rsidR="00BF73CF" w:rsidRPr="000653A9">
        <w:rPr>
          <w:noProof/>
        </w:rPr>
        <w:t xml:space="preserve">. In a final step, the CBAM factor was applied over Phase V for sub-installations covered by the CBAM and this reduced the total free allocation over 2031-40 to </w:t>
      </w:r>
      <w:r>
        <w:rPr>
          <w:noProof/>
        </w:rPr>
        <w:t>778</w:t>
      </w:r>
      <w:r w:rsidRPr="000653A9">
        <w:rPr>
          <w:noProof/>
        </w:rPr>
        <w:t xml:space="preserve"> </w:t>
      </w:r>
      <w:r w:rsidR="00BF73CF" w:rsidRPr="000653A9">
        <w:rPr>
          <w:noProof/>
        </w:rPr>
        <w:t xml:space="preserve">M EUAs in the baseline. </w:t>
      </w:r>
    </w:p>
    <w:p w14:paraId="3B71B528" w14:textId="32BE8015" w:rsidR="006B22FD" w:rsidRPr="000653A9" w:rsidRDefault="00BF73CF" w:rsidP="00A45B63">
      <w:pPr>
        <w:pStyle w:val="Tabletitle"/>
        <w:rPr>
          <w:noProof/>
        </w:rPr>
      </w:pPr>
      <w:bookmarkStart w:id="318" w:name="_Toc232003569"/>
      <w:bookmarkStart w:id="319" w:name="_Toc234435108"/>
      <w:r w:rsidRPr="000653A9">
        <w:rPr>
          <w:noProof/>
        </w:rPr>
        <w:t>Estimation of the total volume of free allowances available under the baseline for 2031-</w:t>
      </w:r>
      <w:bookmarkEnd w:id="318"/>
      <w:r>
        <w:rPr>
          <w:noProof/>
        </w:rPr>
        <w:t>2040</w:t>
      </w:r>
      <w:bookmarkEnd w:id="319"/>
    </w:p>
    <w:p w14:paraId="514476B3" w14:textId="77777777" w:rsidR="00CC4F87" w:rsidRDefault="00CC4F87" w:rsidP="00C92FA9">
      <w:pPr>
        <w:jc w:val="center"/>
        <w:rPr>
          <w:noProof/>
        </w:rPr>
      </w:pPr>
    </w:p>
    <w:tbl>
      <w:tblPr>
        <w:tblStyle w:val="RicardoTabl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56"/>
        <w:gridCol w:w="656"/>
        <w:gridCol w:w="656"/>
        <w:gridCol w:w="656"/>
        <w:gridCol w:w="656"/>
        <w:gridCol w:w="656"/>
        <w:gridCol w:w="656"/>
        <w:gridCol w:w="656"/>
        <w:gridCol w:w="656"/>
        <w:gridCol w:w="656"/>
      </w:tblGrid>
      <w:tr w:rsidR="006B22FD" w:rsidRPr="000653A9" w14:paraId="58CAE696" w14:textId="77777777" w:rsidTr="006B22FD">
        <w:trPr>
          <w:cnfStyle w:val="100000000000" w:firstRow="1" w:lastRow="0" w:firstColumn="0" w:lastColumn="0" w:oddVBand="0" w:evenVBand="0" w:oddHBand="0" w:evenHBand="0" w:firstRowFirstColumn="0" w:firstRowLastColumn="0" w:lastRowFirstColumn="0" w:lastRowLastColumn="0"/>
          <w:jc w:val="center"/>
        </w:trPr>
        <w:tc>
          <w:tcPr>
            <w:tcW w:w="0" w:type="auto"/>
          </w:tcPr>
          <w:p w14:paraId="7823D759" w14:textId="77777777" w:rsidR="006B22FD" w:rsidRPr="000653A9" w:rsidRDefault="006B22FD" w:rsidP="00253145">
            <w:pPr>
              <w:spacing w:before="40" w:after="0"/>
              <w:rPr>
                <w:noProof/>
                <w:color w:val="auto"/>
                <w:sz w:val="22"/>
                <w:szCs w:val="22"/>
              </w:rPr>
            </w:pPr>
          </w:p>
        </w:tc>
        <w:tc>
          <w:tcPr>
            <w:tcW w:w="0" w:type="auto"/>
          </w:tcPr>
          <w:p w14:paraId="12097476" w14:textId="77777777" w:rsidR="006B22FD" w:rsidRPr="000653A9" w:rsidRDefault="006B22FD" w:rsidP="00253145">
            <w:pPr>
              <w:spacing w:before="40" w:after="0"/>
              <w:rPr>
                <w:noProof/>
                <w:color w:val="auto"/>
                <w:sz w:val="22"/>
                <w:szCs w:val="22"/>
              </w:rPr>
            </w:pPr>
            <w:r>
              <w:rPr>
                <w:noProof/>
                <w:color w:val="auto"/>
                <w:sz w:val="22"/>
                <w:szCs w:val="22"/>
              </w:rPr>
              <w:t>2031</w:t>
            </w:r>
          </w:p>
        </w:tc>
        <w:tc>
          <w:tcPr>
            <w:tcW w:w="0" w:type="auto"/>
          </w:tcPr>
          <w:p w14:paraId="0FC5818D" w14:textId="77777777" w:rsidR="006B22FD" w:rsidRPr="000653A9" w:rsidRDefault="006B22FD" w:rsidP="00253145">
            <w:pPr>
              <w:spacing w:before="40" w:after="0"/>
              <w:rPr>
                <w:noProof/>
                <w:color w:val="auto"/>
                <w:sz w:val="22"/>
                <w:szCs w:val="22"/>
              </w:rPr>
            </w:pPr>
            <w:r>
              <w:rPr>
                <w:noProof/>
                <w:color w:val="auto"/>
                <w:sz w:val="22"/>
                <w:szCs w:val="22"/>
              </w:rPr>
              <w:t>2032</w:t>
            </w:r>
          </w:p>
        </w:tc>
        <w:tc>
          <w:tcPr>
            <w:tcW w:w="0" w:type="auto"/>
          </w:tcPr>
          <w:p w14:paraId="2707B7EB" w14:textId="77777777" w:rsidR="006B22FD" w:rsidRPr="000653A9" w:rsidRDefault="006B22FD" w:rsidP="00253145">
            <w:pPr>
              <w:spacing w:before="40" w:after="0"/>
              <w:rPr>
                <w:noProof/>
                <w:color w:val="auto"/>
                <w:sz w:val="22"/>
                <w:szCs w:val="22"/>
              </w:rPr>
            </w:pPr>
            <w:r>
              <w:rPr>
                <w:noProof/>
                <w:color w:val="auto"/>
                <w:sz w:val="22"/>
                <w:szCs w:val="22"/>
              </w:rPr>
              <w:t>2033</w:t>
            </w:r>
          </w:p>
        </w:tc>
        <w:tc>
          <w:tcPr>
            <w:tcW w:w="0" w:type="auto"/>
          </w:tcPr>
          <w:p w14:paraId="6E2786F6" w14:textId="77777777" w:rsidR="006B22FD" w:rsidRPr="000653A9" w:rsidRDefault="006B22FD" w:rsidP="00253145">
            <w:pPr>
              <w:spacing w:before="40" w:after="0"/>
              <w:rPr>
                <w:noProof/>
                <w:color w:val="auto"/>
                <w:sz w:val="22"/>
                <w:szCs w:val="22"/>
              </w:rPr>
            </w:pPr>
            <w:r>
              <w:rPr>
                <w:noProof/>
                <w:color w:val="auto"/>
                <w:sz w:val="22"/>
                <w:szCs w:val="22"/>
              </w:rPr>
              <w:t>2034</w:t>
            </w:r>
          </w:p>
        </w:tc>
        <w:tc>
          <w:tcPr>
            <w:tcW w:w="0" w:type="auto"/>
          </w:tcPr>
          <w:p w14:paraId="7D718E57" w14:textId="77777777" w:rsidR="006B22FD" w:rsidRPr="000653A9" w:rsidRDefault="006B22FD" w:rsidP="00253145">
            <w:pPr>
              <w:spacing w:before="40" w:after="0"/>
              <w:rPr>
                <w:noProof/>
                <w:color w:val="auto"/>
                <w:sz w:val="22"/>
                <w:szCs w:val="22"/>
              </w:rPr>
            </w:pPr>
            <w:r>
              <w:rPr>
                <w:noProof/>
                <w:color w:val="auto"/>
                <w:sz w:val="22"/>
                <w:szCs w:val="22"/>
              </w:rPr>
              <w:t>2035</w:t>
            </w:r>
          </w:p>
        </w:tc>
        <w:tc>
          <w:tcPr>
            <w:tcW w:w="0" w:type="auto"/>
          </w:tcPr>
          <w:p w14:paraId="086E8CEE" w14:textId="77777777" w:rsidR="006B22FD" w:rsidRPr="000653A9" w:rsidRDefault="006B22FD" w:rsidP="00253145">
            <w:pPr>
              <w:spacing w:before="40" w:after="0"/>
              <w:rPr>
                <w:noProof/>
                <w:color w:val="auto"/>
                <w:sz w:val="22"/>
                <w:szCs w:val="22"/>
              </w:rPr>
            </w:pPr>
            <w:r>
              <w:rPr>
                <w:noProof/>
                <w:color w:val="auto"/>
                <w:sz w:val="22"/>
                <w:szCs w:val="22"/>
              </w:rPr>
              <w:t>2036</w:t>
            </w:r>
          </w:p>
        </w:tc>
        <w:tc>
          <w:tcPr>
            <w:tcW w:w="0" w:type="auto"/>
          </w:tcPr>
          <w:p w14:paraId="14213A8A" w14:textId="77777777" w:rsidR="006B22FD" w:rsidRPr="000653A9" w:rsidRDefault="006B22FD" w:rsidP="00253145">
            <w:pPr>
              <w:spacing w:before="40" w:after="0"/>
              <w:rPr>
                <w:noProof/>
                <w:color w:val="auto"/>
                <w:sz w:val="22"/>
                <w:szCs w:val="22"/>
              </w:rPr>
            </w:pPr>
            <w:r>
              <w:rPr>
                <w:noProof/>
                <w:color w:val="auto"/>
                <w:sz w:val="22"/>
                <w:szCs w:val="22"/>
              </w:rPr>
              <w:t>2037</w:t>
            </w:r>
          </w:p>
        </w:tc>
        <w:tc>
          <w:tcPr>
            <w:tcW w:w="0" w:type="auto"/>
          </w:tcPr>
          <w:p w14:paraId="59CF7CD3" w14:textId="77777777" w:rsidR="006B22FD" w:rsidRPr="000653A9" w:rsidRDefault="006B22FD" w:rsidP="00253145">
            <w:pPr>
              <w:spacing w:before="40" w:after="0"/>
              <w:rPr>
                <w:noProof/>
                <w:color w:val="auto"/>
                <w:sz w:val="22"/>
                <w:szCs w:val="22"/>
              </w:rPr>
            </w:pPr>
            <w:r>
              <w:rPr>
                <w:noProof/>
                <w:color w:val="auto"/>
                <w:sz w:val="22"/>
                <w:szCs w:val="22"/>
              </w:rPr>
              <w:t>2038</w:t>
            </w:r>
          </w:p>
        </w:tc>
        <w:tc>
          <w:tcPr>
            <w:tcW w:w="0" w:type="auto"/>
          </w:tcPr>
          <w:p w14:paraId="07F48971" w14:textId="77777777" w:rsidR="006B22FD" w:rsidRPr="000653A9" w:rsidRDefault="006B22FD" w:rsidP="00253145">
            <w:pPr>
              <w:spacing w:before="40" w:after="0"/>
              <w:rPr>
                <w:noProof/>
                <w:color w:val="auto"/>
                <w:sz w:val="22"/>
                <w:szCs w:val="22"/>
              </w:rPr>
            </w:pPr>
            <w:r>
              <w:rPr>
                <w:noProof/>
                <w:color w:val="auto"/>
                <w:sz w:val="22"/>
                <w:szCs w:val="22"/>
              </w:rPr>
              <w:t>2039</w:t>
            </w:r>
          </w:p>
        </w:tc>
        <w:tc>
          <w:tcPr>
            <w:tcW w:w="0" w:type="auto"/>
          </w:tcPr>
          <w:p w14:paraId="4B495EE9" w14:textId="77777777" w:rsidR="006B22FD" w:rsidRPr="000653A9" w:rsidRDefault="006B22FD" w:rsidP="00253145">
            <w:pPr>
              <w:spacing w:before="40" w:after="0"/>
              <w:rPr>
                <w:noProof/>
                <w:color w:val="auto"/>
                <w:sz w:val="22"/>
                <w:szCs w:val="22"/>
              </w:rPr>
            </w:pPr>
            <w:r>
              <w:rPr>
                <w:noProof/>
                <w:color w:val="auto"/>
                <w:sz w:val="22"/>
                <w:szCs w:val="22"/>
              </w:rPr>
              <w:t>2040</w:t>
            </w:r>
          </w:p>
        </w:tc>
      </w:tr>
      <w:tr w:rsidR="006B22FD" w:rsidRPr="000653A9" w14:paraId="32FD1B0D" w14:textId="77777777" w:rsidTr="006B22FD">
        <w:trPr>
          <w:jc w:val="center"/>
        </w:trPr>
        <w:tc>
          <w:tcPr>
            <w:tcW w:w="0" w:type="auto"/>
          </w:tcPr>
          <w:p w14:paraId="7AFCEF71" w14:textId="77777777" w:rsidR="006B22FD" w:rsidRPr="000653A9" w:rsidRDefault="006B22FD" w:rsidP="00253145">
            <w:pPr>
              <w:spacing w:before="40" w:after="0"/>
              <w:rPr>
                <w:noProof/>
                <w:color w:val="auto"/>
                <w:sz w:val="22"/>
                <w:szCs w:val="22"/>
              </w:rPr>
            </w:pPr>
            <w:r>
              <w:rPr>
                <w:noProof/>
                <w:color w:val="auto"/>
                <w:sz w:val="22"/>
                <w:szCs w:val="22"/>
              </w:rPr>
              <w:t>FA Budget</w:t>
            </w:r>
          </w:p>
        </w:tc>
        <w:tc>
          <w:tcPr>
            <w:tcW w:w="0" w:type="auto"/>
          </w:tcPr>
          <w:p w14:paraId="547AB1EB" w14:textId="77777777" w:rsidR="006B22FD" w:rsidRPr="000653A9" w:rsidRDefault="006B22FD" w:rsidP="00253145">
            <w:pPr>
              <w:spacing w:before="40" w:after="0"/>
              <w:jc w:val="center"/>
              <w:rPr>
                <w:noProof/>
                <w:color w:val="auto"/>
                <w:sz w:val="22"/>
                <w:szCs w:val="22"/>
              </w:rPr>
            </w:pPr>
            <w:r>
              <w:rPr>
                <w:noProof/>
                <w:color w:val="auto"/>
                <w:sz w:val="22"/>
                <w:szCs w:val="22"/>
              </w:rPr>
              <w:t>316</w:t>
            </w:r>
          </w:p>
        </w:tc>
        <w:tc>
          <w:tcPr>
            <w:tcW w:w="0" w:type="auto"/>
          </w:tcPr>
          <w:p w14:paraId="0208658F" w14:textId="77777777" w:rsidR="006B22FD" w:rsidRPr="000653A9" w:rsidRDefault="006B22FD" w:rsidP="00253145">
            <w:pPr>
              <w:spacing w:before="40" w:after="0"/>
              <w:jc w:val="center"/>
              <w:rPr>
                <w:noProof/>
                <w:color w:val="auto"/>
                <w:sz w:val="22"/>
                <w:szCs w:val="22"/>
              </w:rPr>
            </w:pPr>
            <w:r>
              <w:rPr>
                <w:noProof/>
                <w:color w:val="auto"/>
                <w:sz w:val="22"/>
                <w:szCs w:val="22"/>
              </w:rPr>
              <w:t>278</w:t>
            </w:r>
          </w:p>
        </w:tc>
        <w:tc>
          <w:tcPr>
            <w:tcW w:w="0" w:type="auto"/>
          </w:tcPr>
          <w:p w14:paraId="172CC29E" w14:textId="77777777" w:rsidR="006B22FD" w:rsidRPr="000653A9" w:rsidRDefault="006B22FD" w:rsidP="00253145">
            <w:pPr>
              <w:spacing w:before="40" w:after="0"/>
              <w:jc w:val="center"/>
              <w:rPr>
                <w:noProof/>
                <w:color w:val="auto"/>
                <w:sz w:val="22"/>
                <w:szCs w:val="22"/>
              </w:rPr>
            </w:pPr>
            <w:r>
              <w:rPr>
                <w:noProof/>
                <w:color w:val="auto"/>
                <w:sz w:val="22"/>
                <w:szCs w:val="22"/>
              </w:rPr>
              <w:t>239</w:t>
            </w:r>
          </w:p>
        </w:tc>
        <w:tc>
          <w:tcPr>
            <w:tcW w:w="0" w:type="auto"/>
          </w:tcPr>
          <w:p w14:paraId="2B32EC90" w14:textId="77777777" w:rsidR="006B22FD" w:rsidRPr="000653A9" w:rsidRDefault="006B22FD" w:rsidP="00253145">
            <w:pPr>
              <w:spacing w:before="40" w:after="0"/>
              <w:jc w:val="center"/>
              <w:rPr>
                <w:noProof/>
                <w:color w:val="auto"/>
                <w:sz w:val="22"/>
                <w:szCs w:val="22"/>
              </w:rPr>
            </w:pPr>
            <w:r>
              <w:rPr>
                <w:noProof/>
                <w:color w:val="auto"/>
                <w:sz w:val="22"/>
                <w:szCs w:val="22"/>
              </w:rPr>
              <w:t>200</w:t>
            </w:r>
          </w:p>
        </w:tc>
        <w:tc>
          <w:tcPr>
            <w:tcW w:w="0" w:type="auto"/>
          </w:tcPr>
          <w:p w14:paraId="5BAA0D87" w14:textId="77777777" w:rsidR="006B22FD" w:rsidRPr="000653A9" w:rsidRDefault="006B22FD" w:rsidP="00253145">
            <w:pPr>
              <w:spacing w:before="40" w:after="0"/>
              <w:jc w:val="center"/>
              <w:rPr>
                <w:noProof/>
                <w:color w:val="auto"/>
                <w:sz w:val="22"/>
                <w:szCs w:val="22"/>
              </w:rPr>
            </w:pPr>
            <w:r>
              <w:rPr>
                <w:noProof/>
                <w:color w:val="auto"/>
                <w:sz w:val="22"/>
                <w:szCs w:val="22"/>
              </w:rPr>
              <w:t>161</w:t>
            </w:r>
          </w:p>
        </w:tc>
        <w:tc>
          <w:tcPr>
            <w:tcW w:w="0" w:type="auto"/>
          </w:tcPr>
          <w:p w14:paraId="25D5DD3F" w14:textId="77777777" w:rsidR="006B22FD" w:rsidRPr="000653A9" w:rsidRDefault="006B22FD" w:rsidP="00253145">
            <w:pPr>
              <w:spacing w:before="40" w:after="0"/>
              <w:jc w:val="center"/>
              <w:rPr>
                <w:noProof/>
                <w:color w:val="auto"/>
                <w:sz w:val="22"/>
                <w:szCs w:val="22"/>
              </w:rPr>
            </w:pPr>
            <w:r>
              <w:rPr>
                <w:noProof/>
                <w:color w:val="auto"/>
                <w:sz w:val="22"/>
                <w:szCs w:val="22"/>
              </w:rPr>
              <w:t>123</w:t>
            </w:r>
          </w:p>
        </w:tc>
        <w:tc>
          <w:tcPr>
            <w:tcW w:w="0" w:type="auto"/>
          </w:tcPr>
          <w:p w14:paraId="18956E44" w14:textId="77777777" w:rsidR="006B22FD" w:rsidRPr="000653A9" w:rsidRDefault="006B22FD" w:rsidP="00253145">
            <w:pPr>
              <w:spacing w:before="40" w:after="0"/>
              <w:jc w:val="center"/>
              <w:rPr>
                <w:noProof/>
                <w:color w:val="auto"/>
                <w:sz w:val="22"/>
                <w:szCs w:val="22"/>
              </w:rPr>
            </w:pPr>
            <w:r>
              <w:rPr>
                <w:noProof/>
                <w:color w:val="auto"/>
                <w:sz w:val="22"/>
                <w:szCs w:val="22"/>
              </w:rPr>
              <w:t>84</w:t>
            </w:r>
          </w:p>
        </w:tc>
        <w:tc>
          <w:tcPr>
            <w:tcW w:w="0" w:type="auto"/>
          </w:tcPr>
          <w:p w14:paraId="37B3D8E8" w14:textId="77777777" w:rsidR="006B22FD" w:rsidRPr="000653A9" w:rsidRDefault="006B22FD" w:rsidP="00253145">
            <w:pPr>
              <w:spacing w:before="40" w:after="0"/>
              <w:jc w:val="center"/>
              <w:rPr>
                <w:noProof/>
                <w:color w:val="auto"/>
                <w:sz w:val="22"/>
                <w:szCs w:val="22"/>
              </w:rPr>
            </w:pPr>
            <w:r>
              <w:rPr>
                <w:noProof/>
                <w:color w:val="auto"/>
                <w:sz w:val="22"/>
                <w:szCs w:val="22"/>
              </w:rPr>
              <w:t>45</w:t>
            </w:r>
          </w:p>
        </w:tc>
        <w:tc>
          <w:tcPr>
            <w:tcW w:w="0" w:type="auto"/>
          </w:tcPr>
          <w:p w14:paraId="09950A96" w14:textId="77777777" w:rsidR="006B22FD" w:rsidRPr="000653A9" w:rsidRDefault="006B22FD" w:rsidP="00253145">
            <w:pPr>
              <w:spacing w:before="40" w:after="0"/>
              <w:jc w:val="center"/>
              <w:rPr>
                <w:noProof/>
                <w:color w:val="auto"/>
                <w:sz w:val="22"/>
                <w:szCs w:val="22"/>
              </w:rPr>
            </w:pPr>
            <w:r>
              <w:rPr>
                <w:noProof/>
                <w:color w:val="auto"/>
                <w:sz w:val="22"/>
                <w:szCs w:val="22"/>
              </w:rPr>
              <w:t>7</w:t>
            </w:r>
          </w:p>
        </w:tc>
        <w:tc>
          <w:tcPr>
            <w:tcW w:w="0" w:type="auto"/>
          </w:tcPr>
          <w:p w14:paraId="35C3C8DA" w14:textId="77777777" w:rsidR="006B22FD" w:rsidRPr="000653A9" w:rsidRDefault="006B22FD" w:rsidP="00253145">
            <w:pPr>
              <w:spacing w:before="40" w:after="0"/>
              <w:jc w:val="center"/>
              <w:rPr>
                <w:noProof/>
                <w:color w:val="auto"/>
                <w:sz w:val="22"/>
                <w:szCs w:val="22"/>
              </w:rPr>
            </w:pPr>
            <w:r>
              <w:rPr>
                <w:noProof/>
                <w:color w:val="auto"/>
                <w:sz w:val="22"/>
                <w:szCs w:val="22"/>
              </w:rPr>
              <w:t>0</w:t>
            </w:r>
          </w:p>
        </w:tc>
      </w:tr>
      <w:tr w:rsidR="006B22FD" w:rsidRPr="000653A9" w14:paraId="5DA51171" w14:textId="77777777" w:rsidTr="006B22FD">
        <w:trPr>
          <w:jc w:val="center"/>
        </w:trPr>
        <w:tc>
          <w:tcPr>
            <w:tcW w:w="0" w:type="auto"/>
          </w:tcPr>
          <w:p w14:paraId="3303A2FB" w14:textId="77777777" w:rsidR="006B22FD" w:rsidRPr="000653A9" w:rsidRDefault="006B22FD" w:rsidP="00253145">
            <w:pPr>
              <w:spacing w:before="40" w:after="0"/>
              <w:rPr>
                <w:noProof/>
                <w:color w:val="auto"/>
                <w:sz w:val="22"/>
                <w:szCs w:val="22"/>
              </w:rPr>
            </w:pPr>
            <w:r>
              <w:rPr>
                <w:noProof/>
                <w:color w:val="auto"/>
                <w:sz w:val="22"/>
                <w:szCs w:val="22"/>
              </w:rPr>
              <w:t>FA (Preliminary)</w:t>
            </w:r>
          </w:p>
        </w:tc>
        <w:tc>
          <w:tcPr>
            <w:tcW w:w="0" w:type="auto"/>
          </w:tcPr>
          <w:p w14:paraId="2D90482F" w14:textId="77777777" w:rsidR="006B22FD" w:rsidRPr="000653A9" w:rsidRDefault="006B22FD" w:rsidP="00253145">
            <w:pPr>
              <w:spacing w:before="40" w:after="0"/>
              <w:jc w:val="center"/>
              <w:rPr>
                <w:noProof/>
                <w:color w:val="auto"/>
                <w:sz w:val="22"/>
                <w:szCs w:val="22"/>
              </w:rPr>
            </w:pPr>
            <w:r>
              <w:rPr>
                <w:noProof/>
                <w:color w:val="auto"/>
                <w:sz w:val="22"/>
                <w:szCs w:val="22"/>
              </w:rPr>
              <w:t>366</w:t>
            </w:r>
          </w:p>
        </w:tc>
        <w:tc>
          <w:tcPr>
            <w:tcW w:w="0" w:type="auto"/>
          </w:tcPr>
          <w:p w14:paraId="132DF41D" w14:textId="77777777" w:rsidR="006B22FD" w:rsidRPr="000653A9" w:rsidRDefault="006B22FD" w:rsidP="00253145">
            <w:pPr>
              <w:spacing w:before="40" w:after="0"/>
              <w:jc w:val="center"/>
              <w:rPr>
                <w:noProof/>
                <w:color w:val="auto"/>
                <w:sz w:val="22"/>
                <w:szCs w:val="22"/>
              </w:rPr>
            </w:pPr>
            <w:r>
              <w:rPr>
                <w:noProof/>
                <w:color w:val="auto"/>
                <w:sz w:val="22"/>
                <w:szCs w:val="22"/>
              </w:rPr>
              <w:t>366</w:t>
            </w:r>
          </w:p>
        </w:tc>
        <w:tc>
          <w:tcPr>
            <w:tcW w:w="0" w:type="auto"/>
          </w:tcPr>
          <w:p w14:paraId="64FAC97C" w14:textId="77777777" w:rsidR="006B22FD" w:rsidRPr="000653A9" w:rsidRDefault="006B22FD" w:rsidP="00253145">
            <w:pPr>
              <w:spacing w:before="40" w:after="0"/>
              <w:jc w:val="center"/>
              <w:rPr>
                <w:noProof/>
                <w:color w:val="auto"/>
                <w:sz w:val="22"/>
                <w:szCs w:val="22"/>
              </w:rPr>
            </w:pPr>
            <w:r>
              <w:rPr>
                <w:noProof/>
                <w:color w:val="auto"/>
                <w:sz w:val="22"/>
                <w:szCs w:val="22"/>
              </w:rPr>
              <w:t>366</w:t>
            </w:r>
          </w:p>
        </w:tc>
        <w:tc>
          <w:tcPr>
            <w:tcW w:w="0" w:type="auto"/>
          </w:tcPr>
          <w:p w14:paraId="041088CB" w14:textId="77777777" w:rsidR="006B22FD" w:rsidRPr="000653A9" w:rsidRDefault="006B22FD" w:rsidP="00253145">
            <w:pPr>
              <w:spacing w:before="40" w:after="0"/>
              <w:jc w:val="center"/>
              <w:rPr>
                <w:noProof/>
                <w:color w:val="auto"/>
                <w:sz w:val="22"/>
                <w:szCs w:val="22"/>
              </w:rPr>
            </w:pPr>
            <w:r>
              <w:rPr>
                <w:noProof/>
                <w:color w:val="auto"/>
                <w:sz w:val="22"/>
                <w:szCs w:val="22"/>
              </w:rPr>
              <w:t>365</w:t>
            </w:r>
          </w:p>
        </w:tc>
        <w:tc>
          <w:tcPr>
            <w:tcW w:w="0" w:type="auto"/>
          </w:tcPr>
          <w:p w14:paraId="095C990F" w14:textId="77777777" w:rsidR="006B22FD" w:rsidRPr="000653A9" w:rsidRDefault="006B22FD" w:rsidP="00253145">
            <w:pPr>
              <w:spacing w:before="40" w:after="0"/>
              <w:jc w:val="center"/>
              <w:rPr>
                <w:noProof/>
                <w:color w:val="auto"/>
                <w:sz w:val="22"/>
                <w:szCs w:val="22"/>
              </w:rPr>
            </w:pPr>
            <w:r>
              <w:rPr>
                <w:noProof/>
                <w:color w:val="auto"/>
                <w:sz w:val="22"/>
                <w:szCs w:val="22"/>
              </w:rPr>
              <w:t>365</w:t>
            </w:r>
          </w:p>
        </w:tc>
        <w:tc>
          <w:tcPr>
            <w:tcW w:w="0" w:type="auto"/>
          </w:tcPr>
          <w:p w14:paraId="4068889A" w14:textId="77777777" w:rsidR="006B22FD" w:rsidRPr="000653A9" w:rsidRDefault="006B22FD" w:rsidP="00253145">
            <w:pPr>
              <w:spacing w:before="40" w:after="0"/>
              <w:jc w:val="center"/>
              <w:rPr>
                <w:noProof/>
                <w:color w:val="auto"/>
                <w:sz w:val="22"/>
                <w:szCs w:val="22"/>
              </w:rPr>
            </w:pPr>
            <w:r>
              <w:rPr>
                <w:noProof/>
                <w:color w:val="auto"/>
                <w:sz w:val="22"/>
                <w:szCs w:val="22"/>
              </w:rPr>
              <w:t>318</w:t>
            </w:r>
          </w:p>
        </w:tc>
        <w:tc>
          <w:tcPr>
            <w:tcW w:w="0" w:type="auto"/>
          </w:tcPr>
          <w:p w14:paraId="054D3F9C" w14:textId="77777777" w:rsidR="006B22FD" w:rsidRPr="000653A9" w:rsidRDefault="006B22FD" w:rsidP="00253145">
            <w:pPr>
              <w:spacing w:before="40" w:after="0"/>
              <w:jc w:val="center"/>
              <w:rPr>
                <w:noProof/>
                <w:color w:val="auto"/>
                <w:sz w:val="22"/>
                <w:szCs w:val="22"/>
              </w:rPr>
            </w:pPr>
            <w:r>
              <w:rPr>
                <w:noProof/>
                <w:color w:val="auto"/>
                <w:sz w:val="22"/>
                <w:szCs w:val="22"/>
              </w:rPr>
              <w:t>318</w:t>
            </w:r>
          </w:p>
        </w:tc>
        <w:tc>
          <w:tcPr>
            <w:tcW w:w="0" w:type="auto"/>
          </w:tcPr>
          <w:p w14:paraId="7F8DF7F8" w14:textId="77777777" w:rsidR="006B22FD" w:rsidRPr="000653A9" w:rsidRDefault="006B22FD" w:rsidP="00253145">
            <w:pPr>
              <w:spacing w:before="40" w:after="0"/>
              <w:jc w:val="center"/>
              <w:rPr>
                <w:noProof/>
                <w:color w:val="auto"/>
                <w:sz w:val="22"/>
                <w:szCs w:val="22"/>
              </w:rPr>
            </w:pPr>
            <w:r>
              <w:rPr>
                <w:noProof/>
                <w:color w:val="auto"/>
                <w:sz w:val="22"/>
                <w:szCs w:val="22"/>
              </w:rPr>
              <w:t>318</w:t>
            </w:r>
          </w:p>
        </w:tc>
        <w:tc>
          <w:tcPr>
            <w:tcW w:w="0" w:type="auto"/>
          </w:tcPr>
          <w:p w14:paraId="046EDD0F" w14:textId="77777777" w:rsidR="006B22FD" w:rsidRPr="000653A9" w:rsidRDefault="006B22FD" w:rsidP="00253145">
            <w:pPr>
              <w:spacing w:before="40" w:after="0"/>
              <w:jc w:val="center"/>
              <w:rPr>
                <w:noProof/>
                <w:color w:val="auto"/>
                <w:sz w:val="22"/>
                <w:szCs w:val="22"/>
              </w:rPr>
            </w:pPr>
            <w:r>
              <w:rPr>
                <w:noProof/>
                <w:color w:val="auto"/>
                <w:sz w:val="22"/>
                <w:szCs w:val="22"/>
              </w:rPr>
              <w:t>318</w:t>
            </w:r>
          </w:p>
        </w:tc>
        <w:tc>
          <w:tcPr>
            <w:tcW w:w="0" w:type="auto"/>
          </w:tcPr>
          <w:p w14:paraId="2C233495" w14:textId="77777777" w:rsidR="006B22FD" w:rsidRPr="000653A9" w:rsidRDefault="006B22FD" w:rsidP="00253145">
            <w:pPr>
              <w:spacing w:before="40" w:after="0"/>
              <w:jc w:val="center"/>
              <w:rPr>
                <w:noProof/>
                <w:color w:val="auto"/>
                <w:sz w:val="22"/>
                <w:szCs w:val="22"/>
              </w:rPr>
            </w:pPr>
            <w:r>
              <w:rPr>
                <w:noProof/>
                <w:color w:val="auto"/>
                <w:sz w:val="22"/>
                <w:szCs w:val="22"/>
              </w:rPr>
              <w:t>317</w:t>
            </w:r>
          </w:p>
        </w:tc>
      </w:tr>
      <w:tr w:rsidR="006B22FD" w:rsidRPr="000653A9" w14:paraId="05D54F28" w14:textId="77777777" w:rsidTr="006B22FD">
        <w:trPr>
          <w:jc w:val="center"/>
        </w:trPr>
        <w:tc>
          <w:tcPr>
            <w:tcW w:w="0" w:type="auto"/>
          </w:tcPr>
          <w:p w14:paraId="209B09AC" w14:textId="77777777" w:rsidR="006B22FD" w:rsidRPr="000653A9" w:rsidRDefault="006B22FD" w:rsidP="00253145">
            <w:pPr>
              <w:spacing w:before="40" w:after="0"/>
              <w:rPr>
                <w:noProof/>
                <w:color w:val="auto"/>
                <w:sz w:val="22"/>
                <w:szCs w:val="22"/>
              </w:rPr>
            </w:pPr>
            <w:r>
              <w:rPr>
                <w:noProof/>
                <w:color w:val="auto"/>
                <w:sz w:val="22"/>
                <w:szCs w:val="22"/>
              </w:rPr>
              <w:t>CSCF</w:t>
            </w:r>
          </w:p>
        </w:tc>
        <w:tc>
          <w:tcPr>
            <w:tcW w:w="0" w:type="auto"/>
          </w:tcPr>
          <w:p w14:paraId="76CEDB5B" w14:textId="77777777" w:rsidR="006B22FD" w:rsidRPr="000653A9" w:rsidRDefault="006B22FD" w:rsidP="00253145">
            <w:pPr>
              <w:spacing w:before="40" w:after="0"/>
              <w:jc w:val="center"/>
              <w:rPr>
                <w:noProof/>
                <w:color w:val="auto"/>
                <w:sz w:val="22"/>
                <w:szCs w:val="22"/>
              </w:rPr>
            </w:pPr>
            <w:r>
              <w:rPr>
                <w:noProof/>
                <w:color w:val="auto"/>
                <w:sz w:val="22"/>
                <w:szCs w:val="22"/>
              </w:rPr>
              <w:t>0.86</w:t>
            </w:r>
          </w:p>
        </w:tc>
        <w:tc>
          <w:tcPr>
            <w:tcW w:w="0" w:type="auto"/>
          </w:tcPr>
          <w:p w14:paraId="78C22405" w14:textId="77777777" w:rsidR="006B22FD" w:rsidRPr="000653A9" w:rsidRDefault="006B22FD" w:rsidP="00253145">
            <w:pPr>
              <w:spacing w:before="40" w:after="0"/>
              <w:jc w:val="center"/>
              <w:rPr>
                <w:noProof/>
                <w:color w:val="auto"/>
                <w:sz w:val="22"/>
                <w:szCs w:val="22"/>
              </w:rPr>
            </w:pPr>
            <w:r>
              <w:rPr>
                <w:noProof/>
                <w:color w:val="auto"/>
                <w:sz w:val="22"/>
                <w:szCs w:val="22"/>
              </w:rPr>
              <w:t>0.76</w:t>
            </w:r>
          </w:p>
        </w:tc>
        <w:tc>
          <w:tcPr>
            <w:tcW w:w="0" w:type="auto"/>
          </w:tcPr>
          <w:p w14:paraId="4AECDEA8" w14:textId="77777777" w:rsidR="006B22FD" w:rsidRPr="000653A9" w:rsidRDefault="006B22FD" w:rsidP="00253145">
            <w:pPr>
              <w:spacing w:before="40" w:after="0"/>
              <w:jc w:val="center"/>
              <w:rPr>
                <w:noProof/>
                <w:color w:val="auto"/>
                <w:sz w:val="22"/>
                <w:szCs w:val="22"/>
              </w:rPr>
            </w:pPr>
            <w:r>
              <w:rPr>
                <w:noProof/>
                <w:color w:val="auto"/>
                <w:sz w:val="22"/>
                <w:szCs w:val="22"/>
              </w:rPr>
              <w:t>0.65</w:t>
            </w:r>
          </w:p>
        </w:tc>
        <w:tc>
          <w:tcPr>
            <w:tcW w:w="0" w:type="auto"/>
          </w:tcPr>
          <w:p w14:paraId="7C26C332" w14:textId="77777777" w:rsidR="006B22FD" w:rsidRPr="000653A9" w:rsidRDefault="006B22FD" w:rsidP="00253145">
            <w:pPr>
              <w:spacing w:before="40" w:after="0"/>
              <w:jc w:val="center"/>
              <w:rPr>
                <w:noProof/>
                <w:color w:val="auto"/>
                <w:sz w:val="22"/>
                <w:szCs w:val="22"/>
              </w:rPr>
            </w:pPr>
            <w:r>
              <w:rPr>
                <w:noProof/>
                <w:color w:val="auto"/>
                <w:sz w:val="22"/>
                <w:szCs w:val="22"/>
              </w:rPr>
              <w:t>0.55</w:t>
            </w:r>
          </w:p>
        </w:tc>
        <w:tc>
          <w:tcPr>
            <w:tcW w:w="0" w:type="auto"/>
          </w:tcPr>
          <w:p w14:paraId="761B5224" w14:textId="77777777" w:rsidR="006B22FD" w:rsidRPr="000653A9" w:rsidRDefault="006B22FD" w:rsidP="00253145">
            <w:pPr>
              <w:spacing w:before="40" w:after="0"/>
              <w:jc w:val="center"/>
              <w:rPr>
                <w:noProof/>
                <w:color w:val="auto"/>
                <w:sz w:val="22"/>
                <w:szCs w:val="22"/>
              </w:rPr>
            </w:pPr>
            <w:r>
              <w:rPr>
                <w:noProof/>
                <w:color w:val="auto"/>
                <w:sz w:val="22"/>
                <w:szCs w:val="22"/>
              </w:rPr>
              <w:t>0.44</w:t>
            </w:r>
          </w:p>
        </w:tc>
        <w:tc>
          <w:tcPr>
            <w:tcW w:w="0" w:type="auto"/>
          </w:tcPr>
          <w:p w14:paraId="112B2E62" w14:textId="77777777" w:rsidR="006B22FD" w:rsidRPr="000653A9" w:rsidRDefault="006B22FD" w:rsidP="00253145">
            <w:pPr>
              <w:spacing w:before="40" w:after="0"/>
              <w:jc w:val="center"/>
              <w:rPr>
                <w:noProof/>
                <w:color w:val="auto"/>
                <w:sz w:val="22"/>
                <w:szCs w:val="22"/>
              </w:rPr>
            </w:pPr>
            <w:r>
              <w:rPr>
                <w:noProof/>
                <w:color w:val="auto"/>
                <w:sz w:val="22"/>
                <w:szCs w:val="22"/>
              </w:rPr>
              <w:t>0.39</w:t>
            </w:r>
          </w:p>
        </w:tc>
        <w:tc>
          <w:tcPr>
            <w:tcW w:w="0" w:type="auto"/>
          </w:tcPr>
          <w:p w14:paraId="409F3075" w14:textId="77777777" w:rsidR="006B22FD" w:rsidRPr="000653A9" w:rsidRDefault="006B22FD" w:rsidP="00253145">
            <w:pPr>
              <w:spacing w:before="40" w:after="0"/>
              <w:jc w:val="center"/>
              <w:rPr>
                <w:noProof/>
                <w:color w:val="auto"/>
                <w:sz w:val="22"/>
                <w:szCs w:val="22"/>
              </w:rPr>
            </w:pPr>
            <w:r>
              <w:rPr>
                <w:noProof/>
                <w:color w:val="auto"/>
                <w:sz w:val="22"/>
                <w:szCs w:val="22"/>
              </w:rPr>
              <w:t>0.26</w:t>
            </w:r>
          </w:p>
        </w:tc>
        <w:tc>
          <w:tcPr>
            <w:tcW w:w="0" w:type="auto"/>
          </w:tcPr>
          <w:p w14:paraId="3612BD97" w14:textId="77777777" w:rsidR="006B22FD" w:rsidRPr="000653A9" w:rsidRDefault="006B22FD" w:rsidP="00253145">
            <w:pPr>
              <w:spacing w:before="40" w:after="0"/>
              <w:jc w:val="center"/>
              <w:rPr>
                <w:noProof/>
                <w:color w:val="auto"/>
                <w:sz w:val="22"/>
                <w:szCs w:val="22"/>
              </w:rPr>
            </w:pPr>
            <w:r>
              <w:rPr>
                <w:noProof/>
                <w:color w:val="auto"/>
                <w:sz w:val="22"/>
                <w:szCs w:val="22"/>
              </w:rPr>
              <w:t>0.14</w:t>
            </w:r>
          </w:p>
        </w:tc>
        <w:tc>
          <w:tcPr>
            <w:tcW w:w="0" w:type="auto"/>
          </w:tcPr>
          <w:p w14:paraId="08000F78" w14:textId="77777777" w:rsidR="006B22FD" w:rsidRPr="000653A9" w:rsidRDefault="006B22FD" w:rsidP="00253145">
            <w:pPr>
              <w:spacing w:before="40" w:after="0"/>
              <w:jc w:val="center"/>
              <w:rPr>
                <w:noProof/>
                <w:color w:val="auto"/>
                <w:sz w:val="22"/>
                <w:szCs w:val="22"/>
              </w:rPr>
            </w:pPr>
            <w:r>
              <w:rPr>
                <w:noProof/>
                <w:color w:val="auto"/>
                <w:sz w:val="22"/>
                <w:szCs w:val="22"/>
              </w:rPr>
              <w:t>0.02</w:t>
            </w:r>
          </w:p>
        </w:tc>
        <w:tc>
          <w:tcPr>
            <w:tcW w:w="0" w:type="auto"/>
          </w:tcPr>
          <w:p w14:paraId="055E1842" w14:textId="77777777" w:rsidR="006B22FD" w:rsidRPr="000653A9" w:rsidRDefault="006B22FD" w:rsidP="00253145">
            <w:pPr>
              <w:spacing w:before="40" w:after="0"/>
              <w:jc w:val="center"/>
              <w:rPr>
                <w:noProof/>
                <w:color w:val="auto"/>
                <w:sz w:val="22"/>
                <w:szCs w:val="22"/>
              </w:rPr>
            </w:pPr>
            <w:r>
              <w:rPr>
                <w:noProof/>
                <w:color w:val="auto"/>
                <w:sz w:val="22"/>
                <w:szCs w:val="22"/>
              </w:rPr>
              <w:t>0.00</w:t>
            </w:r>
          </w:p>
        </w:tc>
      </w:tr>
      <w:tr w:rsidR="006B22FD" w:rsidRPr="000653A9" w14:paraId="49B87824" w14:textId="77777777" w:rsidTr="006B22FD">
        <w:trPr>
          <w:jc w:val="center"/>
        </w:trPr>
        <w:tc>
          <w:tcPr>
            <w:tcW w:w="0" w:type="auto"/>
            <w:vAlign w:val="center"/>
          </w:tcPr>
          <w:p w14:paraId="634A6754" w14:textId="77777777" w:rsidR="006B22FD" w:rsidRPr="000653A9" w:rsidRDefault="006B22FD" w:rsidP="00253145">
            <w:pPr>
              <w:spacing w:before="40" w:after="0"/>
              <w:rPr>
                <w:noProof/>
                <w:color w:val="auto"/>
                <w:sz w:val="22"/>
                <w:szCs w:val="22"/>
              </w:rPr>
            </w:pPr>
            <w:r>
              <w:rPr>
                <w:noProof/>
                <w:color w:val="auto"/>
                <w:sz w:val="22"/>
                <w:szCs w:val="22"/>
              </w:rPr>
              <w:t>FA (before CBAM phase out)</w:t>
            </w:r>
          </w:p>
        </w:tc>
        <w:tc>
          <w:tcPr>
            <w:tcW w:w="0" w:type="auto"/>
          </w:tcPr>
          <w:p w14:paraId="386AEB64" w14:textId="77777777" w:rsidR="006B22FD" w:rsidRPr="000653A9" w:rsidRDefault="006B22FD" w:rsidP="00253145">
            <w:pPr>
              <w:spacing w:before="40" w:after="0"/>
              <w:jc w:val="center"/>
              <w:rPr>
                <w:noProof/>
                <w:color w:val="auto"/>
                <w:sz w:val="22"/>
                <w:szCs w:val="22"/>
              </w:rPr>
            </w:pPr>
            <w:r>
              <w:rPr>
                <w:noProof/>
                <w:color w:val="auto"/>
                <w:sz w:val="22"/>
                <w:szCs w:val="22"/>
              </w:rPr>
              <w:t>316</w:t>
            </w:r>
          </w:p>
        </w:tc>
        <w:tc>
          <w:tcPr>
            <w:tcW w:w="0" w:type="auto"/>
          </w:tcPr>
          <w:p w14:paraId="78D5280D" w14:textId="77777777" w:rsidR="006B22FD" w:rsidRPr="000653A9" w:rsidRDefault="006B22FD" w:rsidP="00253145">
            <w:pPr>
              <w:spacing w:before="40" w:after="0"/>
              <w:jc w:val="center"/>
              <w:rPr>
                <w:noProof/>
                <w:color w:val="auto"/>
                <w:sz w:val="22"/>
                <w:szCs w:val="22"/>
              </w:rPr>
            </w:pPr>
            <w:r>
              <w:rPr>
                <w:noProof/>
                <w:color w:val="auto"/>
                <w:sz w:val="22"/>
                <w:szCs w:val="22"/>
              </w:rPr>
              <w:t>278</w:t>
            </w:r>
          </w:p>
        </w:tc>
        <w:tc>
          <w:tcPr>
            <w:tcW w:w="0" w:type="auto"/>
          </w:tcPr>
          <w:p w14:paraId="246E7AED" w14:textId="77777777" w:rsidR="006B22FD" w:rsidRPr="000653A9" w:rsidRDefault="006B22FD" w:rsidP="00253145">
            <w:pPr>
              <w:spacing w:before="40" w:after="0"/>
              <w:jc w:val="center"/>
              <w:rPr>
                <w:noProof/>
                <w:color w:val="auto"/>
                <w:sz w:val="22"/>
                <w:szCs w:val="22"/>
              </w:rPr>
            </w:pPr>
            <w:r>
              <w:rPr>
                <w:noProof/>
                <w:color w:val="auto"/>
                <w:sz w:val="22"/>
                <w:szCs w:val="22"/>
              </w:rPr>
              <w:t>239</w:t>
            </w:r>
          </w:p>
        </w:tc>
        <w:tc>
          <w:tcPr>
            <w:tcW w:w="0" w:type="auto"/>
          </w:tcPr>
          <w:p w14:paraId="3D6EA7D8" w14:textId="77777777" w:rsidR="006B22FD" w:rsidRPr="000653A9" w:rsidRDefault="006B22FD" w:rsidP="00253145">
            <w:pPr>
              <w:spacing w:before="40" w:after="0"/>
              <w:jc w:val="center"/>
              <w:rPr>
                <w:noProof/>
                <w:color w:val="auto"/>
                <w:sz w:val="22"/>
                <w:szCs w:val="22"/>
              </w:rPr>
            </w:pPr>
            <w:r>
              <w:rPr>
                <w:noProof/>
                <w:color w:val="auto"/>
                <w:sz w:val="22"/>
                <w:szCs w:val="22"/>
              </w:rPr>
              <w:t>200</w:t>
            </w:r>
          </w:p>
        </w:tc>
        <w:tc>
          <w:tcPr>
            <w:tcW w:w="0" w:type="auto"/>
          </w:tcPr>
          <w:p w14:paraId="5929E9D3" w14:textId="77777777" w:rsidR="006B22FD" w:rsidRPr="000653A9" w:rsidRDefault="006B22FD" w:rsidP="00253145">
            <w:pPr>
              <w:spacing w:before="40" w:after="0"/>
              <w:jc w:val="center"/>
              <w:rPr>
                <w:noProof/>
                <w:color w:val="auto"/>
                <w:sz w:val="22"/>
                <w:szCs w:val="22"/>
              </w:rPr>
            </w:pPr>
            <w:r>
              <w:rPr>
                <w:noProof/>
                <w:color w:val="auto"/>
                <w:sz w:val="22"/>
                <w:szCs w:val="22"/>
              </w:rPr>
              <w:t>161</w:t>
            </w:r>
          </w:p>
        </w:tc>
        <w:tc>
          <w:tcPr>
            <w:tcW w:w="0" w:type="auto"/>
          </w:tcPr>
          <w:p w14:paraId="37FC341F" w14:textId="77777777" w:rsidR="006B22FD" w:rsidRPr="000653A9" w:rsidRDefault="006B22FD" w:rsidP="00253145">
            <w:pPr>
              <w:spacing w:before="40" w:after="0"/>
              <w:jc w:val="center"/>
              <w:rPr>
                <w:noProof/>
                <w:color w:val="auto"/>
                <w:sz w:val="22"/>
                <w:szCs w:val="22"/>
              </w:rPr>
            </w:pPr>
            <w:r>
              <w:rPr>
                <w:noProof/>
                <w:color w:val="auto"/>
                <w:sz w:val="22"/>
                <w:szCs w:val="22"/>
              </w:rPr>
              <w:t>123</w:t>
            </w:r>
          </w:p>
        </w:tc>
        <w:tc>
          <w:tcPr>
            <w:tcW w:w="0" w:type="auto"/>
          </w:tcPr>
          <w:p w14:paraId="61685563" w14:textId="77777777" w:rsidR="006B22FD" w:rsidRPr="000653A9" w:rsidRDefault="006B22FD" w:rsidP="00253145">
            <w:pPr>
              <w:spacing w:before="40" w:after="0"/>
              <w:jc w:val="center"/>
              <w:rPr>
                <w:noProof/>
                <w:color w:val="auto"/>
                <w:sz w:val="22"/>
                <w:szCs w:val="22"/>
              </w:rPr>
            </w:pPr>
            <w:r>
              <w:rPr>
                <w:noProof/>
                <w:color w:val="auto"/>
                <w:sz w:val="22"/>
                <w:szCs w:val="22"/>
              </w:rPr>
              <w:t>84</w:t>
            </w:r>
          </w:p>
        </w:tc>
        <w:tc>
          <w:tcPr>
            <w:tcW w:w="0" w:type="auto"/>
          </w:tcPr>
          <w:p w14:paraId="7AA0A5C8" w14:textId="77777777" w:rsidR="006B22FD" w:rsidRPr="000653A9" w:rsidRDefault="006B22FD" w:rsidP="00253145">
            <w:pPr>
              <w:spacing w:before="40" w:after="0"/>
              <w:jc w:val="center"/>
              <w:rPr>
                <w:noProof/>
                <w:color w:val="auto"/>
                <w:sz w:val="22"/>
                <w:szCs w:val="22"/>
              </w:rPr>
            </w:pPr>
            <w:r>
              <w:rPr>
                <w:noProof/>
                <w:color w:val="auto"/>
                <w:sz w:val="22"/>
                <w:szCs w:val="22"/>
              </w:rPr>
              <w:t>45</w:t>
            </w:r>
          </w:p>
        </w:tc>
        <w:tc>
          <w:tcPr>
            <w:tcW w:w="0" w:type="auto"/>
          </w:tcPr>
          <w:p w14:paraId="0004DC4D" w14:textId="77777777" w:rsidR="006B22FD" w:rsidRPr="000653A9" w:rsidRDefault="006B22FD" w:rsidP="00253145">
            <w:pPr>
              <w:spacing w:before="40" w:after="0"/>
              <w:jc w:val="center"/>
              <w:rPr>
                <w:noProof/>
                <w:color w:val="auto"/>
                <w:sz w:val="22"/>
                <w:szCs w:val="22"/>
              </w:rPr>
            </w:pPr>
            <w:r>
              <w:rPr>
                <w:noProof/>
                <w:color w:val="auto"/>
                <w:sz w:val="22"/>
                <w:szCs w:val="22"/>
              </w:rPr>
              <w:t>7</w:t>
            </w:r>
          </w:p>
        </w:tc>
        <w:tc>
          <w:tcPr>
            <w:tcW w:w="0" w:type="auto"/>
          </w:tcPr>
          <w:p w14:paraId="55842627" w14:textId="77777777" w:rsidR="006B22FD" w:rsidRPr="000653A9" w:rsidRDefault="006B22FD" w:rsidP="00253145">
            <w:pPr>
              <w:spacing w:before="40" w:after="0"/>
              <w:jc w:val="center"/>
              <w:rPr>
                <w:noProof/>
                <w:color w:val="auto"/>
                <w:sz w:val="22"/>
                <w:szCs w:val="22"/>
              </w:rPr>
            </w:pPr>
            <w:r>
              <w:rPr>
                <w:noProof/>
                <w:color w:val="auto"/>
                <w:sz w:val="22"/>
                <w:szCs w:val="22"/>
              </w:rPr>
              <w:t>0</w:t>
            </w:r>
          </w:p>
        </w:tc>
      </w:tr>
      <w:tr w:rsidR="006B22FD" w:rsidRPr="000653A9" w14:paraId="39EB9B9F" w14:textId="77777777" w:rsidTr="006B22FD">
        <w:trPr>
          <w:jc w:val="center"/>
        </w:trPr>
        <w:tc>
          <w:tcPr>
            <w:tcW w:w="0" w:type="auto"/>
            <w:vAlign w:val="center"/>
          </w:tcPr>
          <w:p w14:paraId="44E5D9D7" w14:textId="77777777" w:rsidR="006B22FD" w:rsidRPr="000653A9" w:rsidRDefault="006B22FD" w:rsidP="00253145">
            <w:pPr>
              <w:spacing w:before="40" w:after="0"/>
              <w:rPr>
                <w:noProof/>
                <w:color w:val="auto"/>
                <w:sz w:val="22"/>
                <w:szCs w:val="22"/>
              </w:rPr>
            </w:pPr>
            <w:r>
              <w:rPr>
                <w:noProof/>
                <w:color w:val="auto"/>
                <w:sz w:val="22"/>
                <w:szCs w:val="22"/>
              </w:rPr>
              <w:t>FA (after CBAM phase out)</w:t>
            </w:r>
          </w:p>
        </w:tc>
        <w:tc>
          <w:tcPr>
            <w:tcW w:w="0" w:type="auto"/>
          </w:tcPr>
          <w:p w14:paraId="40E2E200" w14:textId="77777777" w:rsidR="006B22FD" w:rsidRPr="000653A9" w:rsidRDefault="006B22FD" w:rsidP="00253145">
            <w:pPr>
              <w:spacing w:before="40" w:after="0"/>
              <w:jc w:val="center"/>
              <w:rPr>
                <w:noProof/>
                <w:color w:val="auto"/>
                <w:sz w:val="22"/>
                <w:szCs w:val="22"/>
              </w:rPr>
            </w:pPr>
            <w:r>
              <w:rPr>
                <w:noProof/>
                <w:color w:val="auto"/>
                <w:sz w:val="22"/>
                <w:szCs w:val="22"/>
              </w:rPr>
              <w:t>212</w:t>
            </w:r>
          </w:p>
        </w:tc>
        <w:tc>
          <w:tcPr>
            <w:tcW w:w="0" w:type="auto"/>
          </w:tcPr>
          <w:p w14:paraId="5B04EC1F" w14:textId="77777777" w:rsidR="006B22FD" w:rsidRPr="000653A9" w:rsidRDefault="006B22FD" w:rsidP="00253145">
            <w:pPr>
              <w:spacing w:before="40" w:after="0"/>
              <w:jc w:val="center"/>
              <w:rPr>
                <w:noProof/>
                <w:color w:val="auto"/>
                <w:sz w:val="22"/>
                <w:szCs w:val="22"/>
              </w:rPr>
            </w:pPr>
            <w:r>
              <w:rPr>
                <w:noProof/>
                <w:color w:val="auto"/>
                <w:sz w:val="22"/>
                <w:szCs w:val="22"/>
              </w:rPr>
              <w:t>167</w:t>
            </w:r>
          </w:p>
        </w:tc>
        <w:tc>
          <w:tcPr>
            <w:tcW w:w="0" w:type="auto"/>
          </w:tcPr>
          <w:p w14:paraId="66E33E19" w14:textId="77777777" w:rsidR="006B22FD" w:rsidRPr="000653A9" w:rsidRDefault="006B22FD" w:rsidP="00253145">
            <w:pPr>
              <w:spacing w:before="40" w:after="0"/>
              <w:jc w:val="center"/>
              <w:rPr>
                <w:noProof/>
                <w:color w:val="auto"/>
                <w:sz w:val="22"/>
                <w:szCs w:val="22"/>
              </w:rPr>
            </w:pPr>
            <w:r>
              <w:rPr>
                <w:noProof/>
                <w:color w:val="auto"/>
                <w:sz w:val="22"/>
                <w:szCs w:val="22"/>
              </w:rPr>
              <w:t>128</w:t>
            </w:r>
          </w:p>
        </w:tc>
        <w:tc>
          <w:tcPr>
            <w:tcW w:w="0" w:type="auto"/>
          </w:tcPr>
          <w:p w14:paraId="36D220F2" w14:textId="77777777" w:rsidR="006B22FD" w:rsidRPr="000653A9" w:rsidRDefault="006B22FD" w:rsidP="00253145">
            <w:pPr>
              <w:spacing w:before="40" w:after="0"/>
              <w:jc w:val="center"/>
              <w:rPr>
                <w:noProof/>
                <w:color w:val="auto"/>
                <w:sz w:val="22"/>
                <w:szCs w:val="22"/>
              </w:rPr>
            </w:pPr>
            <w:r>
              <w:rPr>
                <w:noProof/>
                <w:color w:val="auto"/>
                <w:sz w:val="22"/>
                <w:szCs w:val="22"/>
              </w:rPr>
              <w:t>92</w:t>
            </w:r>
          </w:p>
        </w:tc>
        <w:tc>
          <w:tcPr>
            <w:tcW w:w="0" w:type="auto"/>
          </w:tcPr>
          <w:p w14:paraId="3646B1EA" w14:textId="77777777" w:rsidR="006B22FD" w:rsidRPr="000653A9" w:rsidRDefault="006B22FD" w:rsidP="00253145">
            <w:pPr>
              <w:spacing w:before="40" w:after="0"/>
              <w:jc w:val="center"/>
              <w:rPr>
                <w:noProof/>
                <w:color w:val="auto"/>
                <w:sz w:val="22"/>
                <w:szCs w:val="22"/>
              </w:rPr>
            </w:pPr>
            <w:r>
              <w:rPr>
                <w:noProof/>
                <w:color w:val="auto"/>
                <w:sz w:val="22"/>
                <w:szCs w:val="22"/>
              </w:rPr>
              <w:t>74</w:t>
            </w:r>
          </w:p>
        </w:tc>
        <w:tc>
          <w:tcPr>
            <w:tcW w:w="0" w:type="auto"/>
          </w:tcPr>
          <w:p w14:paraId="51243B38" w14:textId="77777777" w:rsidR="006B22FD" w:rsidRPr="000653A9" w:rsidRDefault="006B22FD" w:rsidP="00253145">
            <w:pPr>
              <w:spacing w:before="40" w:after="0"/>
              <w:jc w:val="center"/>
              <w:rPr>
                <w:noProof/>
                <w:color w:val="auto"/>
                <w:sz w:val="22"/>
                <w:szCs w:val="22"/>
              </w:rPr>
            </w:pPr>
            <w:r>
              <w:rPr>
                <w:noProof/>
                <w:color w:val="auto"/>
                <w:sz w:val="22"/>
                <w:szCs w:val="22"/>
              </w:rPr>
              <w:t>50</w:t>
            </w:r>
          </w:p>
        </w:tc>
        <w:tc>
          <w:tcPr>
            <w:tcW w:w="0" w:type="auto"/>
          </w:tcPr>
          <w:p w14:paraId="7600ABAE" w14:textId="77777777" w:rsidR="006B22FD" w:rsidRPr="000653A9" w:rsidRDefault="006B22FD" w:rsidP="00253145">
            <w:pPr>
              <w:spacing w:before="40" w:after="0"/>
              <w:jc w:val="center"/>
              <w:rPr>
                <w:noProof/>
                <w:color w:val="auto"/>
                <w:sz w:val="22"/>
                <w:szCs w:val="22"/>
              </w:rPr>
            </w:pPr>
            <w:r>
              <w:rPr>
                <w:noProof/>
                <w:color w:val="auto"/>
                <w:sz w:val="22"/>
                <w:szCs w:val="22"/>
              </w:rPr>
              <w:t>34</w:t>
            </w:r>
          </w:p>
        </w:tc>
        <w:tc>
          <w:tcPr>
            <w:tcW w:w="0" w:type="auto"/>
          </w:tcPr>
          <w:p w14:paraId="12C73856" w14:textId="77777777" w:rsidR="006B22FD" w:rsidRPr="000653A9" w:rsidRDefault="006B22FD" w:rsidP="00253145">
            <w:pPr>
              <w:spacing w:before="40" w:after="0"/>
              <w:jc w:val="center"/>
              <w:rPr>
                <w:noProof/>
                <w:color w:val="auto"/>
                <w:sz w:val="22"/>
                <w:szCs w:val="22"/>
              </w:rPr>
            </w:pPr>
            <w:r>
              <w:rPr>
                <w:noProof/>
                <w:color w:val="auto"/>
                <w:sz w:val="22"/>
                <w:szCs w:val="22"/>
              </w:rPr>
              <w:t>19</w:t>
            </w:r>
          </w:p>
        </w:tc>
        <w:tc>
          <w:tcPr>
            <w:tcW w:w="0" w:type="auto"/>
          </w:tcPr>
          <w:p w14:paraId="7FC8F41C" w14:textId="77777777" w:rsidR="006B22FD" w:rsidRPr="000653A9" w:rsidRDefault="006B22FD" w:rsidP="00253145">
            <w:pPr>
              <w:spacing w:before="40" w:after="0"/>
              <w:jc w:val="center"/>
              <w:rPr>
                <w:noProof/>
                <w:color w:val="auto"/>
                <w:sz w:val="22"/>
                <w:szCs w:val="22"/>
              </w:rPr>
            </w:pPr>
            <w:r>
              <w:rPr>
                <w:noProof/>
                <w:color w:val="auto"/>
                <w:sz w:val="22"/>
                <w:szCs w:val="22"/>
              </w:rPr>
              <w:t>3</w:t>
            </w:r>
          </w:p>
        </w:tc>
        <w:tc>
          <w:tcPr>
            <w:tcW w:w="0" w:type="auto"/>
          </w:tcPr>
          <w:p w14:paraId="5B49D134" w14:textId="77777777" w:rsidR="006B22FD" w:rsidRPr="000653A9" w:rsidRDefault="006B22FD" w:rsidP="00253145">
            <w:pPr>
              <w:spacing w:before="40" w:after="0"/>
              <w:jc w:val="center"/>
              <w:rPr>
                <w:noProof/>
                <w:color w:val="auto"/>
                <w:sz w:val="22"/>
                <w:szCs w:val="22"/>
              </w:rPr>
            </w:pPr>
            <w:r>
              <w:rPr>
                <w:noProof/>
                <w:color w:val="auto"/>
                <w:sz w:val="22"/>
                <w:szCs w:val="22"/>
              </w:rPr>
              <w:t>0</w:t>
            </w:r>
          </w:p>
        </w:tc>
      </w:tr>
    </w:tbl>
    <w:p w14:paraId="2CF90FD8" w14:textId="309B731A" w:rsidR="00BF73CF" w:rsidRPr="000653A9" w:rsidRDefault="00BF73CF" w:rsidP="00BF73CF">
      <w:pPr>
        <w:spacing w:after="240"/>
        <w:rPr>
          <w:i/>
          <w:iCs/>
          <w:noProof/>
          <w:color w:val="auto"/>
          <w:sz w:val="20"/>
          <w:szCs w:val="20"/>
          <w:lang w:eastAsia="en-GB"/>
        </w:rPr>
      </w:pPr>
      <w:r w:rsidRPr="000653A9">
        <w:rPr>
          <w:i/>
          <w:iCs/>
          <w:noProof/>
          <w:color w:val="auto"/>
          <w:sz w:val="20"/>
          <w:szCs w:val="20"/>
        </w:rPr>
        <w:t>Source:</w:t>
      </w:r>
      <w:r w:rsidRPr="000653A9">
        <w:rPr>
          <w:i/>
          <w:iCs/>
          <w:noProof/>
          <w:sz w:val="22"/>
          <w:szCs w:val="22"/>
        </w:rPr>
        <w:tab/>
      </w:r>
      <w:r w:rsidRPr="000653A9">
        <w:rPr>
          <w:i/>
          <w:iCs/>
          <w:noProof/>
          <w:color w:val="auto"/>
          <w:sz w:val="20"/>
          <w:szCs w:val="20"/>
        </w:rPr>
        <w:t>Own calculation based upon preliminary NIMs data for 2019-23</w:t>
      </w:r>
    </w:p>
    <w:p w14:paraId="6B6E03C5" w14:textId="6DF8DC8E" w:rsidR="00BF73CF" w:rsidRPr="000653A9" w:rsidRDefault="00BC36A9" w:rsidP="00DA7828">
      <w:pPr>
        <w:rPr>
          <w:noProof/>
        </w:rPr>
      </w:pPr>
      <w:r w:rsidRPr="000653A9">
        <w:rPr>
          <w:noProof/>
        </w:rPr>
        <w:t xml:space="preserve">Figure </w:t>
      </w:r>
      <w:r w:rsidR="00EE3D9D" w:rsidRPr="000653A9">
        <w:rPr>
          <w:noProof/>
        </w:rPr>
        <w:t>3</w:t>
      </w:r>
      <w:r w:rsidRPr="000653A9">
        <w:rPr>
          <w:noProof/>
        </w:rPr>
        <w:t xml:space="preserve"> </w:t>
      </w:r>
      <w:r w:rsidR="00BF73CF" w:rsidRPr="000653A9">
        <w:rPr>
          <w:noProof/>
        </w:rPr>
        <w:t xml:space="preserve">shows how the distribution of free allocation to sectors develops over time in Phase V of the EU ETS under the baseline. The manufacture of refined petroleum products (NACE code 19.20) would receive around </w:t>
      </w:r>
      <w:r>
        <w:rPr>
          <w:noProof/>
        </w:rPr>
        <w:t>202</w:t>
      </w:r>
      <w:r w:rsidR="00BF73CF" w:rsidRPr="000653A9">
        <w:rPr>
          <w:noProof/>
        </w:rPr>
        <w:t xml:space="preserve"> million EUAs for free under the baseline over 2031-40. Given that the refineries sector was identified previously in the scoping exercise as the highest emitter between 2021 and 2023 after the iron and steel and cement sectors, it is to be expected that this sector would account for the largest share of allowances over the 2031-40 </w:t>
      </w:r>
      <w:r w:rsidR="0072490E" w:rsidRPr="000653A9">
        <w:rPr>
          <w:noProof/>
        </w:rPr>
        <w:t>period</w:t>
      </w:r>
      <w:r w:rsidR="00BF73CF" w:rsidRPr="000653A9">
        <w:rPr>
          <w:noProof/>
        </w:rPr>
        <w:t xml:space="preserve"> as the CBAM progressively reduces free allocation in the covered sectors.</w:t>
      </w:r>
      <w:r w:rsidR="00BF73CF" w:rsidRPr="000653A9">
        <w:rPr>
          <w:rStyle w:val="FootnoteReference"/>
          <w:noProof/>
        </w:rPr>
        <w:footnoteReference w:id="13"/>
      </w:r>
      <w:r w:rsidR="00BF73CF" w:rsidRPr="000653A9">
        <w:rPr>
          <w:noProof/>
        </w:rPr>
        <w:t xml:space="preserve"> Indeed, although the manufacture of basic iron and steel and of ferro alloys (NACE code 24.10) received </w:t>
      </w:r>
      <w:r>
        <w:rPr>
          <w:noProof/>
        </w:rPr>
        <w:t>76</w:t>
      </w:r>
      <w:r w:rsidR="00C149CC" w:rsidRPr="000653A9">
        <w:rPr>
          <w:noProof/>
        </w:rPr>
        <w:t xml:space="preserve"> </w:t>
      </w:r>
      <w:r w:rsidR="00BF73CF" w:rsidRPr="000653A9">
        <w:rPr>
          <w:noProof/>
        </w:rPr>
        <w:t xml:space="preserve">million EUAs for free and the manufacture of cement (NACE code 23.51) received </w:t>
      </w:r>
      <w:r>
        <w:rPr>
          <w:noProof/>
        </w:rPr>
        <w:t>47</w:t>
      </w:r>
      <w:r w:rsidR="00C149CC" w:rsidRPr="000653A9">
        <w:rPr>
          <w:noProof/>
        </w:rPr>
        <w:t xml:space="preserve"> </w:t>
      </w:r>
      <w:r w:rsidR="00BF73CF" w:rsidRPr="000653A9">
        <w:rPr>
          <w:noProof/>
        </w:rPr>
        <w:t>million EUAs for free, the majority of these free allowances were distributed only up until 2034.</w:t>
      </w:r>
      <w:r w:rsidR="00BF73CF" w:rsidRPr="000653A9">
        <w:rPr>
          <w:rStyle w:val="FootnoteReference"/>
          <w:noProof/>
        </w:rPr>
        <w:footnoteReference w:id="14"/>
      </w:r>
      <w:r w:rsidR="00BF73CF" w:rsidRPr="000653A9">
        <w:rPr>
          <w:noProof/>
        </w:rPr>
        <w:t xml:space="preserve"> </w:t>
      </w:r>
    </w:p>
    <w:p w14:paraId="59C35339" w14:textId="77777777" w:rsidR="00F81849" w:rsidRDefault="00F81849">
      <w:pPr>
        <w:spacing w:before="0" w:line="259" w:lineRule="auto"/>
        <w:rPr>
          <w:rFonts w:eastAsia="Calibri"/>
          <w:i/>
          <w:noProof/>
          <w:color w:val="auto"/>
          <w:sz w:val="22"/>
        </w:rPr>
      </w:pPr>
      <w:bookmarkStart w:id="320" w:name="_Toc224659137"/>
      <w:bookmarkStart w:id="321" w:name="_Ref205449802"/>
      <w:bookmarkStart w:id="322" w:name="_Toc212049701"/>
      <w:bookmarkEnd w:id="316"/>
      <w:bookmarkEnd w:id="317"/>
      <w:r>
        <w:rPr>
          <w:noProof/>
        </w:rPr>
        <w:br w:type="page"/>
      </w:r>
    </w:p>
    <w:p w14:paraId="3C912926" w14:textId="79695A8A" w:rsidR="002B61D8" w:rsidRPr="000653A9" w:rsidRDefault="004131C1" w:rsidP="00A45B63">
      <w:pPr>
        <w:pStyle w:val="Figuretitle"/>
        <w:rPr>
          <w:noProof/>
        </w:rPr>
      </w:pPr>
      <w:r w:rsidRPr="000653A9">
        <w:rPr>
          <w:noProof/>
        </w:rPr>
        <w:t>Distribution of free allocation under the baseline for 2031-40</w:t>
      </w:r>
      <w:bookmarkEnd w:id="320"/>
    </w:p>
    <w:p w14:paraId="7F321F67" w14:textId="77777777" w:rsidR="00CC4F87" w:rsidRDefault="002B61D8" w:rsidP="00C92FA9">
      <w:pPr>
        <w:jc w:val="center"/>
        <w:rPr>
          <w:noProof/>
        </w:rPr>
      </w:pPr>
      <w:r>
        <w:rPr>
          <w:noProof/>
          <w:lang w:eastAsia="en-GB"/>
        </w:rPr>
        <w:drawing>
          <wp:inline distT="0" distB="0" distL="0" distR="0" wp14:anchorId="755DFC69" wp14:editId="618CE09A">
            <wp:extent cx="4517455" cy="2951018"/>
            <wp:effectExtent l="0" t="0" r="0" b="1905"/>
            <wp:docPr id="2028336911"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36911" name="Picture 1" descr="A graph with different colored bars&#10;&#10;AI-generated content may be incorrect."/>
                    <pic:cNvPicPr/>
                  </pic:nvPicPr>
                  <pic:blipFill>
                    <a:blip r:embed="rId17"/>
                    <a:stretch>
                      <a:fillRect/>
                    </a:stretch>
                  </pic:blipFill>
                  <pic:spPr>
                    <a:xfrm>
                      <a:off x="0" y="0"/>
                      <a:ext cx="4549612" cy="2972024"/>
                    </a:xfrm>
                    <a:prstGeom prst="rect">
                      <a:avLst/>
                    </a:prstGeom>
                  </pic:spPr>
                </pic:pic>
              </a:graphicData>
            </a:graphic>
          </wp:inline>
        </w:drawing>
      </w:r>
    </w:p>
    <w:p w14:paraId="6348E5D6" w14:textId="569B67B6" w:rsidR="004131C1" w:rsidRPr="000653A9" w:rsidRDefault="004131C1" w:rsidP="004131C1">
      <w:pPr>
        <w:spacing w:after="240"/>
        <w:rPr>
          <w:i/>
          <w:iCs/>
          <w:noProof/>
          <w:sz w:val="22"/>
          <w:szCs w:val="22"/>
        </w:rPr>
      </w:pPr>
      <w:r w:rsidRPr="000653A9">
        <w:rPr>
          <w:i/>
          <w:iCs/>
          <w:noProof/>
          <w:sz w:val="20"/>
          <w:szCs w:val="20"/>
        </w:rPr>
        <w:t>Source:</w:t>
      </w:r>
      <w:r w:rsidRPr="000653A9">
        <w:rPr>
          <w:i/>
          <w:iCs/>
          <w:noProof/>
          <w:sz w:val="22"/>
          <w:szCs w:val="22"/>
        </w:rPr>
        <w:tab/>
      </w:r>
      <w:r w:rsidRPr="000653A9">
        <w:rPr>
          <w:i/>
          <w:iCs/>
          <w:noProof/>
          <w:sz w:val="20"/>
          <w:szCs w:val="20"/>
        </w:rPr>
        <w:t>Own calculation based upon preliminary NIMs data for 2019-23</w:t>
      </w:r>
    </w:p>
    <w:p w14:paraId="33A70B15" w14:textId="75090E92" w:rsidR="00627A34" w:rsidRPr="000653A9" w:rsidRDefault="00627A34" w:rsidP="00627A34">
      <w:pPr>
        <w:spacing w:before="240"/>
        <w:rPr>
          <w:i/>
          <w:iCs/>
          <w:noProof/>
          <w:u w:val="single"/>
        </w:rPr>
      </w:pPr>
      <w:r w:rsidRPr="000653A9">
        <w:rPr>
          <w:i/>
          <w:iCs/>
          <w:noProof/>
          <w:u w:val="single"/>
        </w:rPr>
        <w:t>Policy Measures</w:t>
      </w:r>
    </w:p>
    <w:p w14:paraId="777BE05D" w14:textId="77777777" w:rsidR="00575DDA" w:rsidRPr="000653A9" w:rsidRDefault="00FA1743" w:rsidP="00FA1743">
      <w:pPr>
        <w:rPr>
          <w:noProof/>
          <w:color w:val="auto"/>
        </w:rPr>
      </w:pPr>
      <w:r w:rsidRPr="000653A9">
        <w:rPr>
          <w:noProof/>
          <w:color w:val="auto"/>
        </w:rPr>
        <w:t>The policy measures are designed with a higher free allocation budget between 2031-40</w:t>
      </w:r>
      <w:r w:rsidR="003243FE" w:rsidRPr="000653A9">
        <w:rPr>
          <w:noProof/>
          <w:color w:val="auto"/>
        </w:rPr>
        <w:t>, compared to the baseline scenario</w:t>
      </w:r>
      <w:r w:rsidRPr="000653A9">
        <w:rPr>
          <w:noProof/>
          <w:color w:val="auto"/>
        </w:rPr>
        <w:t>. The higher free allocation budget reflects the fact that the overall ETS cap is assumed to be less stringent than in the baseline. How this free allocation budget is distributed across industrial sectors however varies by the different policy measures.</w:t>
      </w:r>
    </w:p>
    <w:p w14:paraId="2A3A46B4" w14:textId="19692D6D" w:rsidR="00830486" w:rsidRPr="000653A9" w:rsidRDefault="00830486" w:rsidP="00830486">
      <w:pPr>
        <w:spacing w:before="240"/>
        <w:rPr>
          <w:noProof/>
          <w:u w:val="single"/>
        </w:rPr>
      </w:pPr>
      <w:r w:rsidRPr="000653A9">
        <w:rPr>
          <w:noProof/>
          <w:u w:val="single"/>
        </w:rPr>
        <w:t>CL1</w:t>
      </w:r>
      <w:r w:rsidR="00A82E5C" w:rsidRPr="000653A9">
        <w:rPr>
          <w:noProof/>
          <w:u w:val="single"/>
        </w:rPr>
        <w:t xml:space="preserve"> (PO1)</w:t>
      </w:r>
    </w:p>
    <w:p w14:paraId="18B73731" w14:textId="0ACB3F26" w:rsidR="00830486" w:rsidRPr="000653A9" w:rsidRDefault="00BC36A9" w:rsidP="00DC581A">
      <w:pPr>
        <w:rPr>
          <w:noProof/>
        </w:rPr>
      </w:pPr>
      <w:r w:rsidRPr="000653A9">
        <w:rPr>
          <w:noProof/>
          <w:color w:val="auto"/>
        </w:rPr>
        <w:t xml:space="preserve">Table </w:t>
      </w:r>
      <w:r w:rsidR="00240702" w:rsidRPr="000653A9">
        <w:rPr>
          <w:noProof/>
          <w:color w:val="auto"/>
        </w:rPr>
        <w:t>6</w:t>
      </w:r>
      <w:r w:rsidRPr="000653A9">
        <w:rPr>
          <w:noProof/>
        </w:rPr>
        <w:t xml:space="preserve"> </w:t>
      </w:r>
      <w:r w:rsidR="00830486" w:rsidRPr="000653A9">
        <w:rPr>
          <w:noProof/>
        </w:rPr>
        <w:t xml:space="preserve">shows that the overall budget for free allocation between 2031-40 in CL1, which is assumed to be </w:t>
      </w:r>
      <w:r>
        <w:rPr>
          <w:noProof/>
        </w:rPr>
        <w:t>1,934</w:t>
      </w:r>
      <w:r w:rsidR="00830486" w:rsidRPr="000653A9">
        <w:rPr>
          <w:noProof/>
        </w:rPr>
        <w:t xml:space="preserve"> M EUAs over 2031-40. The preliminary free allocation was then calculated following a bottom-up approach and this resulted in a total of </w:t>
      </w:r>
      <w:r>
        <w:rPr>
          <w:noProof/>
        </w:rPr>
        <w:t>3,425</w:t>
      </w:r>
      <w:r w:rsidR="00830486" w:rsidRPr="000653A9">
        <w:rPr>
          <w:noProof/>
        </w:rPr>
        <w:t xml:space="preserve"> M EUAs over 2031-40.</w:t>
      </w:r>
      <w:r w:rsidR="00830486" w:rsidRPr="000653A9">
        <w:rPr>
          <w:noProof/>
          <w:vertAlign w:val="superscript"/>
        </w:rPr>
        <w:footnoteReference w:id="15"/>
      </w:r>
      <w:r w:rsidR="00830486" w:rsidRPr="000653A9">
        <w:rPr>
          <w:noProof/>
        </w:rPr>
        <w:t xml:space="preserve"> As the preliminary allocation exceeded the free allocation budget, the CSCF was progressively applied over the </w:t>
      </w:r>
      <w:r w:rsidR="0072490E" w:rsidRPr="000653A9">
        <w:rPr>
          <w:noProof/>
        </w:rPr>
        <w:t>period</w:t>
      </w:r>
      <w:r w:rsidR="00830486" w:rsidRPr="000653A9">
        <w:rPr>
          <w:noProof/>
        </w:rPr>
        <w:t xml:space="preserve"> with the value declining from </w:t>
      </w:r>
      <w:r>
        <w:rPr>
          <w:noProof/>
        </w:rPr>
        <w:t>0.83</w:t>
      </w:r>
      <w:r w:rsidR="00627D81" w:rsidRPr="000653A9">
        <w:rPr>
          <w:noProof/>
        </w:rPr>
        <w:t xml:space="preserve"> </w:t>
      </w:r>
      <w:r w:rsidR="00830486" w:rsidRPr="000653A9">
        <w:rPr>
          <w:noProof/>
        </w:rPr>
        <w:t xml:space="preserve">in 2031 to </w:t>
      </w:r>
      <w:r>
        <w:rPr>
          <w:noProof/>
        </w:rPr>
        <w:t>0.30</w:t>
      </w:r>
      <w:r w:rsidR="00830486" w:rsidRPr="000653A9">
        <w:rPr>
          <w:noProof/>
        </w:rPr>
        <w:t xml:space="preserve"> by 2040. The increased volume of free allocation in CL1 compared to the baseline results in a higher CSCF over the </w:t>
      </w:r>
      <w:r w:rsidR="0072490E" w:rsidRPr="000653A9">
        <w:rPr>
          <w:noProof/>
        </w:rPr>
        <w:t>period</w:t>
      </w:r>
      <w:r w:rsidR="00830486" w:rsidRPr="000653A9">
        <w:rPr>
          <w:noProof/>
        </w:rPr>
        <w:t xml:space="preserve">. The application of the CSCF allows the final free allocation budget to not exceed the free allocation budget for the 2031-40 </w:t>
      </w:r>
      <w:r w:rsidR="0072490E" w:rsidRPr="000653A9">
        <w:rPr>
          <w:noProof/>
        </w:rPr>
        <w:t>period</w:t>
      </w:r>
      <w:r w:rsidR="00830486" w:rsidRPr="000653A9">
        <w:rPr>
          <w:noProof/>
        </w:rPr>
        <w:t xml:space="preserve">. In a final step, the CBAM factor was applied over Phase V for sub-installations covered by the CBAM and this reduced the total free allocation over 2031-40 to </w:t>
      </w:r>
      <w:r>
        <w:rPr>
          <w:noProof/>
        </w:rPr>
        <w:t>978</w:t>
      </w:r>
      <w:r w:rsidR="00830486" w:rsidRPr="000653A9">
        <w:rPr>
          <w:noProof/>
        </w:rPr>
        <w:t xml:space="preserve"> M EUAs.</w:t>
      </w:r>
    </w:p>
    <w:p w14:paraId="05EC0F78" w14:textId="19C3D105" w:rsidR="002455C4" w:rsidRPr="000653A9" w:rsidRDefault="00830486" w:rsidP="00A45B63">
      <w:pPr>
        <w:pStyle w:val="Tabletitle"/>
        <w:rPr>
          <w:noProof/>
        </w:rPr>
      </w:pPr>
      <w:bookmarkStart w:id="323" w:name="_Toc234435109"/>
      <w:bookmarkStart w:id="324" w:name="_Toc232003571"/>
      <w:r w:rsidRPr="000653A9">
        <w:rPr>
          <w:noProof/>
        </w:rPr>
        <w:t>Estimation of the total volume of free allowances available under CL1 for 2031-40</w:t>
      </w:r>
      <w:bookmarkEnd w:id="323"/>
      <w:bookmarkEnd w:id="324"/>
    </w:p>
    <w:p w14:paraId="32425638" w14:textId="77777777" w:rsidR="00CC4F87" w:rsidRDefault="00CC4F87" w:rsidP="00C92FA9">
      <w:pPr>
        <w:spacing w:after="240"/>
        <w:rPr>
          <w:noProof/>
        </w:rPr>
      </w:pPr>
    </w:p>
    <w:tbl>
      <w:tblPr>
        <w:tblStyle w:val="Ricardo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56"/>
        <w:gridCol w:w="656"/>
        <w:gridCol w:w="656"/>
        <w:gridCol w:w="656"/>
        <w:gridCol w:w="656"/>
        <w:gridCol w:w="656"/>
        <w:gridCol w:w="656"/>
        <w:gridCol w:w="656"/>
        <w:gridCol w:w="656"/>
        <w:gridCol w:w="656"/>
      </w:tblGrid>
      <w:tr w:rsidR="002455C4" w:rsidRPr="000653A9" w14:paraId="76EAA7F1" w14:textId="77777777" w:rsidTr="00253145">
        <w:trPr>
          <w:cnfStyle w:val="100000000000" w:firstRow="1" w:lastRow="0" w:firstColumn="0" w:lastColumn="0" w:oddVBand="0" w:evenVBand="0" w:oddHBand="0" w:evenHBand="0" w:firstRowFirstColumn="0" w:firstRowLastColumn="0" w:lastRowFirstColumn="0" w:lastRowLastColumn="0"/>
        </w:trPr>
        <w:tc>
          <w:tcPr>
            <w:tcW w:w="0" w:type="auto"/>
          </w:tcPr>
          <w:p w14:paraId="7C5678A8" w14:textId="77777777" w:rsidR="002455C4" w:rsidRPr="000653A9" w:rsidRDefault="002455C4" w:rsidP="00253145">
            <w:pPr>
              <w:spacing w:before="40" w:after="0"/>
              <w:rPr>
                <w:noProof/>
                <w:color w:val="auto"/>
                <w:sz w:val="22"/>
                <w:szCs w:val="22"/>
              </w:rPr>
            </w:pPr>
          </w:p>
        </w:tc>
        <w:tc>
          <w:tcPr>
            <w:tcW w:w="0" w:type="auto"/>
          </w:tcPr>
          <w:p w14:paraId="1C5FD1AD" w14:textId="77777777" w:rsidR="002455C4" w:rsidRPr="000653A9" w:rsidRDefault="002455C4" w:rsidP="00253145">
            <w:pPr>
              <w:spacing w:before="40" w:after="0"/>
              <w:rPr>
                <w:noProof/>
                <w:color w:val="auto"/>
                <w:sz w:val="22"/>
                <w:szCs w:val="22"/>
              </w:rPr>
            </w:pPr>
            <w:r>
              <w:rPr>
                <w:noProof/>
                <w:color w:val="auto"/>
                <w:sz w:val="22"/>
                <w:szCs w:val="22"/>
              </w:rPr>
              <w:t>2031</w:t>
            </w:r>
          </w:p>
        </w:tc>
        <w:tc>
          <w:tcPr>
            <w:tcW w:w="0" w:type="auto"/>
          </w:tcPr>
          <w:p w14:paraId="22FB8B14" w14:textId="77777777" w:rsidR="002455C4" w:rsidRPr="000653A9" w:rsidRDefault="002455C4" w:rsidP="00253145">
            <w:pPr>
              <w:spacing w:before="40" w:after="0"/>
              <w:rPr>
                <w:noProof/>
                <w:color w:val="auto"/>
                <w:sz w:val="22"/>
                <w:szCs w:val="22"/>
              </w:rPr>
            </w:pPr>
            <w:r>
              <w:rPr>
                <w:noProof/>
                <w:color w:val="auto"/>
                <w:sz w:val="22"/>
                <w:szCs w:val="22"/>
              </w:rPr>
              <w:t>2032</w:t>
            </w:r>
          </w:p>
        </w:tc>
        <w:tc>
          <w:tcPr>
            <w:tcW w:w="0" w:type="auto"/>
          </w:tcPr>
          <w:p w14:paraId="27133EB5" w14:textId="77777777" w:rsidR="002455C4" w:rsidRPr="000653A9" w:rsidRDefault="002455C4" w:rsidP="00253145">
            <w:pPr>
              <w:spacing w:before="40" w:after="0"/>
              <w:rPr>
                <w:noProof/>
                <w:color w:val="auto"/>
                <w:sz w:val="22"/>
                <w:szCs w:val="22"/>
              </w:rPr>
            </w:pPr>
            <w:r>
              <w:rPr>
                <w:noProof/>
                <w:color w:val="auto"/>
                <w:sz w:val="22"/>
                <w:szCs w:val="22"/>
              </w:rPr>
              <w:t>2033</w:t>
            </w:r>
          </w:p>
        </w:tc>
        <w:tc>
          <w:tcPr>
            <w:tcW w:w="0" w:type="auto"/>
          </w:tcPr>
          <w:p w14:paraId="28596153" w14:textId="77777777" w:rsidR="002455C4" w:rsidRPr="000653A9" w:rsidRDefault="002455C4" w:rsidP="00253145">
            <w:pPr>
              <w:spacing w:before="40" w:after="0"/>
              <w:rPr>
                <w:noProof/>
                <w:color w:val="auto"/>
                <w:sz w:val="22"/>
                <w:szCs w:val="22"/>
              </w:rPr>
            </w:pPr>
            <w:r>
              <w:rPr>
                <w:noProof/>
                <w:color w:val="auto"/>
                <w:sz w:val="22"/>
                <w:szCs w:val="22"/>
              </w:rPr>
              <w:t>2034</w:t>
            </w:r>
          </w:p>
        </w:tc>
        <w:tc>
          <w:tcPr>
            <w:tcW w:w="0" w:type="auto"/>
          </w:tcPr>
          <w:p w14:paraId="07F77024" w14:textId="77777777" w:rsidR="002455C4" w:rsidRPr="000653A9" w:rsidRDefault="002455C4" w:rsidP="00253145">
            <w:pPr>
              <w:spacing w:before="40" w:after="0"/>
              <w:rPr>
                <w:noProof/>
                <w:color w:val="auto"/>
                <w:sz w:val="22"/>
                <w:szCs w:val="22"/>
              </w:rPr>
            </w:pPr>
            <w:r>
              <w:rPr>
                <w:noProof/>
                <w:color w:val="auto"/>
                <w:sz w:val="22"/>
                <w:szCs w:val="22"/>
              </w:rPr>
              <w:t>2035</w:t>
            </w:r>
          </w:p>
        </w:tc>
        <w:tc>
          <w:tcPr>
            <w:tcW w:w="0" w:type="auto"/>
          </w:tcPr>
          <w:p w14:paraId="3A95D764" w14:textId="77777777" w:rsidR="002455C4" w:rsidRPr="000653A9" w:rsidRDefault="002455C4" w:rsidP="00253145">
            <w:pPr>
              <w:spacing w:before="40" w:after="0"/>
              <w:rPr>
                <w:noProof/>
                <w:color w:val="auto"/>
                <w:sz w:val="22"/>
                <w:szCs w:val="22"/>
              </w:rPr>
            </w:pPr>
            <w:r>
              <w:rPr>
                <w:noProof/>
                <w:color w:val="auto"/>
                <w:sz w:val="22"/>
                <w:szCs w:val="22"/>
              </w:rPr>
              <w:t>2036</w:t>
            </w:r>
          </w:p>
        </w:tc>
        <w:tc>
          <w:tcPr>
            <w:tcW w:w="0" w:type="auto"/>
          </w:tcPr>
          <w:p w14:paraId="2174E7A7" w14:textId="77777777" w:rsidR="002455C4" w:rsidRPr="000653A9" w:rsidRDefault="002455C4" w:rsidP="00253145">
            <w:pPr>
              <w:spacing w:before="40" w:after="0"/>
              <w:rPr>
                <w:noProof/>
                <w:color w:val="auto"/>
                <w:sz w:val="22"/>
                <w:szCs w:val="22"/>
              </w:rPr>
            </w:pPr>
            <w:r>
              <w:rPr>
                <w:noProof/>
                <w:color w:val="auto"/>
                <w:sz w:val="22"/>
                <w:szCs w:val="22"/>
              </w:rPr>
              <w:t>2037</w:t>
            </w:r>
          </w:p>
        </w:tc>
        <w:tc>
          <w:tcPr>
            <w:tcW w:w="0" w:type="auto"/>
          </w:tcPr>
          <w:p w14:paraId="1CE7C0B8" w14:textId="77777777" w:rsidR="002455C4" w:rsidRPr="000653A9" w:rsidRDefault="002455C4" w:rsidP="00253145">
            <w:pPr>
              <w:spacing w:before="40" w:after="0"/>
              <w:rPr>
                <w:noProof/>
                <w:color w:val="auto"/>
                <w:sz w:val="22"/>
                <w:szCs w:val="22"/>
              </w:rPr>
            </w:pPr>
            <w:r>
              <w:rPr>
                <w:noProof/>
                <w:color w:val="auto"/>
                <w:sz w:val="22"/>
                <w:szCs w:val="22"/>
              </w:rPr>
              <w:t>2038</w:t>
            </w:r>
          </w:p>
        </w:tc>
        <w:tc>
          <w:tcPr>
            <w:tcW w:w="0" w:type="auto"/>
          </w:tcPr>
          <w:p w14:paraId="01D91E87" w14:textId="77777777" w:rsidR="002455C4" w:rsidRPr="000653A9" w:rsidRDefault="002455C4" w:rsidP="00253145">
            <w:pPr>
              <w:spacing w:before="40" w:after="0"/>
              <w:rPr>
                <w:noProof/>
                <w:color w:val="auto"/>
                <w:sz w:val="22"/>
                <w:szCs w:val="22"/>
              </w:rPr>
            </w:pPr>
            <w:r>
              <w:rPr>
                <w:noProof/>
                <w:color w:val="auto"/>
                <w:sz w:val="22"/>
                <w:szCs w:val="22"/>
              </w:rPr>
              <w:t>2039</w:t>
            </w:r>
          </w:p>
        </w:tc>
        <w:tc>
          <w:tcPr>
            <w:tcW w:w="0" w:type="auto"/>
          </w:tcPr>
          <w:p w14:paraId="0174BFB1" w14:textId="77777777" w:rsidR="002455C4" w:rsidRPr="000653A9" w:rsidRDefault="002455C4" w:rsidP="00253145">
            <w:pPr>
              <w:spacing w:before="40" w:after="0"/>
              <w:rPr>
                <w:noProof/>
                <w:color w:val="auto"/>
                <w:sz w:val="22"/>
                <w:szCs w:val="22"/>
              </w:rPr>
            </w:pPr>
            <w:r>
              <w:rPr>
                <w:noProof/>
                <w:color w:val="auto"/>
                <w:sz w:val="22"/>
                <w:szCs w:val="22"/>
              </w:rPr>
              <w:t>2040</w:t>
            </w:r>
          </w:p>
        </w:tc>
      </w:tr>
      <w:tr w:rsidR="002455C4" w:rsidRPr="000653A9" w14:paraId="398E6130" w14:textId="77777777" w:rsidTr="00253145">
        <w:tc>
          <w:tcPr>
            <w:tcW w:w="0" w:type="auto"/>
          </w:tcPr>
          <w:p w14:paraId="2339B3B2" w14:textId="77777777" w:rsidR="002455C4" w:rsidRPr="000653A9" w:rsidRDefault="002455C4" w:rsidP="00253145">
            <w:pPr>
              <w:spacing w:before="40" w:after="0"/>
              <w:jc w:val="left"/>
              <w:rPr>
                <w:noProof/>
                <w:color w:val="auto"/>
                <w:sz w:val="22"/>
                <w:szCs w:val="22"/>
              </w:rPr>
            </w:pPr>
            <w:r>
              <w:rPr>
                <w:noProof/>
                <w:color w:val="auto"/>
                <w:sz w:val="22"/>
                <w:szCs w:val="22"/>
              </w:rPr>
              <w:t>FA Budget</w:t>
            </w:r>
          </w:p>
        </w:tc>
        <w:tc>
          <w:tcPr>
            <w:tcW w:w="0" w:type="auto"/>
          </w:tcPr>
          <w:p w14:paraId="77AF70BA" w14:textId="77777777" w:rsidR="002455C4" w:rsidRPr="000653A9" w:rsidRDefault="002455C4" w:rsidP="00253145">
            <w:pPr>
              <w:spacing w:before="40" w:after="0"/>
              <w:jc w:val="center"/>
              <w:rPr>
                <w:noProof/>
                <w:color w:val="auto"/>
                <w:sz w:val="22"/>
                <w:szCs w:val="22"/>
              </w:rPr>
            </w:pPr>
            <w:r>
              <w:rPr>
                <w:noProof/>
                <w:color w:val="auto"/>
                <w:sz w:val="22"/>
                <w:szCs w:val="22"/>
              </w:rPr>
              <w:t>305</w:t>
            </w:r>
          </w:p>
        </w:tc>
        <w:tc>
          <w:tcPr>
            <w:tcW w:w="0" w:type="auto"/>
          </w:tcPr>
          <w:p w14:paraId="20849133" w14:textId="77777777" w:rsidR="002455C4" w:rsidRPr="000653A9" w:rsidRDefault="002455C4" w:rsidP="00253145">
            <w:pPr>
              <w:spacing w:before="40" w:after="0"/>
              <w:jc w:val="center"/>
              <w:rPr>
                <w:noProof/>
                <w:color w:val="auto"/>
                <w:sz w:val="22"/>
                <w:szCs w:val="22"/>
              </w:rPr>
            </w:pPr>
            <w:r>
              <w:rPr>
                <w:noProof/>
                <w:color w:val="auto"/>
                <w:sz w:val="22"/>
                <w:szCs w:val="22"/>
              </w:rPr>
              <w:t>278</w:t>
            </w:r>
          </w:p>
        </w:tc>
        <w:tc>
          <w:tcPr>
            <w:tcW w:w="0" w:type="auto"/>
          </w:tcPr>
          <w:p w14:paraId="18C30E4C" w14:textId="77777777" w:rsidR="002455C4" w:rsidRPr="000653A9" w:rsidRDefault="002455C4" w:rsidP="00253145">
            <w:pPr>
              <w:spacing w:before="40" w:after="0"/>
              <w:jc w:val="center"/>
              <w:rPr>
                <w:noProof/>
                <w:color w:val="auto"/>
                <w:sz w:val="22"/>
                <w:szCs w:val="22"/>
              </w:rPr>
            </w:pPr>
            <w:r>
              <w:rPr>
                <w:noProof/>
                <w:color w:val="auto"/>
                <w:sz w:val="22"/>
                <w:szCs w:val="22"/>
              </w:rPr>
              <w:t>252</w:t>
            </w:r>
          </w:p>
        </w:tc>
        <w:tc>
          <w:tcPr>
            <w:tcW w:w="0" w:type="auto"/>
          </w:tcPr>
          <w:p w14:paraId="0E083901" w14:textId="77777777" w:rsidR="002455C4" w:rsidRPr="000653A9" w:rsidRDefault="002455C4" w:rsidP="00253145">
            <w:pPr>
              <w:spacing w:before="40" w:after="0"/>
              <w:jc w:val="center"/>
              <w:rPr>
                <w:noProof/>
                <w:color w:val="auto"/>
                <w:sz w:val="22"/>
                <w:szCs w:val="22"/>
              </w:rPr>
            </w:pPr>
            <w:r>
              <w:rPr>
                <w:noProof/>
                <w:color w:val="auto"/>
                <w:sz w:val="22"/>
                <w:szCs w:val="22"/>
              </w:rPr>
              <w:t>225</w:t>
            </w:r>
          </w:p>
        </w:tc>
        <w:tc>
          <w:tcPr>
            <w:tcW w:w="0" w:type="auto"/>
          </w:tcPr>
          <w:p w14:paraId="6C7F8219" w14:textId="77777777" w:rsidR="002455C4" w:rsidRPr="000653A9" w:rsidRDefault="002455C4" w:rsidP="00253145">
            <w:pPr>
              <w:spacing w:before="40" w:after="0"/>
              <w:jc w:val="center"/>
              <w:rPr>
                <w:noProof/>
                <w:color w:val="auto"/>
                <w:sz w:val="22"/>
                <w:szCs w:val="22"/>
              </w:rPr>
            </w:pPr>
            <w:r>
              <w:rPr>
                <w:noProof/>
                <w:color w:val="auto"/>
                <w:sz w:val="22"/>
                <w:szCs w:val="22"/>
              </w:rPr>
              <w:t>197</w:t>
            </w:r>
          </w:p>
        </w:tc>
        <w:tc>
          <w:tcPr>
            <w:tcW w:w="0" w:type="auto"/>
          </w:tcPr>
          <w:p w14:paraId="72AEF5C3" w14:textId="77777777" w:rsidR="002455C4" w:rsidRPr="000653A9" w:rsidRDefault="002455C4" w:rsidP="00253145">
            <w:pPr>
              <w:spacing w:before="40" w:after="0"/>
              <w:jc w:val="center"/>
              <w:rPr>
                <w:noProof/>
                <w:color w:val="auto"/>
                <w:sz w:val="22"/>
                <w:szCs w:val="22"/>
              </w:rPr>
            </w:pPr>
            <w:r>
              <w:rPr>
                <w:noProof/>
                <w:color w:val="auto"/>
                <w:sz w:val="22"/>
                <w:szCs w:val="22"/>
              </w:rPr>
              <w:t>176</w:t>
            </w:r>
          </w:p>
        </w:tc>
        <w:tc>
          <w:tcPr>
            <w:tcW w:w="0" w:type="auto"/>
          </w:tcPr>
          <w:p w14:paraId="3D171D45" w14:textId="77777777" w:rsidR="002455C4" w:rsidRPr="000653A9" w:rsidRDefault="002455C4" w:rsidP="00253145">
            <w:pPr>
              <w:spacing w:before="40" w:after="0"/>
              <w:jc w:val="center"/>
              <w:rPr>
                <w:noProof/>
                <w:color w:val="auto"/>
                <w:sz w:val="22"/>
                <w:szCs w:val="22"/>
              </w:rPr>
            </w:pPr>
            <w:r>
              <w:rPr>
                <w:noProof/>
                <w:color w:val="auto"/>
                <w:sz w:val="22"/>
                <w:szCs w:val="22"/>
              </w:rPr>
              <w:t>156</w:t>
            </w:r>
          </w:p>
        </w:tc>
        <w:tc>
          <w:tcPr>
            <w:tcW w:w="0" w:type="auto"/>
          </w:tcPr>
          <w:p w14:paraId="3ACABB68" w14:textId="77777777" w:rsidR="002455C4" w:rsidRPr="000653A9" w:rsidRDefault="002455C4" w:rsidP="00253145">
            <w:pPr>
              <w:spacing w:before="40" w:after="0"/>
              <w:jc w:val="center"/>
              <w:rPr>
                <w:noProof/>
                <w:color w:val="auto"/>
                <w:sz w:val="22"/>
                <w:szCs w:val="22"/>
              </w:rPr>
            </w:pPr>
            <w:r>
              <w:rPr>
                <w:noProof/>
                <w:color w:val="auto"/>
                <w:sz w:val="22"/>
                <w:szCs w:val="22"/>
              </w:rPr>
              <w:t>136</w:t>
            </w:r>
          </w:p>
        </w:tc>
        <w:tc>
          <w:tcPr>
            <w:tcW w:w="0" w:type="auto"/>
          </w:tcPr>
          <w:p w14:paraId="0E84485F" w14:textId="77777777" w:rsidR="002455C4" w:rsidRPr="000653A9" w:rsidRDefault="002455C4" w:rsidP="00253145">
            <w:pPr>
              <w:spacing w:before="40" w:after="0"/>
              <w:jc w:val="center"/>
              <w:rPr>
                <w:noProof/>
                <w:color w:val="auto"/>
                <w:sz w:val="22"/>
                <w:szCs w:val="22"/>
              </w:rPr>
            </w:pPr>
            <w:r>
              <w:rPr>
                <w:noProof/>
                <w:color w:val="auto"/>
                <w:sz w:val="22"/>
                <w:szCs w:val="22"/>
              </w:rPr>
              <w:t>115</w:t>
            </w:r>
          </w:p>
        </w:tc>
        <w:tc>
          <w:tcPr>
            <w:tcW w:w="0" w:type="auto"/>
          </w:tcPr>
          <w:p w14:paraId="03D911D9" w14:textId="77777777" w:rsidR="002455C4" w:rsidRPr="000653A9" w:rsidRDefault="002455C4" w:rsidP="00253145">
            <w:pPr>
              <w:spacing w:before="40" w:after="0"/>
              <w:jc w:val="center"/>
              <w:rPr>
                <w:noProof/>
                <w:color w:val="auto"/>
                <w:sz w:val="22"/>
                <w:szCs w:val="22"/>
              </w:rPr>
            </w:pPr>
            <w:r>
              <w:rPr>
                <w:noProof/>
                <w:color w:val="auto"/>
                <w:sz w:val="22"/>
                <w:szCs w:val="22"/>
              </w:rPr>
              <w:t>95</w:t>
            </w:r>
          </w:p>
        </w:tc>
      </w:tr>
      <w:tr w:rsidR="002455C4" w:rsidRPr="000653A9" w14:paraId="7018119D" w14:textId="77777777" w:rsidTr="00253145">
        <w:tc>
          <w:tcPr>
            <w:tcW w:w="0" w:type="auto"/>
          </w:tcPr>
          <w:p w14:paraId="2633407C" w14:textId="77777777" w:rsidR="002455C4" w:rsidRPr="000653A9" w:rsidRDefault="002455C4" w:rsidP="00253145">
            <w:pPr>
              <w:spacing w:before="40" w:after="0"/>
              <w:jc w:val="left"/>
              <w:rPr>
                <w:noProof/>
                <w:color w:val="auto"/>
                <w:sz w:val="22"/>
                <w:szCs w:val="22"/>
              </w:rPr>
            </w:pPr>
            <w:r>
              <w:rPr>
                <w:noProof/>
                <w:color w:val="auto"/>
                <w:sz w:val="22"/>
                <w:szCs w:val="22"/>
              </w:rPr>
              <w:t>FA (Preliminary)</w:t>
            </w:r>
          </w:p>
        </w:tc>
        <w:tc>
          <w:tcPr>
            <w:tcW w:w="0" w:type="auto"/>
          </w:tcPr>
          <w:p w14:paraId="173DAAEB" w14:textId="77777777" w:rsidR="002455C4" w:rsidRPr="000653A9" w:rsidRDefault="002455C4" w:rsidP="00253145">
            <w:pPr>
              <w:spacing w:before="40" w:after="0"/>
              <w:jc w:val="center"/>
              <w:rPr>
                <w:noProof/>
                <w:color w:val="auto"/>
                <w:sz w:val="22"/>
                <w:szCs w:val="22"/>
              </w:rPr>
            </w:pPr>
            <w:r>
              <w:rPr>
                <w:noProof/>
                <w:color w:val="auto"/>
                <w:sz w:val="22"/>
                <w:szCs w:val="22"/>
              </w:rPr>
              <w:t>367</w:t>
            </w:r>
          </w:p>
        </w:tc>
        <w:tc>
          <w:tcPr>
            <w:tcW w:w="0" w:type="auto"/>
          </w:tcPr>
          <w:p w14:paraId="33D2B2FE" w14:textId="77777777" w:rsidR="002455C4" w:rsidRPr="000653A9" w:rsidRDefault="002455C4" w:rsidP="00253145">
            <w:pPr>
              <w:spacing w:before="40" w:after="0"/>
              <w:jc w:val="center"/>
              <w:rPr>
                <w:noProof/>
                <w:color w:val="auto"/>
                <w:sz w:val="22"/>
                <w:szCs w:val="22"/>
              </w:rPr>
            </w:pPr>
            <w:r>
              <w:rPr>
                <w:noProof/>
                <w:color w:val="auto"/>
                <w:sz w:val="22"/>
                <w:szCs w:val="22"/>
              </w:rPr>
              <w:t>366</w:t>
            </w:r>
          </w:p>
        </w:tc>
        <w:tc>
          <w:tcPr>
            <w:tcW w:w="0" w:type="auto"/>
          </w:tcPr>
          <w:p w14:paraId="352987E6" w14:textId="77777777" w:rsidR="002455C4" w:rsidRPr="000653A9" w:rsidRDefault="002455C4" w:rsidP="00253145">
            <w:pPr>
              <w:spacing w:before="40" w:after="0"/>
              <w:jc w:val="center"/>
              <w:rPr>
                <w:noProof/>
                <w:color w:val="auto"/>
                <w:sz w:val="22"/>
                <w:szCs w:val="22"/>
              </w:rPr>
            </w:pPr>
            <w:r>
              <w:rPr>
                <w:noProof/>
                <w:color w:val="auto"/>
                <w:sz w:val="22"/>
                <w:szCs w:val="22"/>
              </w:rPr>
              <w:t>366</w:t>
            </w:r>
          </w:p>
        </w:tc>
        <w:tc>
          <w:tcPr>
            <w:tcW w:w="0" w:type="auto"/>
          </w:tcPr>
          <w:p w14:paraId="154F634A" w14:textId="77777777" w:rsidR="002455C4" w:rsidRPr="000653A9" w:rsidRDefault="002455C4" w:rsidP="00253145">
            <w:pPr>
              <w:spacing w:before="40" w:after="0"/>
              <w:jc w:val="center"/>
              <w:rPr>
                <w:noProof/>
                <w:color w:val="auto"/>
                <w:sz w:val="22"/>
                <w:szCs w:val="22"/>
              </w:rPr>
            </w:pPr>
            <w:r>
              <w:rPr>
                <w:noProof/>
                <w:color w:val="auto"/>
                <w:sz w:val="22"/>
                <w:szCs w:val="22"/>
              </w:rPr>
              <w:t>366</w:t>
            </w:r>
          </w:p>
        </w:tc>
        <w:tc>
          <w:tcPr>
            <w:tcW w:w="0" w:type="auto"/>
          </w:tcPr>
          <w:p w14:paraId="21A0D478" w14:textId="77777777" w:rsidR="002455C4" w:rsidRPr="000653A9" w:rsidRDefault="002455C4" w:rsidP="00253145">
            <w:pPr>
              <w:spacing w:before="40" w:after="0"/>
              <w:jc w:val="center"/>
              <w:rPr>
                <w:noProof/>
                <w:color w:val="auto"/>
                <w:sz w:val="22"/>
                <w:szCs w:val="22"/>
              </w:rPr>
            </w:pPr>
            <w:r>
              <w:rPr>
                <w:noProof/>
                <w:color w:val="auto"/>
                <w:sz w:val="22"/>
                <w:szCs w:val="22"/>
              </w:rPr>
              <w:t>366</w:t>
            </w:r>
          </w:p>
        </w:tc>
        <w:tc>
          <w:tcPr>
            <w:tcW w:w="0" w:type="auto"/>
          </w:tcPr>
          <w:p w14:paraId="3203B71E" w14:textId="77777777" w:rsidR="002455C4" w:rsidRPr="000653A9" w:rsidRDefault="002455C4" w:rsidP="00253145">
            <w:pPr>
              <w:spacing w:before="40" w:after="0"/>
              <w:jc w:val="center"/>
              <w:rPr>
                <w:noProof/>
                <w:color w:val="auto"/>
                <w:sz w:val="22"/>
                <w:szCs w:val="22"/>
              </w:rPr>
            </w:pPr>
            <w:r>
              <w:rPr>
                <w:noProof/>
                <w:color w:val="auto"/>
                <w:sz w:val="22"/>
                <w:szCs w:val="22"/>
              </w:rPr>
              <w:t>319</w:t>
            </w:r>
          </w:p>
        </w:tc>
        <w:tc>
          <w:tcPr>
            <w:tcW w:w="0" w:type="auto"/>
          </w:tcPr>
          <w:p w14:paraId="5394C43A" w14:textId="77777777" w:rsidR="002455C4" w:rsidRPr="000653A9" w:rsidRDefault="002455C4" w:rsidP="00253145">
            <w:pPr>
              <w:spacing w:before="40" w:after="0"/>
              <w:jc w:val="center"/>
              <w:rPr>
                <w:noProof/>
                <w:color w:val="auto"/>
                <w:sz w:val="22"/>
                <w:szCs w:val="22"/>
              </w:rPr>
            </w:pPr>
            <w:r>
              <w:rPr>
                <w:noProof/>
                <w:color w:val="auto"/>
                <w:sz w:val="22"/>
                <w:szCs w:val="22"/>
              </w:rPr>
              <w:t>319</w:t>
            </w:r>
          </w:p>
        </w:tc>
        <w:tc>
          <w:tcPr>
            <w:tcW w:w="0" w:type="auto"/>
          </w:tcPr>
          <w:p w14:paraId="0D38C61B" w14:textId="77777777" w:rsidR="002455C4" w:rsidRPr="000653A9" w:rsidRDefault="002455C4" w:rsidP="00253145">
            <w:pPr>
              <w:spacing w:before="40" w:after="0"/>
              <w:jc w:val="center"/>
              <w:rPr>
                <w:noProof/>
                <w:color w:val="auto"/>
                <w:sz w:val="22"/>
                <w:szCs w:val="22"/>
              </w:rPr>
            </w:pPr>
            <w:r>
              <w:rPr>
                <w:noProof/>
                <w:color w:val="auto"/>
                <w:sz w:val="22"/>
                <w:szCs w:val="22"/>
              </w:rPr>
              <w:t>319</w:t>
            </w:r>
          </w:p>
        </w:tc>
        <w:tc>
          <w:tcPr>
            <w:tcW w:w="0" w:type="auto"/>
          </w:tcPr>
          <w:p w14:paraId="5614B5E6" w14:textId="77777777" w:rsidR="002455C4" w:rsidRPr="000653A9" w:rsidRDefault="002455C4" w:rsidP="00253145">
            <w:pPr>
              <w:spacing w:before="40" w:after="0"/>
              <w:jc w:val="center"/>
              <w:rPr>
                <w:noProof/>
                <w:color w:val="auto"/>
                <w:sz w:val="22"/>
                <w:szCs w:val="22"/>
              </w:rPr>
            </w:pPr>
            <w:r>
              <w:rPr>
                <w:noProof/>
                <w:color w:val="auto"/>
                <w:sz w:val="22"/>
                <w:szCs w:val="22"/>
              </w:rPr>
              <w:t>319</w:t>
            </w:r>
          </w:p>
        </w:tc>
        <w:tc>
          <w:tcPr>
            <w:tcW w:w="0" w:type="auto"/>
          </w:tcPr>
          <w:p w14:paraId="73932C51" w14:textId="77777777" w:rsidR="002455C4" w:rsidRPr="000653A9" w:rsidRDefault="002455C4" w:rsidP="00253145">
            <w:pPr>
              <w:spacing w:before="40" w:after="0"/>
              <w:jc w:val="center"/>
              <w:rPr>
                <w:noProof/>
                <w:color w:val="auto"/>
                <w:sz w:val="22"/>
                <w:szCs w:val="22"/>
              </w:rPr>
            </w:pPr>
            <w:r>
              <w:rPr>
                <w:noProof/>
                <w:color w:val="auto"/>
                <w:sz w:val="22"/>
                <w:szCs w:val="22"/>
              </w:rPr>
              <w:t>319</w:t>
            </w:r>
          </w:p>
        </w:tc>
      </w:tr>
      <w:tr w:rsidR="002455C4" w:rsidRPr="000653A9" w14:paraId="6EB6B6FB" w14:textId="77777777" w:rsidTr="00253145">
        <w:tc>
          <w:tcPr>
            <w:tcW w:w="0" w:type="auto"/>
          </w:tcPr>
          <w:p w14:paraId="6668AD58" w14:textId="77777777" w:rsidR="002455C4" w:rsidRPr="000653A9" w:rsidRDefault="002455C4" w:rsidP="00253145">
            <w:pPr>
              <w:spacing w:before="40" w:after="0"/>
              <w:jc w:val="left"/>
              <w:rPr>
                <w:noProof/>
                <w:color w:val="auto"/>
                <w:sz w:val="22"/>
                <w:szCs w:val="22"/>
              </w:rPr>
            </w:pPr>
            <w:r>
              <w:rPr>
                <w:noProof/>
                <w:color w:val="auto"/>
                <w:sz w:val="22"/>
                <w:szCs w:val="22"/>
              </w:rPr>
              <w:t>CSCF</w:t>
            </w:r>
          </w:p>
        </w:tc>
        <w:tc>
          <w:tcPr>
            <w:tcW w:w="0" w:type="auto"/>
          </w:tcPr>
          <w:p w14:paraId="58CEE5CE" w14:textId="77777777" w:rsidR="002455C4" w:rsidRPr="000653A9" w:rsidRDefault="002455C4" w:rsidP="00253145">
            <w:pPr>
              <w:spacing w:before="40" w:after="0"/>
              <w:jc w:val="center"/>
              <w:rPr>
                <w:noProof/>
                <w:color w:val="auto"/>
                <w:sz w:val="22"/>
                <w:szCs w:val="22"/>
              </w:rPr>
            </w:pPr>
            <w:r>
              <w:rPr>
                <w:noProof/>
                <w:color w:val="auto"/>
                <w:sz w:val="22"/>
                <w:szCs w:val="22"/>
              </w:rPr>
              <w:t>0.83</w:t>
            </w:r>
          </w:p>
        </w:tc>
        <w:tc>
          <w:tcPr>
            <w:tcW w:w="0" w:type="auto"/>
          </w:tcPr>
          <w:p w14:paraId="1452EBB3" w14:textId="77777777" w:rsidR="002455C4" w:rsidRPr="000653A9" w:rsidRDefault="002455C4" w:rsidP="00253145">
            <w:pPr>
              <w:spacing w:before="40" w:after="0"/>
              <w:jc w:val="center"/>
              <w:rPr>
                <w:noProof/>
                <w:color w:val="auto"/>
                <w:sz w:val="22"/>
                <w:szCs w:val="22"/>
              </w:rPr>
            </w:pPr>
            <w:r>
              <w:rPr>
                <w:noProof/>
                <w:color w:val="auto"/>
                <w:sz w:val="22"/>
                <w:szCs w:val="22"/>
              </w:rPr>
              <w:t>0.76</w:t>
            </w:r>
          </w:p>
        </w:tc>
        <w:tc>
          <w:tcPr>
            <w:tcW w:w="0" w:type="auto"/>
          </w:tcPr>
          <w:p w14:paraId="4C290007" w14:textId="77777777" w:rsidR="002455C4" w:rsidRPr="000653A9" w:rsidRDefault="002455C4" w:rsidP="00253145">
            <w:pPr>
              <w:spacing w:before="40" w:after="0"/>
              <w:jc w:val="center"/>
              <w:rPr>
                <w:noProof/>
                <w:color w:val="auto"/>
                <w:sz w:val="22"/>
                <w:szCs w:val="22"/>
              </w:rPr>
            </w:pPr>
            <w:r>
              <w:rPr>
                <w:noProof/>
                <w:color w:val="auto"/>
                <w:sz w:val="22"/>
                <w:szCs w:val="22"/>
              </w:rPr>
              <w:t>0.69</w:t>
            </w:r>
          </w:p>
        </w:tc>
        <w:tc>
          <w:tcPr>
            <w:tcW w:w="0" w:type="auto"/>
          </w:tcPr>
          <w:p w14:paraId="5BF2E9C1" w14:textId="77777777" w:rsidR="002455C4" w:rsidRPr="000653A9" w:rsidRDefault="002455C4" w:rsidP="00253145">
            <w:pPr>
              <w:spacing w:before="40" w:after="0"/>
              <w:jc w:val="center"/>
              <w:rPr>
                <w:noProof/>
                <w:color w:val="auto"/>
                <w:sz w:val="22"/>
                <w:szCs w:val="22"/>
              </w:rPr>
            </w:pPr>
            <w:r>
              <w:rPr>
                <w:noProof/>
                <w:color w:val="auto"/>
                <w:sz w:val="22"/>
                <w:szCs w:val="22"/>
              </w:rPr>
              <w:t>0.61</w:t>
            </w:r>
          </w:p>
        </w:tc>
        <w:tc>
          <w:tcPr>
            <w:tcW w:w="0" w:type="auto"/>
          </w:tcPr>
          <w:p w14:paraId="10FE6975" w14:textId="77777777" w:rsidR="002455C4" w:rsidRPr="000653A9" w:rsidRDefault="002455C4" w:rsidP="00253145">
            <w:pPr>
              <w:spacing w:before="40" w:after="0"/>
              <w:jc w:val="center"/>
              <w:rPr>
                <w:noProof/>
                <w:color w:val="auto"/>
                <w:sz w:val="22"/>
                <w:szCs w:val="22"/>
              </w:rPr>
            </w:pPr>
            <w:r>
              <w:rPr>
                <w:noProof/>
                <w:color w:val="auto"/>
                <w:sz w:val="22"/>
                <w:szCs w:val="22"/>
              </w:rPr>
              <w:t>0.54</w:t>
            </w:r>
          </w:p>
        </w:tc>
        <w:tc>
          <w:tcPr>
            <w:tcW w:w="0" w:type="auto"/>
          </w:tcPr>
          <w:p w14:paraId="0B2066E7" w14:textId="77777777" w:rsidR="002455C4" w:rsidRPr="000653A9" w:rsidRDefault="002455C4" w:rsidP="00253145">
            <w:pPr>
              <w:spacing w:before="40" w:after="0"/>
              <w:jc w:val="center"/>
              <w:rPr>
                <w:noProof/>
                <w:color w:val="auto"/>
                <w:sz w:val="22"/>
                <w:szCs w:val="22"/>
              </w:rPr>
            </w:pPr>
            <w:r>
              <w:rPr>
                <w:noProof/>
                <w:color w:val="auto"/>
                <w:sz w:val="22"/>
                <w:szCs w:val="22"/>
              </w:rPr>
              <w:t>0.55</w:t>
            </w:r>
          </w:p>
        </w:tc>
        <w:tc>
          <w:tcPr>
            <w:tcW w:w="0" w:type="auto"/>
          </w:tcPr>
          <w:p w14:paraId="751864A3" w14:textId="77777777" w:rsidR="002455C4" w:rsidRPr="000653A9" w:rsidRDefault="002455C4" w:rsidP="00253145">
            <w:pPr>
              <w:spacing w:before="40" w:after="0"/>
              <w:jc w:val="center"/>
              <w:rPr>
                <w:noProof/>
                <w:color w:val="auto"/>
                <w:sz w:val="22"/>
                <w:szCs w:val="22"/>
              </w:rPr>
            </w:pPr>
            <w:r>
              <w:rPr>
                <w:noProof/>
                <w:color w:val="auto"/>
                <w:sz w:val="22"/>
                <w:szCs w:val="22"/>
              </w:rPr>
              <w:t>0.49</w:t>
            </w:r>
          </w:p>
        </w:tc>
        <w:tc>
          <w:tcPr>
            <w:tcW w:w="0" w:type="auto"/>
          </w:tcPr>
          <w:p w14:paraId="43D9AE4F" w14:textId="77777777" w:rsidR="002455C4" w:rsidRPr="000653A9" w:rsidRDefault="002455C4" w:rsidP="00253145">
            <w:pPr>
              <w:spacing w:before="40" w:after="0"/>
              <w:jc w:val="center"/>
              <w:rPr>
                <w:noProof/>
                <w:color w:val="auto"/>
                <w:sz w:val="22"/>
                <w:szCs w:val="22"/>
              </w:rPr>
            </w:pPr>
            <w:r>
              <w:rPr>
                <w:noProof/>
                <w:color w:val="auto"/>
                <w:sz w:val="22"/>
                <w:szCs w:val="22"/>
              </w:rPr>
              <w:t>0.43</w:t>
            </w:r>
          </w:p>
        </w:tc>
        <w:tc>
          <w:tcPr>
            <w:tcW w:w="0" w:type="auto"/>
          </w:tcPr>
          <w:p w14:paraId="1100F886" w14:textId="77777777" w:rsidR="002455C4" w:rsidRPr="000653A9" w:rsidRDefault="002455C4" w:rsidP="00253145">
            <w:pPr>
              <w:spacing w:before="40" w:after="0"/>
              <w:jc w:val="center"/>
              <w:rPr>
                <w:noProof/>
                <w:color w:val="auto"/>
                <w:sz w:val="22"/>
                <w:szCs w:val="22"/>
              </w:rPr>
            </w:pPr>
            <w:r>
              <w:rPr>
                <w:noProof/>
                <w:color w:val="auto"/>
                <w:sz w:val="22"/>
                <w:szCs w:val="22"/>
              </w:rPr>
              <w:t>0.36</w:t>
            </w:r>
          </w:p>
        </w:tc>
        <w:tc>
          <w:tcPr>
            <w:tcW w:w="0" w:type="auto"/>
          </w:tcPr>
          <w:p w14:paraId="6D4AEEC4" w14:textId="77777777" w:rsidR="002455C4" w:rsidRPr="000653A9" w:rsidRDefault="002455C4" w:rsidP="00253145">
            <w:pPr>
              <w:spacing w:before="40" w:after="0"/>
              <w:jc w:val="center"/>
              <w:rPr>
                <w:noProof/>
                <w:color w:val="auto"/>
                <w:sz w:val="22"/>
                <w:szCs w:val="22"/>
              </w:rPr>
            </w:pPr>
            <w:r>
              <w:rPr>
                <w:noProof/>
                <w:color w:val="auto"/>
                <w:sz w:val="22"/>
                <w:szCs w:val="22"/>
              </w:rPr>
              <w:t>0.30</w:t>
            </w:r>
          </w:p>
        </w:tc>
      </w:tr>
      <w:tr w:rsidR="002455C4" w:rsidRPr="000653A9" w14:paraId="5665B41F" w14:textId="77777777" w:rsidTr="00253145">
        <w:tc>
          <w:tcPr>
            <w:tcW w:w="0" w:type="auto"/>
            <w:vAlign w:val="center"/>
          </w:tcPr>
          <w:p w14:paraId="7296BD08" w14:textId="77777777" w:rsidR="002455C4" w:rsidRPr="000653A9" w:rsidRDefault="002455C4" w:rsidP="00253145">
            <w:pPr>
              <w:spacing w:before="40" w:after="0"/>
              <w:jc w:val="left"/>
              <w:rPr>
                <w:noProof/>
                <w:color w:val="auto"/>
                <w:sz w:val="22"/>
                <w:szCs w:val="22"/>
              </w:rPr>
            </w:pPr>
            <w:r>
              <w:rPr>
                <w:noProof/>
                <w:color w:val="auto"/>
                <w:sz w:val="22"/>
                <w:szCs w:val="22"/>
              </w:rPr>
              <w:t>FA (before CBAM phase out)</w:t>
            </w:r>
          </w:p>
        </w:tc>
        <w:tc>
          <w:tcPr>
            <w:tcW w:w="0" w:type="auto"/>
          </w:tcPr>
          <w:p w14:paraId="1BDED3DE" w14:textId="77777777" w:rsidR="002455C4" w:rsidRPr="000653A9" w:rsidRDefault="002455C4" w:rsidP="00253145">
            <w:pPr>
              <w:spacing w:before="40" w:after="0"/>
              <w:jc w:val="center"/>
              <w:rPr>
                <w:noProof/>
                <w:color w:val="auto"/>
                <w:sz w:val="22"/>
                <w:szCs w:val="22"/>
              </w:rPr>
            </w:pPr>
            <w:r>
              <w:rPr>
                <w:noProof/>
                <w:color w:val="auto"/>
                <w:sz w:val="22"/>
                <w:szCs w:val="22"/>
              </w:rPr>
              <w:t>305</w:t>
            </w:r>
          </w:p>
        </w:tc>
        <w:tc>
          <w:tcPr>
            <w:tcW w:w="0" w:type="auto"/>
          </w:tcPr>
          <w:p w14:paraId="4E72BE25" w14:textId="77777777" w:rsidR="002455C4" w:rsidRPr="000653A9" w:rsidRDefault="002455C4" w:rsidP="00253145">
            <w:pPr>
              <w:spacing w:before="40" w:after="0"/>
              <w:jc w:val="center"/>
              <w:rPr>
                <w:noProof/>
                <w:color w:val="auto"/>
                <w:sz w:val="22"/>
                <w:szCs w:val="22"/>
              </w:rPr>
            </w:pPr>
            <w:r>
              <w:rPr>
                <w:noProof/>
                <w:color w:val="auto"/>
                <w:sz w:val="22"/>
                <w:szCs w:val="22"/>
              </w:rPr>
              <w:t>278</w:t>
            </w:r>
          </w:p>
        </w:tc>
        <w:tc>
          <w:tcPr>
            <w:tcW w:w="0" w:type="auto"/>
          </w:tcPr>
          <w:p w14:paraId="22F56AC2" w14:textId="77777777" w:rsidR="002455C4" w:rsidRPr="000653A9" w:rsidRDefault="002455C4" w:rsidP="00253145">
            <w:pPr>
              <w:spacing w:before="40" w:after="0"/>
              <w:jc w:val="center"/>
              <w:rPr>
                <w:noProof/>
                <w:color w:val="auto"/>
                <w:sz w:val="22"/>
                <w:szCs w:val="22"/>
              </w:rPr>
            </w:pPr>
            <w:r>
              <w:rPr>
                <w:noProof/>
                <w:color w:val="auto"/>
                <w:sz w:val="22"/>
                <w:szCs w:val="22"/>
              </w:rPr>
              <w:t>252</w:t>
            </w:r>
          </w:p>
        </w:tc>
        <w:tc>
          <w:tcPr>
            <w:tcW w:w="0" w:type="auto"/>
          </w:tcPr>
          <w:p w14:paraId="3C0D5BBC" w14:textId="77777777" w:rsidR="002455C4" w:rsidRPr="000653A9" w:rsidRDefault="002455C4" w:rsidP="00253145">
            <w:pPr>
              <w:spacing w:before="40" w:after="0"/>
              <w:jc w:val="center"/>
              <w:rPr>
                <w:noProof/>
                <w:color w:val="auto"/>
                <w:sz w:val="22"/>
                <w:szCs w:val="22"/>
              </w:rPr>
            </w:pPr>
            <w:r>
              <w:rPr>
                <w:noProof/>
                <w:color w:val="auto"/>
                <w:sz w:val="22"/>
                <w:szCs w:val="22"/>
              </w:rPr>
              <w:t>225</w:t>
            </w:r>
          </w:p>
        </w:tc>
        <w:tc>
          <w:tcPr>
            <w:tcW w:w="0" w:type="auto"/>
          </w:tcPr>
          <w:p w14:paraId="67850B2B" w14:textId="77777777" w:rsidR="002455C4" w:rsidRPr="000653A9" w:rsidRDefault="002455C4" w:rsidP="00253145">
            <w:pPr>
              <w:spacing w:before="40" w:after="0"/>
              <w:jc w:val="center"/>
              <w:rPr>
                <w:noProof/>
                <w:color w:val="auto"/>
                <w:sz w:val="22"/>
                <w:szCs w:val="22"/>
              </w:rPr>
            </w:pPr>
            <w:r>
              <w:rPr>
                <w:noProof/>
                <w:color w:val="auto"/>
                <w:sz w:val="22"/>
                <w:szCs w:val="22"/>
              </w:rPr>
              <w:t>197</w:t>
            </w:r>
          </w:p>
        </w:tc>
        <w:tc>
          <w:tcPr>
            <w:tcW w:w="0" w:type="auto"/>
          </w:tcPr>
          <w:p w14:paraId="760A6296" w14:textId="77777777" w:rsidR="002455C4" w:rsidRPr="000653A9" w:rsidRDefault="002455C4" w:rsidP="00253145">
            <w:pPr>
              <w:spacing w:before="40" w:after="0"/>
              <w:jc w:val="center"/>
              <w:rPr>
                <w:noProof/>
                <w:color w:val="auto"/>
                <w:sz w:val="22"/>
                <w:szCs w:val="22"/>
              </w:rPr>
            </w:pPr>
            <w:r>
              <w:rPr>
                <w:noProof/>
                <w:color w:val="auto"/>
                <w:sz w:val="22"/>
                <w:szCs w:val="22"/>
              </w:rPr>
              <w:t>176</w:t>
            </w:r>
          </w:p>
        </w:tc>
        <w:tc>
          <w:tcPr>
            <w:tcW w:w="0" w:type="auto"/>
          </w:tcPr>
          <w:p w14:paraId="0774F8E6" w14:textId="77777777" w:rsidR="002455C4" w:rsidRPr="000653A9" w:rsidRDefault="002455C4" w:rsidP="00253145">
            <w:pPr>
              <w:spacing w:before="40" w:after="0"/>
              <w:jc w:val="center"/>
              <w:rPr>
                <w:noProof/>
                <w:color w:val="auto"/>
                <w:sz w:val="22"/>
                <w:szCs w:val="22"/>
              </w:rPr>
            </w:pPr>
            <w:r>
              <w:rPr>
                <w:noProof/>
                <w:color w:val="auto"/>
                <w:sz w:val="22"/>
                <w:szCs w:val="22"/>
              </w:rPr>
              <w:t>156</w:t>
            </w:r>
          </w:p>
        </w:tc>
        <w:tc>
          <w:tcPr>
            <w:tcW w:w="0" w:type="auto"/>
          </w:tcPr>
          <w:p w14:paraId="2D7D5251" w14:textId="77777777" w:rsidR="002455C4" w:rsidRPr="000653A9" w:rsidRDefault="002455C4" w:rsidP="00253145">
            <w:pPr>
              <w:spacing w:before="40" w:after="0"/>
              <w:jc w:val="center"/>
              <w:rPr>
                <w:noProof/>
                <w:color w:val="auto"/>
                <w:sz w:val="22"/>
                <w:szCs w:val="22"/>
              </w:rPr>
            </w:pPr>
            <w:r>
              <w:rPr>
                <w:noProof/>
                <w:color w:val="auto"/>
                <w:sz w:val="22"/>
                <w:szCs w:val="22"/>
              </w:rPr>
              <w:t>136</w:t>
            </w:r>
          </w:p>
        </w:tc>
        <w:tc>
          <w:tcPr>
            <w:tcW w:w="0" w:type="auto"/>
          </w:tcPr>
          <w:p w14:paraId="3BCBC132" w14:textId="77777777" w:rsidR="002455C4" w:rsidRPr="000653A9" w:rsidRDefault="002455C4" w:rsidP="00253145">
            <w:pPr>
              <w:spacing w:before="40" w:after="0"/>
              <w:jc w:val="center"/>
              <w:rPr>
                <w:noProof/>
                <w:color w:val="auto"/>
                <w:sz w:val="22"/>
                <w:szCs w:val="22"/>
              </w:rPr>
            </w:pPr>
            <w:r>
              <w:rPr>
                <w:noProof/>
                <w:color w:val="auto"/>
                <w:sz w:val="22"/>
                <w:szCs w:val="22"/>
              </w:rPr>
              <w:t>115</w:t>
            </w:r>
          </w:p>
        </w:tc>
        <w:tc>
          <w:tcPr>
            <w:tcW w:w="0" w:type="auto"/>
          </w:tcPr>
          <w:p w14:paraId="12BF77DA" w14:textId="77777777" w:rsidR="002455C4" w:rsidRPr="000653A9" w:rsidRDefault="002455C4" w:rsidP="00253145">
            <w:pPr>
              <w:spacing w:before="40" w:after="0"/>
              <w:jc w:val="center"/>
              <w:rPr>
                <w:noProof/>
                <w:color w:val="auto"/>
                <w:sz w:val="22"/>
                <w:szCs w:val="22"/>
              </w:rPr>
            </w:pPr>
            <w:r>
              <w:rPr>
                <w:noProof/>
                <w:color w:val="auto"/>
                <w:sz w:val="22"/>
                <w:szCs w:val="22"/>
              </w:rPr>
              <w:t>95</w:t>
            </w:r>
          </w:p>
        </w:tc>
      </w:tr>
      <w:tr w:rsidR="002455C4" w:rsidRPr="000653A9" w14:paraId="56D4B4F4" w14:textId="77777777" w:rsidTr="00253145">
        <w:tc>
          <w:tcPr>
            <w:tcW w:w="0" w:type="auto"/>
            <w:vAlign w:val="center"/>
          </w:tcPr>
          <w:p w14:paraId="16BBDF82" w14:textId="77777777" w:rsidR="002455C4" w:rsidRPr="000653A9" w:rsidRDefault="002455C4" w:rsidP="00253145">
            <w:pPr>
              <w:spacing w:before="40" w:after="0"/>
              <w:jc w:val="left"/>
              <w:rPr>
                <w:noProof/>
                <w:color w:val="auto"/>
                <w:sz w:val="22"/>
                <w:szCs w:val="22"/>
              </w:rPr>
            </w:pPr>
            <w:r>
              <w:rPr>
                <w:noProof/>
                <w:color w:val="auto"/>
                <w:sz w:val="22"/>
                <w:szCs w:val="22"/>
              </w:rPr>
              <w:t>FA (after CBAM phase out)</w:t>
            </w:r>
          </w:p>
        </w:tc>
        <w:tc>
          <w:tcPr>
            <w:tcW w:w="0" w:type="auto"/>
          </w:tcPr>
          <w:p w14:paraId="407A3453" w14:textId="77777777" w:rsidR="002455C4" w:rsidRPr="000653A9" w:rsidRDefault="002455C4" w:rsidP="00253145">
            <w:pPr>
              <w:spacing w:before="40" w:after="0"/>
              <w:jc w:val="center"/>
              <w:rPr>
                <w:noProof/>
                <w:color w:val="auto"/>
                <w:sz w:val="22"/>
                <w:szCs w:val="22"/>
              </w:rPr>
            </w:pPr>
            <w:r>
              <w:rPr>
                <w:noProof/>
                <w:color w:val="auto"/>
                <w:sz w:val="22"/>
                <w:szCs w:val="22"/>
              </w:rPr>
              <w:t>204</w:t>
            </w:r>
          </w:p>
        </w:tc>
        <w:tc>
          <w:tcPr>
            <w:tcW w:w="0" w:type="auto"/>
          </w:tcPr>
          <w:p w14:paraId="2B36338A" w14:textId="77777777" w:rsidR="002455C4" w:rsidRPr="000653A9" w:rsidRDefault="002455C4" w:rsidP="00253145">
            <w:pPr>
              <w:spacing w:before="40" w:after="0"/>
              <w:jc w:val="center"/>
              <w:rPr>
                <w:noProof/>
                <w:color w:val="auto"/>
                <w:sz w:val="22"/>
                <w:szCs w:val="22"/>
              </w:rPr>
            </w:pPr>
            <w:r>
              <w:rPr>
                <w:noProof/>
                <w:color w:val="auto"/>
                <w:sz w:val="22"/>
                <w:szCs w:val="22"/>
              </w:rPr>
              <w:t>167</w:t>
            </w:r>
          </w:p>
        </w:tc>
        <w:tc>
          <w:tcPr>
            <w:tcW w:w="0" w:type="auto"/>
          </w:tcPr>
          <w:p w14:paraId="5963F160" w14:textId="77777777" w:rsidR="002455C4" w:rsidRPr="000653A9" w:rsidRDefault="002455C4" w:rsidP="00253145">
            <w:pPr>
              <w:spacing w:before="40" w:after="0"/>
              <w:jc w:val="center"/>
              <w:rPr>
                <w:noProof/>
                <w:color w:val="auto"/>
                <w:sz w:val="22"/>
                <w:szCs w:val="22"/>
              </w:rPr>
            </w:pPr>
            <w:r>
              <w:rPr>
                <w:noProof/>
                <w:color w:val="auto"/>
                <w:sz w:val="22"/>
                <w:szCs w:val="22"/>
              </w:rPr>
              <w:t>135</w:t>
            </w:r>
          </w:p>
        </w:tc>
        <w:tc>
          <w:tcPr>
            <w:tcW w:w="0" w:type="auto"/>
          </w:tcPr>
          <w:p w14:paraId="6A2FCB36" w14:textId="77777777" w:rsidR="002455C4" w:rsidRPr="000653A9" w:rsidRDefault="002455C4" w:rsidP="00253145">
            <w:pPr>
              <w:spacing w:before="40" w:after="0"/>
              <w:jc w:val="center"/>
              <w:rPr>
                <w:noProof/>
                <w:color w:val="auto"/>
                <w:sz w:val="22"/>
                <w:szCs w:val="22"/>
              </w:rPr>
            </w:pPr>
            <w:r>
              <w:rPr>
                <w:noProof/>
                <w:color w:val="auto"/>
                <w:sz w:val="22"/>
                <w:szCs w:val="22"/>
              </w:rPr>
              <w:t>103</w:t>
            </w:r>
          </w:p>
        </w:tc>
        <w:tc>
          <w:tcPr>
            <w:tcW w:w="0" w:type="auto"/>
          </w:tcPr>
          <w:p w14:paraId="4693C091" w14:textId="77777777" w:rsidR="002455C4" w:rsidRPr="000653A9" w:rsidRDefault="002455C4" w:rsidP="00253145">
            <w:pPr>
              <w:spacing w:before="40" w:after="0"/>
              <w:jc w:val="center"/>
              <w:rPr>
                <w:noProof/>
                <w:color w:val="auto"/>
                <w:sz w:val="22"/>
                <w:szCs w:val="22"/>
              </w:rPr>
            </w:pPr>
            <w:r>
              <w:rPr>
                <w:noProof/>
                <w:color w:val="auto"/>
                <w:sz w:val="22"/>
                <w:szCs w:val="22"/>
              </w:rPr>
              <w:t>90</w:t>
            </w:r>
          </w:p>
        </w:tc>
        <w:tc>
          <w:tcPr>
            <w:tcW w:w="0" w:type="auto"/>
          </w:tcPr>
          <w:p w14:paraId="2D4F4E5F" w14:textId="77777777" w:rsidR="002455C4" w:rsidRPr="000653A9" w:rsidRDefault="002455C4" w:rsidP="00253145">
            <w:pPr>
              <w:spacing w:before="40" w:after="0"/>
              <w:jc w:val="center"/>
              <w:rPr>
                <w:noProof/>
                <w:color w:val="auto"/>
                <w:sz w:val="22"/>
                <w:szCs w:val="22"/>
              </w:rPr>
            </w:pPr>
            <w:r>
              <w:rPr>
                <w:noProof/>
                <w:color w:val="auto"/>
                <w:sz w:val="22"/>
                <w:szCs w:val="22"/>
              </w:rPr>
              <w:t>72</w:t>
            </w:r>
          </w:p>
        </w:tc>
        <w:tc>
          <w:tcPr>
            <w:tcW w:w="0" w:type="auto"/>
          </w:tcPr>
          <w:p w14:paraId="567E683B" w14:textId="77777777" w:rsidR="002455C4" w:rsidRPr="000653A9" w:rsidRDefault="002455C4" w:rsidP="00253145">
            <w:pPr>
              <w:spacing w:before="40" w:after="0"/>
              <w:jc w:val="center"/>
              <w:rPr>
                <w:noProof/>
                <w:color w:val="auto"/>
                <w:sz w:val="22"/>
                <w:szCs w:val="22"/>
              </w:rPr>
            </w:pPr>
            <w:r>
              <w:rPr>
                <w:noProof/>
                <w:color w:val="auto"/>
                <w:sz w:val="22"/>
                <w:szCs w:val="22"/>
              </w:rPr>
              <w:t>64</w:t>
            </w:r>
          </w:p>
        </w:tc>
        <w:tc>
          <w:tcPr>
            <w:tcW w:w="0" w:type="auto"/>
          </w:tcPr>
          <w:p w14:paraId="4A71717B" w14:textId="77777777" w:rsidR="002455C4" w:rsidRPr="000653A9" w:rsidRDefault="002455C4" w:rsidP="00253145">
            <w:pPr>
              <w:spacing w:before="40" w:after="0"/>
              <w:jc w:val="center"/>
              <w:rPr>
                <w:noProof/>
                <w:color w:val="auto"/>
                <w:sz w:val="22"/>
                <w:szCs w:val="22"/>
              </w:rPr>
            </w:pPr>
            <w:r>
              <w:rPr>
                <w:noProof/>
                <w:color w:val="auto"/>
                <w:sz w:val="22"/>
                <w:szCs w:val="22"/>
              </w:rPr>
              <w:t>56</w:t>
            </w:r>
          </w:p>
        </w:tc>
        <w:tc>
          <w:tcPr>
            <w:tcW w:w="0" w:type="auto"/>
          </w:tcPr>
          <w:p w14:paraId="7D1B518C" w14:textId="77777777" w:rsidR="002455C4" w:rsidRPr="000653A9" w:rsidRDefault="002455C4" w:rsidP="00253145">
            <w:pPr>
              <w:spacing w:before="40" w:after="0"/>
              <w:jc w:val="center"/>
              <w:rPr>
                <w:noProof/>
                <w:color w:val="auto"/>
                <w:sz w:val="22"/>
                <w:szCs w:val="22"/>
              </w:rPr>
            </w:pPr>
            <w:r>
              <w:rPr>
                <w:noProof/>
                <w:color w:val="auto"/>
                <w:sz w:val="22"/>
                <w:szCs w:val="22"/>
              </w:rPr>
              <w:t>47</w:t>
            </w:r>
          </w:p>
        </w:tc>
        <w:tc>
          <w:tcPr>
            <w:tcW w:w="0" w:type="auto"/>
          </w:tcPr>
          <w:p w14:paraId="1C146E35" w14:textId="77777777" w:rsidR="002455C4" w:rsidRPr="000653A9" w:rsidRDefault="002455C4" w:rsidP="00253145">
            <w:pPr>
              <w:spacing w:before="40" w:after="0"/>
              <w:jc w:val="center"/>
              <w:rPr>
                <w:noProof/>
                <w:color w:val="auto"/>
                <w:sz w:val="22"/>
                <w:szCs w:val="22"/>
              </w:rPr>
            </w:pPr>
            <w:r>
              <w:rPr>
                <w:noProof/>
                <w:color w:val="auto"/>
                <w:sz w:val="22"/>
                <w:szCs w:val="22"/>
              </w:rPr>
              <w:t>39</w:t>
            </w:r>
          </w:p>
        </w:tc>
      </w:tr>
    </w:tbl>
    <w:p w14:paraId="06163D16" w14:textId="64583D18" w:rsidR="00830486" w:rsidRPr="000653A9" w:rsidRDefault="00830486" w:rsidP="00830486">
      <w:pPr>
        <w:spacing w:after="240"/>
        <w:rPr>
          <w:i/>
          <w:iCs/>
          <w:noProof/>
          <w:color w:val="auto"/>
          <w:sz w:val="20"/>
          <w:szCs w:val="20"/>
        </w:rPr>
      </w:pPr>
      <w:r w:rsidRPr="000653A9">
        <w:rPr>
          <w:i/>
          <w:iCs/>
          <w:noProof/>
          <w:color w:val="auto"/>
          <w:sz w:val="20"/>
          <w:szCs w:val="20"/>
        </w:rPr>
        <w:t>Source:</w:t>
      </w:r>
      <w:r w:rsidRPr="000653A9">
        <w:rPr>
          <w:i/>
          <w:iCs/>
          <w:noProof/>
          <w:sz w:val="22"/>
          <w:szCs w:val="22"/>
        </w:rPr>
        <w:tab/>
      </w:r>
      <w:r w:rsidRPr="000653A9">
        <w:rPr>
          <w:i/>
          <w:iCs/>
          <w:noProof/>
          <w:color w:val="auto"/>
          <w:sz w:val="20"/>
          <w:szCs w:val="20"/>
        </w:rPr>
        <w:t>Own calculation based upon preliminary NIMs data for 2019-23</w:t>
      </w:r>
    </w:p>
    <w:p w14:paraId="1E32240D" w14:textId="7C67D688" w:rsidR="00830486" w:rsidRPr="000653A9" w:rsidRDefault="00A0230D" w:rsidP="00830486">
      <w:pPr>
        <w:rPr>
          <w:noProof/>
        </w:rPr>
      </w:pPr>
      <w:r w:rsidRPr="000653A9">
        <w:rPr>
          <w:noProof/>
        </w:rPr>
        <w:t>Figure 4</w:t>
      </w:r>
      <w:r w:rsidR="008271F0" w:rsidRPr="000653A9">
        <w:rPr>
          <w:noProof/>
        </w:rPr>
        <w:t xml:space="preserve"> </w:t>
      </w:r>
      <w:r w:rsidR="00830486" w:rsidRPr="000653A9">
        <w:rPr>
          <w:noProof/>
        </w:rPr>
        <w:t xml:space="preserve">shows how the distribution of free allocation to sectors develops over time under CL1. The manufacture of refined petroleum products (NACE code 19.20) would receive around </w:t>
      </w:r>
      <w:r>
        <w:rPr>
          <w:noProof/>
        </w:rPr>
        <w:t>266</w:t>
      </w:r>
      <w:r w:rsidR="00830486" w:rsidRPr="000653A9">
        <w:rPr>
          <w:noProof/>
        </w:rPr>
        <w:t xml:space="preserve"> million EUAs for free over 2031-40 and this is followed by the manufacture of other organic basic chemicals (NACE code 20.14), the manufacture of basic iron and steel and of ferro alloys (NACE code 24.10) and the manufacture of lime (NACE code 23.52) that receive </w:t>
      </w:r>
      <w:r>
        <w:rPr>
          <w:noProof/>
        </w:rPr>
        <w:t>108</w:t>
      </w:r>
      <w:r w:rsidR="00830486" w:rsidRPr="000653A9">
        <w:rPr>
          <w:noProof/>
        </w:rPr>
        <w:t xml:space="preserve"> million EUAs, </w:t>
      </w:r>
      <w:r>
        <w:rPr>
          <w:noProof/>
        </w:rPr>
        <w:t>80</w:t>
      </w:r>
      <w:r w:rsidR="00830486" w:rsidRPr="000653A9">
        <w:rPr>
          <w:noProof/>
        </w:rPr>
        <w:t xml:space="preserve"> million EUAs and </w:t>
      </w:r>
      <w:r>
        <w:rPr>
          <w:noProof/>
        </w:rPr>
        <w:t>46</w:t>
      </w:r>
      <w:r w:rsidR="00830486" w:rsidRPr="000653A9">
        <w:rPr>
          <w:noProof/>
        </w:rPr>
        <w:t xml:space="preserve"> million EUAs respectively over 2031-40. In contrast to the baseline, there are considerably more allowances available for free up until the end of Phase V and this reflects the less stringent cap that also reduces the need for the full application of the CSCF. </w:t>
      </w:r>
    </w:p>
    <w:p w14:paraId="210F36E5" w14:textId="0A509EEE" w:rsidR="00FD6CC0" w:rsidRPr="000653A9" w:rsidRDefault="00830486" w:rsidP="00A45B63">
      <w:pPr>
        <w:pStyle w:val="Figuretitle"/>
        <w:rPr>
          <w:noProof/>
        </w:rPr>
      </w:pPr>
      <w:bookmarkStart w:id="325" w:name="_Toc224659138"/>
      <w:r w:rsidRPr="000653A9">
        <w:rPr>
          <w:noProof/>
        </w:rPr>
        <w:t>Distribution of free allocation under CL1 for 2031-40</w:t>
      </w:r>
      <w:bookmarkEnd w:id="325"/>
    </w:p>
    <w:p w14:paraId="369E2933" w14:textId="77777777" w:rsidR="00CC4F87" w:rsidRDefault="00FD6CC0" w:rsidP="00C92FA9">
      <w:pPr>
        <w:jc w:val="center"/>
        <w:rPr>
          <w:noProof/>
        </w:rPr>
      </w:pPr>
      <w:r>
        <w:rPr>
          <w:noProof/>
          <w:lang w:eastAsia="en-GB"/>
        </w:rPr>
        <w:drawing>
          <wp:inline distT="0" distB="0" distL="0" distR="0" wp14:anchorId="21D89BFA" wp14:editId="0DE49240">
            <wp:extent cx="4710988" cy="3077441"/>
            <wp:effectExtent l="0" t="0" r="0" b="8890"/>
            <wp:docPr id="662160353"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60353" name="Picture 1" descr="A graph of different colored bars&#10;&#10;AI-generated content may be incorrect."/>
                    <pic:cNvPicPr/>
                  </pic:nvPicPr>
                  <pic:blipFill>
                    <a:blip r:embed="rId18"/>
                    <a:stretch>
                      <a:fillRect/>
                    </a:stretch>
                  </pic:blipFill>
                  <pic:spPr>
                    <a:xfrm>
                      <a:off x="0" y="0"/>
                      <a:ext cx="4724575" cy="3086316"/>
                    </a:xfrm>
                    <a:prstGeom prst="rect">
                      <a:avLst/>
                    </a:prstGeom>
                  </pic:spPr>
                </pic:pic>
              </a:graphicData>
            </a:graphic>
          </wp:inline>
        </w:drawing>
      </w:r>
    </w:p>
    <w:p w14:paraId="551749FB" w14:textId="3D81D453" w:rsidR="00830486" w:rsidRPr="000653A9" w:rsidRDefault="00830486" w:rsidP="00830486">
      <w:pPr>
        <w:spacing w:after="240"/>
        <w:rPr>
          <w:i/>
          <w:iCs/>
          <w:noProof/>
          <w:sz w:val="20"/>
          <w:szCs w:val="20"/>
        </w:rPr>
      </w:pPr>
      <w:r w:rsidRPr="000653A9">
        <w:rPr>
          <w:i/>
          <w:iCs/>
          <w:noProof/>
          <w:sz w:val="20"/>
          <w:szCs w:val="20"/>
        </w:rPr>
        <w:t>Source:</w:t>
      </w:r>
      <w:r w:rsidRPr="000653A9">
        <w:rPr>
          <w:i/>
          <w:iCs/>
          <w:noProof/>
          <w:sz w:val="22"/>
          <w:szCs w:val="22"/>
        </w:rPr>
        <w:tab/>
      </w:r>
      <w:r w:rsidRPr="000653A9">
        <w:rPr>
          <w:i/>
          <w:iCs/>
          <w:noProof/>
          <w:sz w:val="20"/>
          <w:szCs w:val="20"/>
        </w:rPr>
        <w:t>Own calculation based upon preliminary NIMs data for 2019-23</w:t>
      </w:r>
    </w:p>
    <w:p w14:paraId="7B164405" w14:textId="4C57FD2F" w:rsidR="00A24B35" w:rsidRPr="000653A9" w:rsidRDefault="00A24B35" w:rsidP="00A24B35">
      <w:pPr>
        <w:spacing w:before="240"/>
        <w:rPr>
          <w:noProof/>
          <w:u w:val="single"/>
        </w:rPr>
      </w:pPr>
      <w:r w:rsidRPr="000653A9">
        <w:rPr>
          <w:noProof/>
          <w:u w:val="single"/>
        </w:rPr>
        <w:t>CL2_90</w:t>
      </w:r>
      <w:r w:rsidR="00FF3D16" w:rsidRPr="000653A9">
        <w:rPr>
          <w:noProof/>
          <w:u w:val="single"/>
        </w:rPr>
        <w:t xml:space="preserve"> (PO2)</w:t>
      </w:r>
    </w:p>
    <w:p w14:paraId="203C5FA4" w14:textId="7D5B770E" w:rsidR="00A24B35" w:rsidRPr="000653A9" w:rsidRDefault="00BC36A9" w:rsidP="00A24B35">
      <w:pPr>
        <w:rPr>
          <w:noProof/>
        </w:rPr>
      </w:pPr>
      <w:r w:rsidRPr="000653A9">
        <w:rPr>
          <w:noProof/>
          <w:color w:val="auto"/>
        </w:rPr>
        <w:t xml:space="preserve">Table </w:t>
      </w:r>
      <w:r w:rsidR="00AD43DE" w:rsidRPr="000653A9">
        <w:rPr>
          <w:noProof/>
          <w:color w:val="auto"/>
        </w:rPr>
        <w:t>7</w:t>
      </w:r>
      <w:r w:rsidRPr="000653A9">
        <w:rPr>
          <w:noProof/>
          <w:color w:val="auto"/>
        </w:rPr>
        <w:t xml:space="preserve"> </w:t>
      </w:r>
      <w:r w:rsidR="00A24B35" w:rsidRPr="000653A9">
        <w:rPr>
          <w:noProof/>
        </w:rPr>
        <w:t xml:space="preserve">shows that the overall budget for free allocation between 2031-40 in the CL2_90 scenario, which is assumed to be </w:t>
      </w:r>
      <w:r>
        <w:rPr>
          <w:noProof/>
        </w:rPr>
        <w:t>2,206</w:t>
      </w:r>
      <w:r w:rsidR="00A24B35" w:rsidRPr="000653A9">
        <w:rPr>
          <w:noProof/>
        </w:rPr>
        <w:t xml:space="preserve"> M EUAs over 2031-40. The preliminary free allocation was then calculated following a bottom-up approach and this resulted in a total of </w:t>
      </w:r>
      <w:r>
        <w:rPr>
          <w:noProof/>
        </w:rPr>
        <w:t>3,306</w:t>
      </w:r>
      <w:r w:rsidR="00A24B35" w:rsidRPr="000653A9">
        <w:rPr>
          <w:noProof/>
        </w:rPr>
        <w:t xml:space="preserve"> M EUAs over 2031-40. The preliminary allocation is lower than under the CL1 scenario as the CL2_90 scenario assumes that in the 2031-40 </w:t>
      </w:r>
      <w:r w:rsidR="0072490E" w:rsidRPr="000653A9">
        <w:rPr>
          <w:noProof/>
        </w:rPr>
        <w:t>period</w:t>
      </w:r>
      <w:r w:rsidR="00A24B35" w:rsidRPr="000653A9">
        <w:rPr>
          <w:noProof/>
        </w:rPr>
        <w:t xml:space="preserve"> that an increasing share of the free allocation will be conditional. The total volume of the primary allocation is, however, </w:t>
      </w:r>
      <w:r w:rsidR="0037225B" w:rsidRPr="000653A9">
        <w:rPr>
          <w:noProof/>
        </w:rPr>
        <w:t>like</w:t>
      </w:r>
      <w:r w:rsidR="00A24B35" w:rsidRPr="000653A9">
        <w:rPr>
          <w:noProof/>
        </w:rPr>
        <w:t xml:space="preserve"> the CL1 scenario as a compliance rate of 90% is assumed in the first variant of the CL2 scenario. As the preliminary allocation exceeded the free allocation budget, the CSCF was progressively applied over the </w:t>
      </w:r>
      <w:r w:rsidR="0072490E" w:rsidRPr="000653A9">
        <w:rPr>
          <w:noProof/>
        </w:rPr>
        <w:t>period</w:t>
      </w:r>
      <w:r w:rsidR="00A24B35" w:rsidRPr="000653A9">
        <w:rPr>
          <w:noProof/>
        </w:rPr>
        <w:t xml:space="preserve"> with the value declining from </w:t>
      </w:r>
      <w:r>
        <w:rPr>
          <w:noProof/>
        </w:rPr>
        <w:t>0.88</w:t>
      </w:r>
      <w:r w:rsidR="00C778A1" w:rsidRPr="000653A9">
        <w:rPr>
          <w:noProof/>
        </w:rPr>
        <w:t xml:space="preserve"> </w:t>
      </w:r>
      <w:r w:rsidR="00A24B35" w:rsidRPr="000653A9">
        <w:rPr>
          <w:noProof/>
        </w:rPr>
        <w:t xml:space="preserve">in 2031 to </w:t>
      </w:r>
      <w:r>
        <w:rPr>
          <w:noProof/>
        </w:rPr>
        <w:t>0.31</w:t>
      </w:r>
      <w:r w:rsidR="00A24B35" w:rsidRPr="000653A9">
        <w:rPr>
          <w:noProof/>
        </w:rPr>
        <w:t xml:space="preserve"> by 2040. The slightly lower preliminary free allocation under the CL2_90 scenario (as well as the higher free allocation budget) compared to the CL1 scenario results in the application of a </w:t>
      </w:r>
      <w:r w:rsidR="00F45C4E" w:rsidRPr="000653A9">
        <w:rPr>
          <w:noProof/>
        </w:rPr>
        <w:t xml:space="preserve">more stringent </w:t>
      </w:r>
      <w:r w:rsidR="00A24B35" w:rsidRPr="000653A9">
        <w:rPr>
          <w:noProof/>
        </w:rPr>
        <w:t xml:space="preserve">CSCF across the </w:t>
      </w:r>
      <w:r w:rsidR="0072490E" w:rsidRPr="000653A9">
        <w:rPr>
          <w:noProof/>
        </w:rPr>
        <w:t>period</w:t>
      </w:r>
      <w:r w:rsidR="00A24B35" w:rsidRPr="000653A9">
        <w:rPr>
          <w:noProof/>
        </w:rPr>
        <w:t xml:space="preserve">. The application of the CSCF allows the final free allocation budget to not exceed the free allocation budget for the 2031-40 </w:t>
      </w:r>
      <w:r w:rsidR="0072490E" w:rsidRPr="000653A9">
        <w:rPr>
          <w:noProof/>
        </w:rPr>
        <w:t>period</w:t>
      </w:r>
      <w:r w:rsidR="00A24B35" w:rsidRPr="000653A9">
        <w:rPr>
          <w:noProof/>
        </w:rPr>
        <w:t xml:space="preserve">. In a final step, the CBAM discount factor was applied over Phase V for sub-installations covered by the CBAM and this reduced the total free allocation over 2031-40 to </w:t>
      </w:r>
      <w:r>
        <w:rPr>
          <w:noProof/>
        </w:rPr>
        <w:t>990</w:t>
      </w:r>
      <w:r w:rsidR="00A24B35" w:rsidRPr="000653A9">
        <w:rPr>
          <w:noProof/>
        </w:rPr>
        <w:t xml:space="preserve"> M EUAs.</w:t>
      </w:r>
    </w:p>
    <w:p w14:paraId="00AD1F65" w14:textId="7FEB2C5C" w:rsidR="00BD3CF9" w:rsidRPr="000653A9" w:rsidRDefault="00A24B35" w:rsidP="00A45B63">
      <w:pPr>
        <w:pStyle w:val="Tabletitle"/>
        <w:rPr>
          <w:noProof/>
        </w:rPr>
      </w:pPr>
      <w:bookmarkStart w:id="326" w:name="_Toc234435110"/>
      <w:bookmarkStart w:id="327" w:name="_Toc232003573"/>
      <w:r w:rsidRPr="000653A9">
        <w:rPr>
          <w:noProof/>
        </w:rPr>
        <w:t>Estimation of the total volume of free allowances available under CL2_90 for 2031-40</w:t>
      </w:r>
      <w:bookmarkEnd w:id="326"/>
      <w:bookmarkEnd w:id="327"/>
    </w:p>
    <w:p w14:paraId="38F35377" w14:textId="77777777" w:rsidR="00CC4F87" w:rsidRDefault="00CC4F87" w:rsidP="00C92FA9">
      <w:pPr>
        <w:spacing w:after="240"/>
        <w:rPr>
          <w:noProof/>
        </w:rPr>
      </w:pP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56"/>
        <w:gridCol w:w="656"/>
        <w:gridCol w:w="656"/>
        <w:gridCol w:w="656"/>
        <w:gridCol w:w="656"/>
        <w:gridCol w:w="656"/>
        <w:gridCol w:w="656"/>
        <w:gridCol w:w="656"/>
        <w:gridCol w:w="656"/>
        <w:gridCol w:w="656"/>
      </w:tblGrid>
      <w:tr w:rsidR="00BD3CF9" w:rsidRPr="000653A9" w14:paraId="21469364" w14:textId="77777777" w:rsidTr="00BD3CF9">
        <w:trPr>
          <w:cnfStyle w:val="100000000000" w:firstRow="1" w:lastRow="0" w:firstColumn="0" w:lastColumn="0" w:oddVBand="0" w:evenVBand="0" w:oddHBand="0" w:evenHBand="0" w:firstRowFirstColumn="0" w:firstRowLastColumn="0" w:lastRowFirstColumn="0" w:lastRowLastColumn="0"/>
        </w:trPr>
        <w:tc>
          <w:tcPr>
            <w:tcW w:w="1517" w:type="pct"/>
          </w:tcPr>
          <w:p w14:paraId="7FDF08B4" w14:textId="77777777" w:rsidR="00BD3CF9" w:rsidRPr="000653A9" w:rsidRDefault="00BD3CF9" w:rsidP="00253145">
            <w:pPr>
              <w:spacing w:before="40" w:after="0"/>
              <w:rPr>
                <w:noProof/>
                <w:color w:val="auto"/>
                <w:sz w:val="22"/>
                <w:szCs w:val="22"/>
              </w:rPr>
            </w:pPr>
          </w:p>
        </w:tc>
        <w:tc>
          <w:tcPr>
            <w:tcW w:w="348" w:type="pct"/>
          </w:tcPr>
          <w:p w14:paraId="2A5DECD5" w14:textId="77777777" w:rsidR="00BD3CF9" w:rsidRPr="000653A9" w:rsidRDefault="00BD3CF9" w:rsidP="00253145">
            <w:pPr>
              <w:spacing w:before="40" w:after="0"/>
              <w:rPr>
                <w:noProof/>
                <w:color w:val="auto"/>
                <w:sz w:val="22"/>
                <w:szCs w:val="22"/>
              </w:rPr>
            </w:pPr>
            <w:r>
              <w:rPr>
                <w:noProof/>
                <w:color w:val="auto"/>
                <w:sz w:val="22"/>
                <w:szCs w:val="22"/>
              </w:rPr>
              <w:t>2031</w:t>
            </w:r>
          </w:p>
        </w:tc>
        <w:tc>
          <w:tcPr>
            <w:tcW w:w="348" w:type="pct"/>
          </w:tcPr>
          <w:p w14:paraId="70538290" w14:textId="77777777" w:rsidR="00BD3CF9" w:rsidRPr="000653A9" w:rsidRDefault="00BD3CF9" w:rsidP="00253145">
            <w:pPr>
              <w:spacing w:before="40" w:after="0"/>
              <w:rPr>
                <w:noProof/>
                <w:color w:val="auto"/>
                <w:sz w:val="22"/>
                <w:szCs w:val="22"/>
              </w:rPr>
            </w:pPr>
            <w:r>
              <w:rPr>
                <w:noProof/>
                <w:color w:val="auto"/>
                <w:sz w:val="22"/>
                <w:szCs w:val="22"/>
              </w:rPr>
              <w:t>2032</w:t>
            </w:r>
          </w:p>
        </w:tc>
        <w:tc>
          <w:tcPr>
            <w:tcW w:w="348" w:type="pct"/>
          </w:tcPr>
          <w:p w14:paraId="4EC4D0B0" w14:textId="77777777" w:rsidR="00BD3CF9" w:rsidRPr="000653A9" w:rsidRDefault="00BD3CF9" w:rsidP="00253145">
            <w:pPr>
              <w:spacing w:before="40" w:after="0"/>
              <w:rPr>
                <w:noProof/>
                <w:color w:val="auto"/>
                <w:sz w:val="22"/>
                <w:szCs w:val="22"/>
              </w:rPr>
            </w:pPr>
            <w:r>
              <w:rPr>
                <w:noProof/>
                <w:color w:val="auto"/>
                <w:sz w:val="22"/>
                <w:szCs w:val="22"/>
              </w:rPr>
              <w:t>2033</w:t>
            </w:r>
          </w:p>
        </w:tc>
        <w:tc>
          <w:tcPr>
            <w:tcW w:w="348" w:type="pct"/>
          </w:tcPr>
          <w:p w14:paraId="6F86CBDF" w14:textId="77777777" w:rsidR="00BD3CF9" w:rsidRPr="000653A9" w:rsidRDefault="00BD3CF9" w:rsidP="00253145">
            <w:pPr>
              <w:spacing w:before="40" w:after="0"/>
              <w:rPr>
                <w:noProof/>
                <w:color w:val="auto"/>
                <w:sz w:val="22"/>
                <w:szCs w:val="22"/>
              </w:rPr>
            </w:pPr>
            <w:r>
              <w:rPr>
                <w:noProof/>
                <w:color w:val="auto"/>
                <w:sz w:val="22"/>
                <w:szCs w:val="22"/>
              </w:rPr>
              <w:t>2034</w:t>
            </w:r>
          </w:p>
        </w:tc>
        <w:tc>
          <w:tcPr>
            <w:tcW w:w="348" w:type="pct"/>
          </w:tcPr>
          <w:p w14:paraId="21482559" w14:textId="77777777" w:rsidR="00BD3CF9" w:rsidRPr="000653A9" w:rsidRDefault="00BD3CF9" w:rsidP="00253145">
            <w:pPr>
              <w:spacing w:before="40" w:after="0"/>
              <w:rPr>
                <w:noProof/>
                <w:color w:val="auto"/>
                <w:sz w:val="22"/>
                <w:szCs w:val="22"/>
              </w:rPr>
            </w:pPr>
            <w:r>
              <w:rPr>
                <w:noProof/>
                <w:color w:val="auto"/>
                <w:sz w:val="22"/>
                <w:szCs w:val="22"/>
              </w:rPr>
              <w:t>2035</w:t>
            </w:r>
          </w:p>
        </w:tc>
        <w:tc>
          <w:tcPr>
            <w:tcW w:w="348" w:type="pct"/>
          </w:tcPr>
          <w:p w14:paraId="67CD7A35" w14:textId="77777777" w:rsidR="00BD3CF9" w:rsidRPr="000653A9" w:rsidRDefault="00BD3CF9" w:rsidP="00253145">
            <w:pPr>
              <w:spacing w:before="40" w:after="0"/>
              <w:rPr>
                <w:noProof/>
                <w:color w:val="auto"/>
                <w:sz w:val="22"/>
                <w:szCs w:val="22"/>
              </w:rPr>
            </w:pPr>
            <w:r>
              <w:rPr>
                <w:noProof/>
                <w:color w:val="auto"/>
                <w:sz w:val="22"/>
                <w:szCs w:val="22"/>
              </w:rPr>
              <w:t>2036</w:t>
            </w:r>
          </w:p>
        </w:tc>
        <w:tc>
          <w:tcPr>
            <w:tcW w:w="348" w:type="pct"/>
          </w:tcPr>
          <w:p w14:paraId="50D629E8" w14:textId="77777777" w:rsidR="00BD3CF9" w:rsidRPr="000653A9" w:rsidRDefault="00BD3CF9" w:rsidP="00253145">
            <w:pPr>
              <w:spacing w:before="40" w:after="0"/>
              <w:rPr>
                <w:noProof/>
                <w:color w:val="auto"/>
                <w:sz w:val="22"/>
                <w:szCs w:val="22"/>
              </w:rPr>
            </w:pPr>
            <w:r>
              <w:rPr>
                <w:noProof/>
                <w:color w:val="auto"/>
                <w:sz w:val="22"/>
                <w:szCs w:val="22"/>
              </w:rPr>
              <w:t>2037</w:t>
            </w:r>
          </w:p>
        </w:tc>
        <w:tc>
          <w:tcPr>
            <w:tcW w:w="348" w:type="pct"/>
          </w:tcPr>
          <w:p w14:paraId="43127D47" w14:textId="77777777" w:rsidR="00BD3CF9" w:rsidRPr="000653A9" w:rsidRDefault="00BD3CF9" w:rsidP="00253145">
            <w:pPr>
              <w:spacing w:before="40" w:after="0"/>
              <w:rPr>
                <w:noProof/>
                <w:color w:val="auto"/>
                <w:sz w:val="22"/>
                <w:szCs w:val="22"/>
              </w:rPr>
            </w:pPr>
            <w:r>
              <w:rPr>
                <w:noProof/>
                <w:color w:val="auto"/>
                <w:sz w:val="22"/>
                <w:szCs w:val="22"/>
              </w:rPr>
              <w:t>2038</w:t>
            </w:r>
          </w:p>
        </w:tc>
        <w:tc>
          <w:tcPr>
            <w:tcW w:w="348" w:type="pct"/>
          </w:tcPr>
          <w:p w14:paraId="375CD806" w14:textId="77777777" w:rsidR="00BD3CF9" w:rsidRPr="000653A9" w:rsidRDefault="00BD3CF9" w:rsidP="00253145">
            <w:pPr>
              <w:spacing w:before="40" w:after="0"/>
              <w:rPr>
                <w:noProof/>
                <w:color w:val="auto"/>
                <w:sz w:val="22"/>
                <w:szCs w:val="22"/>
              </w:rPr>
            </w:pPr>
            <w:r>
              <w:rPr>
                <w:noProof/>
                <w:color w:val="auto"/>
                <w:sz w:val="22"/>
                <w:szCs w:val="22"/>
              </w:rPr>
              <w:t>2039</w:t>
            </w:r>
          </w:p>
        </w:tc>
        <w:tc>
          <w:tcPr>
            <w:tcW w:w="348" w:type="pct"/>
          </w:tcPr>
          <w:p w14:paraId="7FD81FBD" w14:textId="77777777" w:rsidR="00BD3CF9" w:rsidRPr="000653A9" w:rsidRDefault="00BD3CF9" w:rsidP="00253145">
            <w:pPr>
              <w:spacing w:before="40" w:after="0"/>
              <w:rPr>
                <w:noProof/>
                <w:color w:val="auto"/>
                <w:sz w:val="22"/>
                <w:szCs w:val="22"/>
              </w:rPr>
            </w:pPr>
            <w:r>
              <w:rPr>
                <w:noProof/>
                <w:color w:val="auto"/>
                <w:sz w:val="22"/>
                <w:szCs w:val="22"/>
              </w:rPr>
              <w:t>2040</w:t>
            </w:r>
          </w:p>
        </w:tc>
      </w:tr>
      <w:tr w:rsidR="00BD3CF9" w:rsidRPr="000653A9" w14:paraId="591855C5" w14:textId="77777777" w:rsidTr="00BD3CF9">
        <w:tc>
          <w:tcPr>
            <w:tcW w:w="1517" w:type="pct"/>
          </w:tcPr>
          <w:p w14:paraId="2B913560" w14:textId="77777777" w:rsidR="00BD3CF9" w:rsidRPr="000653A9" w:rsidRDefault="00BD3CF9" w:rsidP="00253145">
            <w:pPr>
              <w:spacing w:before="40" w:after="0"/>
              <w:jc w:val="left"/>
              <w:rPr>
                <w:noProof/>
                <w:color w:val="auto"/>
                <w:sz w:val="22"/>
                <w:szCs w:val="22"/>
              </w:rPr>
            </w:pPr>
            <w:r>
              <w:rPr>
                <w:noProof/>
                <w:color w:val="auto"/>
                <w:sz w:val="22"/>
                <w:szCs w:val="22"/>
              </w:rPr>
              <w:t>FA Budget</w:t>
            </w:r>
          </w:p>
        </w:tc>
        <w:tc>
          <w:tcPr>
            <w:tcW w:w="348" w:type="pct"/>
          </w:tcPr>
          <w:p w14:paraId="7CB979BD" w14:textId="77777777" w:rsidR="00BD3CF9" w:rsidRPr="000653A9" w:rsidRDefault="00BD3CF9" w:rsidP="00253145">
            <w:pPr>
              <w:spacing w:before="40" w:after="0"/>
              <w:jc w:val="center"/>
              <w:rPr>
                <w:noProof/>
                <w:color w:val="auto"/>
                <w:sz w:val="22"/>
                <w:szCs w:val="22"/>
              </w:rPr>
            </w:pPr>
            <w:r>
              <w:rPr>
                <w:noProof/>
                <w:color w:val="auto"/>
                <w:sz w:val="22"/>
                <w:szCs w:val="22"/>
              </w:rPr>
              <w:t>320</w:t>
            </w:r>
          </w:p>
        </w:tc>
        <w:tc>
          <w:tcPr>
            <w:tcW w:w="348" w:type="pct"/>
          </w:tcPr>
          <w:p w14:paraId="72804E01" w14:textId="77777777" w:rsidR="00BD3CF9" w:rsidRPr="000653A9" w:rsidRDefault="00BD3CF9" w:rsidP="00253145">
            <w:pPr>
              <w:spacing w:before="40" w:after="0"/>
              <w:jc w:val="center"/>
              <w:rPr>
                <w:noProof/>
                <w:color w:val="auto"/>
                <w:sz w:val="22"/>
                <w:szCs w:val="22"/>
              </w:rPr>
            </w:pPr>
            <w:r>
              <w:rPr>
                <w:noProof/>
                <w:color w:val="auto"/>
                <w:sz w:val="22"/>
                <w:szCs w:val="22"/>
              </w:rPr>
              <w:t>293</w:t>
            </w:r>
          </w:p>
        </w:tc>
        <w:tc>
          <w:tcPr>
            <w:tcW w:w="348" w:type="pct"/>
          </w:tcPr>
          <w:p w14:paraId="3F3D706D" w14:textId="77777777" w:rsidR="00BD3CF9" w:rsidRPr="000653A9" w:rsidRDefault="00BD3CF9" w:rsidP="00253145">
            <w:pPr>
              <w:spacing w:before="40" w:after="0"/>
              <w:jc w:val="center"/>
              <w:rPr>
                <w:noProof/>
                <w:color w:val="auto"/>
                <w:sz w:val="22"/>
                <w:szCs w:val="22"/>
              </w:rPr>
            </w:pPr>
            <w:r>
              <w:rPr>
                <w:noProof/>
                <w:color w:val="auto"/>
                <w:sz w:val="22"/>
                <w:szCs w:val="22"/>
              </w:rPr>
              <w:t>267</w:t>
            </w:r>
          </w:p>
        </w:tc>
        <w:tc>
          <w:tcPr>
            <w:tcW w:w="348" w:type="pct"/>
          </w:tcPr>
          <w:p w14:paraId="330EED60" w14:textId="77777777" w:rsidR="00BD3CF9" w:rsidRPr="000653A9" w:rsidRDefault="00BD3CF9" w:rsidP="00253145">
            <w:pPr>
              <w:spacing w:before="40" w:after="0"/>
              <w:jc w:val="center"/>
              <w:rPr>
                <w:noProof/>
                <w:color w:val="auto"/>
                <w:sz w:val="22"/>
                <w:szCs w:val="22"/>
              </w:rPr>
            </w:pPr>
            <w:r>
              <w:rPr>
                <w:noProof/>
                <w:color w:val="auto"/>
                <w:sz w:val="22"/>
                <w:szCs w:val="22"/>
              </w:rPr>
              <w:t>240</w:t>
            </w:r>
          </w:p>
        </w:tc>
        <w:tc>
          <w:tcPr>
            <w:tcW w:w="348" w:type="pct"/>
          </w:tcPr>
          <w:p w14:paraId="5EB5454E" w14:textId="77777777" w:rsidR="00BD3CF9" w:rsidRPr="000653A9" w:rsidRDefault="00BD3CF9" w:rsidP="00253145">
            <w:pPr>
              <w:spacing w:before="40" w:after="0"/>
              <w:jc w:val="center"/>
              <w:rPr>
                <w:noProof/>
                <w:color w:val="auto"/>
                <w:sz w:val="22"/>
                <w:szCs w:val="22"/>
              </w:rPr>
            </w:pPr>
            <w:r>
              <w:rPr>
                <w:noProof/>
                <w:color w:val="auto"/>
                <w:sz w:val="22"/>
                <w:szCs w:val="22"/>
              </w:rPr>
              <w:t>212</w:t>
            </w:r>
          </w:p>
        </w:tc>
        <w:tc>
          <w:tcPr>
            <w:tcW w:w="348" w:type="pct"/>
          </w:tcPr>
          <w:p w14:paraId="6B309B79" w14:textId="77777777" w:rsidR="00BD3CF9" w:rsidRPr="000653A9" w:rsidRDefault="00BD3CF9" w:rsidP="00253145">
            <w:pPr>
              <w:spacing w:before="40" w:after="0"/>
              <w:jc w:val="center"/>
              <w:rPr>
                <w:noProof/>
                <w:color w:val="auto"/>
                <w:sz w:val="22"/>
                <w:szCs w:val="22"/>
              </w:rPr>
            </w:pPr>
            <w:r>
              <w:rPr>
                <w:noProof/>
                <w:color w:val="auto"/>
                <w:sz w:val="22"/>
                <w:szCs w:val="22"/>
              </w:rPr>
              <w:t>187</w:t>
            </w:r>
          </w:p>
        </w:tc>
        <w:tc>
          <w:tcPr>
            <w:tcW w:w="348" w:type="pct"/>
          </w:tcPr>
          <w:p w14:paraId="42C95E81" w14:textId="77777777" w:rsidR="00BD3CF9" w:rsidRPr="000653A9" w:rsidRDefault="00BD3CF9" w:rsidP="00253145">
            <w:pPr>
              <w:spacing w:before="40" w:after="0"/>
              <w:jc w:val="center"/>
              <w:rPr>
                <w:noProof/>
                <w:color w:val="auto"/>
                <w:sz w:val="22"/>
                <w:szCs w:val="22"/>
              </w:rPr>
            </w:pPr>
            <w:r>
              <w:rPr>
                <w:noProof/>
                <w:color w:val="auto"/>
                <w:sz w:val="22"/>
                <w:szCs w:val="22"/>
              </w:rPr>
              <w:t>163</w:t>
            </w:r>
          </w:p>
        </w:tc>
        <w:tc>
          <w:tcPr>
            <w:tcW w:w="348" w:type="pct"/>
          </w:tcPr>
          <w:p w14:paraId="423B43EB" w14:textId="77777777" w:rsidR="00BD3CF9" w:rsidRPr="000653A9" w:rsidRDefault="00BD3CF9" w:rsidP="00253145">
            <w:pPr>
              <w:spacing w:before="40" w:after="0"/>
              <w:jc w:val="center"/>
              <w:rPr>
                <w:noProof/>
                <w:color w:val="auto"/>
                <w:sz w:val="22"/>
                <w:szCs w:val="22"/>
              </w:rPr>
            </w:pPr>
            <w:r>
              <w:rPr>
                <w:noProof/>
                <w:color w:val="auto"/>
                <w:sz w:val="22"/>
                <w:szCs w:val="22"/>
              </w:rPr>
              <w:t>139</w:t>
            </w:r>
          </w:p>
        </w:tc>
        <w:tc>
          <w:tcPr>
            <w:tcW w:w="348" w:type="pct"/>
          </w:tcPr>
          <w:p w14:paraId="76A96C07" w14:textId="77777777" w:rsidR="00BD3CF9" w:rsidRPr="000653A9" w:rsidRDefault="00BD3CF9" w:rsidP="00253145">
            <w:pPr>
              <w:spacing w:before="40" w:after="0"/>
              <w:jc w:val="center"/>
              <w:rPr>
                <w:noProof/>
                <w:color w:val="auto"/>
                <w:sz w:val="22"/>
                <w:szCs w:val="22"/>
              </w:rPr>
            </w:pPr>
            <w:r>
              <w:rPr>
                <w:noProof/>
                <w:color w:val="auto"/>
                <w:sz w:val="22"/>
                <w:szCs w:val="22"/>
              </w:rPr>
              <w:t>114</w:t>
            </w:r>
          </w:p>
        </w:tc>
        <w:tc>
          <w:tcPr>
            <w:tcW w:w="348" w:type="pct"/>
          </w:tcPr>
          <w:p w14:paraId="5CA24AB1" w14:textId="77777777" w:rsidR="00BD3CF9" w:rsidRPr="000653A9" w:rsidRDefault="00BD3CF9" w:rsidP="00253145">
            <w:pPr>
              <w:spacing w:before="40" w:after="0"/>
              <w:jc w:val="center"/>
              <w:rPr>
                <w:noProof/>
                <w:color w:val="auto"/>
                <w:sz w:val="22"/>
                <w:szCs w:val="22"/>
              </w:rPr>
            </w:pPr>
            <w:r>
              <w:rPr>
                <w:noProof/>
                <w:color w:val="auto"/>
                <w:sz w:val="22"/>
                <w:szCs w:val="22"/>
              </w:rPr>
              <w:t>90</w:t>
            </w:r>
          </w:p>
        </w:tc>
      </w:tr>
      <w:tr w:rsidR="00BD3CF9" w:rsidRPr="000653A9" w14:paraId="389AE89E" w14:textId="77777777" w:rsidTr="00BD3CF9">
        <w:tc>
          <w:tcPr>
            <w:tcW w:w="1517" w:type="pct"/>
          </w:tcPr>
          <w:p w14:paraId="159F4EDF" w14:textId="77777777" w:rsidR="00BD3CF9" w:rsidRPr="000653A9" w:rsidRDefault="00BD3CF9" w:rsidP="00253145">
            <w:pPr>
              <w:spacing w:before="40" w:after="0"/>
              <w:jc w:val="left"/>
              <w:rPr>
                <w:noProof/>
                <w:color w:val="auto"/>
                <w:sz w:val="22"/>
                <w:szCs w:val="22"/>
              </w:rPr>
            </w:pPr>
            <w:r>
              <w:rPr>
                <w:noProof/>
                <w:color w:val="auto"/>
                <w:sz w:val="22"/>
                <w:szCs w:val="22"/>
              </w:rPr>
              <w:t>FA (Preliminary)</w:t>
            </w:r>
          </w:p>
        </w:tc>
        <w:tc>
          <w:tcPr>
            <w:tcW w:w="348" w:type="pct"/>
          </w:tcPr>
          <w:p w14:paraId="1BA16E7F" w14:textId="77777777" w:rsidR="00BD3CF9" w:rsidRPr="000653A9" w:rsidRDefault="00BD3CF9" w:rsidP="00253145">
            <w:pPr>
              <w:spacing w:before="40" w:after="0"/>
              <w:jc w:val="center"/>
              <w:rPr>
                <w:noProof/>
                <w:color w:val="auto"/>
                <w:sz w:val="22"/>
                <w:szCs w:val="22"/>
              </w:rPr>
            </w:pPr>
            <w:r>
              <w:rPr>
                <w:noProof/>
                <w:color w:val="auto"/>
                <w:sz w:val="22"/>
                <w:szCs w:val="22"/>
              </w:rPr>
              <w:t>363</w:t>
            </w:r>
          </w:p>
        </w:tc>
        <w:tc>
          <w:tcPr>
            <w:tcW w:w="348" w:type="pct"/>
          </w:tcPr>
          <w:p w14:paraId="1B18BB6E" w14:textId="77777777" w:rsidR="00BD3CF9" w:rsidRPr="000653A9" w:rsidRDefault="00BD3CF9" w:rsidP="00253145">
            <w:pPr>
              <w:spacing w:before="40" w:after="0"/>
              <w:jc w:val="center"/>
              <w:rPr>
                <w:noProof/>
                <w:color w:val="auto"/>
                <w:sz w:val="22"/>
                <w:szCs w:val="22"/>
              </w:rPr>
            </w:pPr>
            <w:r>
              <w:rPr>
                <w:noProof/>
                <w:color w:val="auto"/>
                <w:sz w:val="22"/>
                <w:szCs w:val="22"/>
              </w:rPr>
              <w:t>360</w:t>
            </w:r>
          </w:p>
        </w:tc>
        <w:tc>
          <w:tcPr>
            <w:tcW w:w="348" w:type="pct"/>
          </w:tcPr>
          <w:p w14:paraId="1EDB34C5" w14:textId="77777777" w:rsidR="00BD3CF9" w:rsidRPr="000653A9" w:rsidRDefault="00BD3CF9" w:rsidP="00253145">
            <w:pPr>
              <w:spacing w:before="40" w:after="0"/>
              <w:jc w:val="center"/>
              <w:rPr>
                <w:noProof/>
                <w:color w:val="auto"/>
                <w:sz w:val="22"/>
                <w:szCs w:val="22"/>
              </w:rPr>
            </w:pPr>
            <w:r>
              <w:rPr>
                <w:noProof/>
                <w:color w:val="auto"/>
                <w:sz w:val="22"/>
                <w:szCs w:val="22"/>
              </w:rPr>
              <w:t>356</w:t>
            </w:r>
          </w:p>
        </w:tc>
        <w:tc>
          <w:tcPr>
            <w:tcW w:w="348" w:type="pct"/>
          </w:tcPr>
          <w:p w14:paraId="5A8419D2" w14:textId="77777777" w:rsidR="00BD3CF9" w:rsidRPr="000653A9" w:rsidRDefault="00BD3CF9" w:rsidP="00253145">
            <w:pPr>
              <w:spacing w:before="40" w:after="0"/>
              <w:jc w:val="center"/>
              <w:rPr>
                <w:noProof/>
                <w:color w:val="auto"/>
                <w:sz w:val="22"/>
                <w:szCs w:val="22"/>
              </w:rPr>
            </w:pPr>
            <w:r>
              <w:rPr>
                <w:noProof/>
                <w:color w:val="auto"/>
                <w:sz w:val="22"/>
                <w:szCs w:val="22"/>
              </w:rPr>
              <w:t>349</w:t>
            </w:r>
          </w:p>
        </w:tc>
        <w:tc>
          <w:tcPr>
            <w:tcW w:w="348" w:type="pct"/>
          </w:tcPr>
          <w:p w14:paraId="18DF663B" w14:textId="77777777" w:rsidR="00BD3CF9" w:rsidRPr="000653A9" w:rsidRDefault="00BD3CF9" w:rsidP="00253145">
            <w:pPr>
              <w:spacing w:before="40" w:after="0"/>
              <w:jc w:val="center"/>
              <w:rPr>
                <w:noProof/>
                <w:color w:val="auto"/>
                <w:sz w:val="22"/>
                <w:szCs w:val="22"/>
              </w:rPr>
            </w:pPr>
            <w:r>
              <w:rPr>
                <w:noProof/>
                <w:color w:val="auto"/>
                <w:sz w:val="22"/>
                <w:szCs w:val="22"/>
              </w:rPr>
              <w:t>349</w:t>
            </w:r>
          </w:p>
        </w:tc>
        <w:tc>
          <w:tcPr>
            <w:tcW w:w="348" w:type="pct"/>
          </w:tcPr>
          <w:p w14:paraId="4D61B036" w14:textId="77777777" w:rsidR="00BD3CF9" w:rsidRPr="000653A9" w:rsidRDefault="00BD3CF9" w:rsidP="00253145">
            <w:pPr>
              <w:spacing w:before="40" w:after="0"/>
              <w:jc w:val="center"/>
              <w:rPr>
                <w:noProof/>
                <w:color w:val="auto"/>
                <w:sz w:val="22"/>
                <w:szCs w:val="22"/>
              </w:rPr>
            </w:pPr>
            <w:r>
              <w:rPr>
                <w:noProof/>
                <w:color w:val="auto"/>
                <w:sz w:val="22"/>
                <w:szCs w:val="22"/>
              </w:rPr>
              <w:t>306</w:t>
            </w:r>
          </w:p>
        </w:tc>
        <w:tc>
          <w:tcPr>
            <w:tcW w:w="348" w:type="pct"/>
          </w:tcPr>
          <w:p w14:paraId="37B1EC19" w14:textId="77777777" w:rsidR="00BD3CF9" w:rsidRPr="000653A9" w:rsidRDefault="00BD3CF9" w:rsidP="00253145">
            <w:pPr>
              <w:spacing w:before="40" w:after="0"/>
              <w:jc w:val="center"/>
              <w:rPr>
                <w:noProof/>
                <w:color w:val="auto"/>
                <w:sz w:val="22"/>
                <w:szCs w:val="22"/>
              </w:rPr>
            </w:pPr>
            <w:r>
              <w:rPr>
                <w:noProof/>
                <w:color w:val="auto"/>
                <w:sz w:val="22"/>
                <w:szCs w:val="22"/>
              </w:rPr>
              <w:t>306</w:t>
            </w:r>
          </w:p>
        </w:tc>
        <w:tc>
          <w:tcPr>
            <w:tcW w:w="348" w:type="pct"/>
          </w:tcPr>
          <w:p w14:paraId="3FBB44D0" w14:textId="77777777" w:rsidR="00BD3CF9" w:rsidRPr="000653A9" w:rsidRDefault="00BD3CF9" w:rsidP="00253145">
            <w:pPr>
              <w:spacing w:before="40" w:after="0"/>
              <w:jc w:val="center"/>
              <w:rPr>
                <w:noProof/>
                <w:color w:val="auto"/>
                <w:sz w:val="22"/>
                <w:szCs w:val="22"/>
              </w:rPr>
            </w:pPr>
            <w:r>
              <w:rPr>
                <w:noProof/>
                <w:color w:val="auto"/>
                <w:sz w:val="22"/>
                <w:szCs w:val="22"/>
              </w:rPr>
              <w:t>306</w:t>
            </w:r>
          </w:p>
        </w:tc>
        <w:tc>
          <w:tcPr>
            <w:tcW w:w="348" w:type="pct"/>
          </w:tcPr>
          <w:p w14:paraId="0E4BAF37" w14:textId="77777777" w:rsidR="00BD3CF9" w:rsidRPr="000653A9" w:rsidRDefault="00BD3CF9" w:rsidP="00253145">
            <w:pPr>
              <w:spacing w:before="40" w:after="0"/>
              <w:jc w:val="center"/>
              <w:rPr>
                <w:noProof/>
                <w:color w:val="auto"/>
                <w:sz w:val="22"/>
                <w:szCs w:val="22"/>
              </w:rPr>
            </w:pPr>
            <w:r>
              <w:rPr>
                <w:noProof/>
                <w:color w:val="auto"/>
                <w:sz w:val="22"/>
                <w:szCs w:val="22"/>
              </w:rPr>
              <w:t>306</w:t>
            </w:r>
          </w:p>
        </w:tc>
        <w:tc>
          <w:tcPr>
            <w:tcW w:w="348" w:type="pct"/>
          </w:tcPr>
          <w:p w14:paraId="088D87AF" w14:textId="77777777" w:rsidR="00BD3CF9" w:rsidRPr="000653A9" w:rsidRDefault="00BD3CF9" w:rsidP="00253145">
            <w:pPr>
              <w:spacing w:before="40" w:after="0"/>
              <w:jc w:val="center"/>
              <w:rPr>
                <w:noProof/>
                <w:color w:val="auto"/>
                <w:sz w:val="22"/>
                <w:szCs w:val="22"/>
              </w:rPr>
            </w:pPr>
            <w:r>
              <w:rPr>
                <w:noProof/>
                <w:color w:val="auto"/>
                <w:sz w:val="22"/>
                <w:szCs w:val="22"/>
              </w:rPr>
              <w:t>305</w:t>
            </w:r>
          </w:p>
        </w:tc>
      </w:tr>
      <w:tr w:rsidR="00BD3CF9" w:rsidRPr="000653A9" w14:paraId="576424B0" w14:textId="77777777" w:rsidTr="00BD3CF9">
        <w:tc>
          <w:tcPr>
            <w:tcW w:w="1517" w:type="pct"/>
          </w:tcPr>
          <w:p w14:paraId="29DAB70A" w14:textId="77777777" w:rsidR="00BD3CF9" w:rsidRPr="000653A9" w:rsidRDefault="00BD3CF9" w:rsidP="00253145">
            <w:pPr>
              <w:spacing w:before="40" w:after="0"/>
              <w:jc w:val="left"/>
              <w:rPr>
                <w:noProof/>
                <w:color w:val="auto"/>
                <w:sz w:val="22"/>
                <w:szCs w:val="22"/>
              </w:rPr>
            </w:pPr>
            <w:r>
              <w:rPr>
                <w:noProof/>
                <w:color w:val="auto"/>
                <w:sz w:val="22"/>
                <w:szCs w:val="22"/>
              </w:rPr>
              <w:t>CSCF</w:t>
            </w:r>
          </w:p>
        </w:tc>
        <w:tc>
          <w:tcPr>
            <w:tcW w:w="348" w:type="pct"/>
          </w:tcPr>
          <w:p w14:paraId="46ACB29B" w14:textId="77777777" w:rsidR="00BD3CF9" w:rsidRPr="000653A9" w:rsidRDefault="00BD3CF9" w:rsidP="00253145">
            <w:pPr>
              <w:spacing w:before="40" w:after="0"/>
              <w:jc w:val="center"/>
              <w:rPr>
                <w:noProof/>
                <w:color w:val="auto"/>
                <w:sz w:val="22"/>
                <w:szCs w:val="22"/>
              </w:rPr>
            </w:pPr>
            <w:r>
              <w:rPr>
                <w:noProof/>
                <w:color w:val="auto"/>
                <w:sz w:val="22"/>
                <w:szCs w:val="22"/>
              </w:rPr>
              <w:t>0.88</w:t>
            </w:r>
          </w:p>
        </w:tc>
        <w:tc>
          <w:tcPr>
            <w:tcW w:w="348" w:type="pct"/>
          </w:tcPr>
          <w:p w14:paraId="6A4CB215" w14:textId="77777777" w:rsidR="00BD3CF9" w:rsidRPr="000653A9" w:rsidRDefault="00BD3CF9" w:rsidP="00253145">
            <w:pPr>
              <w:spacing w:before="40" w:after="0"/>
              <w:jc w:val="center"/>
              <w:rPr>
                <w:noProof/>
                <w:color w:val="auto"/>
                <w:sz w:val="22"/>
                <w:szCs w:val="22"/>
              </w:rPr>
            </w:pPr>
            <w:r>
              <w:rPr>
                <w:noProof/>
                <w:color w:val="auto"/>
                <w:sz w:val="22"/>
                <w:szCs w:val="22"/>
              </w:rPr>
              <w:t>0.82</w:t>
            </w:r>
          </w:p>
        </w:tc>
        <w:tc>
          <w:tcPr>
            <w:tcW w:w="348" w:type="pct"/>
          </w:tcPr>
          <w:p w14:paraId="1B58BE4D" w14:textId="77777777" w:rsidR="00BD3CF9" w:rsidRPr="000653A9" w:rsidRDefault="00BD3CF9" w:rsidP="00253145">
            <w:pPr>
              <w:spacing w:before="40" w:after="0"/>
              <w:jc w:val="center"/>
              <w:rPr>
                <w:noProof/>
                <w:color w:val="auto"/>
                <w:sz w:val="22"/>
                <w:szCs w:val="22"/>
              </w:rPr>
            </w:pPr>
            <w:r>
              <w:rPr>
                <w:noProof/>
                <w:color w:val="auto"/>
                <w:sz w:val="22"/>
                <w:szCs w:val="22"/>
              </w:rPr>
              <w:t>0.75</w:t>
            </w:r>
          </w:p>
        </w:tc>
        <w:tc>
          <w:tcPr>
            <w:tcW w:w="348" w:type="pct"/>
          </w:tcPr>
          <w:p w14:paraId="36894E50" w14:textId="77777777" w:rsidR="00BD3CF9" w:rsidRPr="000653A9" w:rsidRDefault="00BD3CF9" w:rsidP="00253145">
            <w:pPr>
              <w:spacing w:before="40" w:after="0"/>
              <w:jc w:val="center"/>
              <w:rPr>
                <w:noProof/>
                <w:color w:val="auto"/>
                <w:sz w:val="22"/>
                <w:szCs w:val="22"/>
              </w:rPr>
            </w:pPr>
            <w:r>
              <w:rPr>
                <w:noProof/>
                <w:color w:val="auto"/>
                <w:sz w:val="22"/>
                <w:szCs w:val="22"/>
              </w:rPr>
              <w:t>0.69</w:t>
            </w:r>
          </w:p>
        </w:tc>
        <w:tc>
          <w:tcPr>
            <w:tcW w:w="348" w:type="pct"/>
          </w:tcPr>
          <w:p w14:paraId="4C8E31B2" w14:textId="77777777" w:rsidR="00BD3CF9" w:rsidRPr="000653A9" w:rsidRDefault="00BD3CF9" w:rsidP="00253145">
            <w:pPr>
              <w:spacing w:before="40" w:after="0"/>
              <w:jc w:val="center"/>
              <w:rPr>
                <w:noProof/>
                <w:color w:val="auto"/>
                <w:sz w:val="22"/>
                <w:szCs w:val="22"/>
              </w:rPr>
            </w:pPr>
            <w:r>
              <w:rPr>
                <w:noProof/>
                <w:color w:val="auto"/>
                <w:sz w:val="22"/>
                <w:szCs w:val="22"/>
              </w:rPr>
              <w:t>0.61</w:t>
            </w:r>
          </w:p>
        </w:tc>
        <w:tc>
          <w:tcPr>
            <w:tcW w:w="348" w:type="pct"/>
          </w:tcPr>
          <w:p w14:paraId="06156351" w14:textId="77777777" w:rsidR="00BD3CF9" w:rsidRPr="000653A9" w:rsidRDefault="00BD3CF9" w:rsidP="00253145">
            <w:pPr>
              <w:spacing w:before="40" w:after="0"/>
              <w:jc w:val="center"/>
              <w:rPr>
                <w:noProof/>
                <w:color w:val="auto"/>
                <w:sz w:val="22"/>
                <w:szCs w:val="22"/>
              </w:rPr>
            </w:pPr>
            <w:r>
              <w:rPr>
                <w:noProof/>
                <w:color w:val="auto"/>
                <w:sz w:val="22"/>
                <w:szCs w:val="22"/>
              </w:rPr>
              <w:t>0.61</w:t>
            </w:r>
          </w:p>
        </w:tc>
        <w:tc>
          <w:tcPr>
            <w:tcW w:w="348" w:type="pct"/>
          </w:tcPr>
          <w:p w14:paraId="7D8FD23E" w14:textId="77777777" w:rsidR="00BD3CF9" w:rsidRPr="000653A9" w:rsidRDefault="00BD3CF9" w:rsidP="00253145">
            <w:pPr>
              <w:spacing w:before="40" w:after="0"/>
              <w:jc w:val="center"/>
              <w:rPr>
                <w:noProof/>
                <w:color w:val="auto"/>
                <w:sz w:val="22"/>
                <w:szCs w:val="22"/>
              </w:rPr>
            </w:pPr>
            <w:r>
              <w:rPr>
                <w:noProof/>
                <w:color w:val="auto"/>
                <w:sz w:val="22"/>
                <w:szCs w:val="22"/>
              </w:rPr>
              <w:t>0.53</w:t>
            </w:r>
          </w:p>
        </w:tc>
        <w:tc>
          <w:tcPr>
            <w:tcW w:w="348" w:type="pct"/>
          </w:tcPr>
          <w:p w14:paraId="1181A118" w14:textId="77777777" w:rsidR="00BD3CF9" w:rsidRPr="000653A9" w:rsidRDefault="00BD3CF9" w:rsidP="00253145">
            <w:pPr>
              <w:spacing w:before="40" w:after="0"/>
              <w:jc w:val="center"/>
              <w:rPr>
                <w:noProof/>
                <w:color w:val="auto"/>
                <w:sz w:val="22"/>
                <w:szCs w:val="22"/>
              </w:rPr>
            </w:pPr>
            <w:r>
              <w:rPr>
                <w:noProof/>
                <w:color w:val="auto"/>
                <w:sz w:val="22"/>
                <w:szCs w:val="22"/>
              </w:rPr>
              <w:t>0.45</w:t>
            </w:r>
          </w:p>
        </w:tc>
        <w:tc>
          <w:tcPr>
            <w:tcW w:w="348" w:type="pct"/>
          </w:tcPr>
          <w:p w14:paraId="350DBFE8" w14:textId="77777777" w:rsidR="00BD3CF9" w:rsidRPr="000653A9" w:rsidRDefault="00BD3CF9" w:rsidP="00253145">
            <w:pPr>
              <w:spacing w:before="40" w:after="0"/>
              <w:jc w:val="center"/>
              <w:rPr>
                <w:noProof/>
                <w:color w:val="auto"/>
                <w:sz w:val="22"/>
                <w:szCs w:val="22"/>
              </w:rPr>
            </w:pPr>
            <w:r>
              <w:rPr>
                <w:noProof/>
                <w:color w:val="auto"/>
                <w:sz w:val="22"/>
                <w:szCs w:val="22"/>
              </w:rPr>
              <w:t>0.37</w:t>
            </w:r>
          </w:p>
        </w:tc>
        <w:tc>
          <w:tcPr>
            <w:tcW w:w="348" w:type="pct"/>
          </w:tcPr>
          <w:p w14:paraId="6B87E4DF" w14:textId="77777777" w:rsidR="00BD3CF9" w:rsidRPr="000653A9" w:rsidRDefault="00BD3CF9" w:rsidP="00253145">
            <w:pPr>
              <w:spacing w:before="40" w:after="0"/>
              <w:jc w:val="center"/>
              <w:rPr>
                <w:noProof/>
                <w:color w:val="auto"/>
                <w:sz w:val="22"/>
                <w:szCs w:val="22"/>
              </w:rPr>
            </w:pPr>
            <w:r>
              <w:rPr>
                <w:noProof/>
                <w:color w:val="auto"/>
                <w:sz w:val="22"/>
                <w:szCs w:val="22"/>
              </w:rPr>
              <w:t>0.30</w:t>
            </w:r>
          </w:p>
        </w:tc>
      </w:tr>
      <w:tr w:rsidR="00BD3CF9" w:rsidRPr="000653A9" w14:paraId="428D4F6E" w14:textId="77777777" w:rsidTr="00BD3CF9">
        <w:tc>
          <w:tcPr>
            <w:tcW w:w="1517" w:type="pct"/>
            <w:vAlign w:val="center"/>
          </w:tcPr>
          <w:p w14:paraId="37E06082" w14:textId="77777777" w:rsidR="00BD3CF9" w:rsidRPr="000653A9" w:rsidRDefault="00BD3CF9" w:rsidP="00253145">
            <w:pPr>
              <w:spacing w:before="40" w:after="0"/>
              <w:jc w:val="left"/>
              <w:rPr>
                <w:noProof/>
                <w:color w:val="auto"/>
                <w:sz w:val="22"/>
                <w:szCs w:val="22"/>
              </w:rPr>
            </w:pPr>
            <w:r>
              <w:rPr>
                <w:noProof/>
                <w:color w:val="auto"/>
                <w:sz w:val="22"/>
                <w:szCs w:val="22"/>
              </w:rPr>
              <w:t>FA (before CBAM phase out)</w:t>
            </w:r>
          </w:p>
        </w:tc>
        <w:tc>
          <w:tcPr>
            <w:tcW w:w="348" w:type="pct"/>
          </w:tcPr>
          <w:p w14:paraId="35E33CA2" w14:textId="77777777" w:rsidR="00BD3CF9" w:rsidRPr="000653A9" w:rsidRDefault="00BD3CF9" w:rsidP="00253145">
            <w:pPr>
              <w:spacing w:before="40" w:after="0"/>
              <w:jc w:val="center"/>
              <w:rPr>
                <w:noProof/>
                <w:color w:val="auto"/>
                <w:sz w:val="22"/>
                <w:szCs w:val="22"/>
              </w:rPr>
            </w:pPr>
            <w:r>
              <w:rPr>
                <w:noProof/>
                <w:color w:val="auto"/>
                <w:sz w:val="22"/>
                <w:szCs w:val="22"/>
              </w:rPr>
              <w:t>320</w:t>
            </w:r>
          </w:p>
        </w:tc>
        <w:tc>
          <w:tcPr>
            <w:tcW w:w="348" w:type="pct"/>
          </w:tcPr>
          <w:p w14:paraId="6999F1C9" w14:textId="77777777" w:rsidR="00BD3CF9" w:rsidRPr="000653A9" w:rsidRDefault="00BD3CF9" w:rsidP="00253145">
            <w:pPr>
              <w:spacing w:before="40" w:after="0"/>
              <w:jc w:val="center"/>
              <w:rPr>
                <w:noProof/>
                <w:color w:val="auto"/>
                <w:sz w:val="22"/>
                <w:szCs w:val="22"/>
              </w:rPr>
            </w:pPr>
            <w:r>
              <w:rPr>
                <w:noProof/>
                <w:color w:val="auto"/>
                <w:sz w:val="22"/>
                <w:szCs w:val="22"/>
              </w:rPr>
              <w:t>293</w:t>
            </w:r>
          </w:p>
        </w:tc>
        <w:tc>
          <w:tcPr>
            <w:tcW w:w="348" w:type="pct"/>
          </w:tcPr>
          <w:p w14:paraId="51DD8B2D" w14:textId="77777777" w:rsidR="00BD3CF9" w:rsidRPr="000653A9" w:rsidRDefault="00BD3CF9" w:rsidP="00253145">
            <w:pPr>
              <w:spacing w:before="40" w:after="0"/>
              <w:jc w:val="center"/>
              <w:rPr>
                <w:noProof/>
                <w:color w:val="auto"/>
                <w:sz w:val="22"/>
                <w:szCs w:val="22"/>
              </w:rPr>
            </w:pPr>
            <w:r>
              <w:rPr>
                <w:noProof/>
                <w:color w:val="auto"/>
                <w:sz w:val="22"/>
                <w:szCs w:val="22"/>
              </w:rPr>
              <w:t>267</w:t>
            </w:r>
          </w:p>
        </w:tc>
        <w:tc>
          <w:tcPr>
            <w:tcW w:w="348" w:type="pct"/>
          </w:tcPr>
          <w:p w14:paraId="3B31316A" w14:textId="77777777" w:rsidR="00BD3CF9" w:rsidRPr="000653A9" w:rsidRDefault="00BD3CF9" w:rsidP="00253145">
            <w:pPr>
              <w:spacing w:before="40" w:after="0"/>
              <w:jc w:val="center"/>
              <w:rPr>
                <w:noProof/>
                <w:color w:val="auto"/>
                <w:sz w:val="22"/>
                <w:szCs w:val="22"/>
              </w:rPr>
            </w:pPr>
            <w:r>
              <w:rPr>
                <w:noProof/>
                <w:color w:val="auto"/>
                <w:sz w:val="22"/>
                <w:szCs w:val="22"/>
              </w:rPr>
              <w:t>240</w:t>
            </w:r>
          </w:p>
        </w:tc>
        <w:tc>
          <w:tcPr>
            <w:tcW w:w="348" w:type="pct"/>
          </w:tcPr>
          <w:p w14:paraId="694170D8" w14:textId="77777777" w:rsidR="00BD3CF9" w:rsidRPr="000653A9" w:rsidRDefault="00BD3CF9" w:rsidP="00253145">
            <w:pPr>
              <w:spacing w:before="40" w:after="0"/>
              <w:jc w:val="center"/>
              <w:rPr>
                <w:noProof/>
                <w:color w:val="auto"/>
                <w:sz w:val="22"/>
                <w:szCs w:val="22"/>
              </w:rPr>
            </w:pPr>
            <w:r>
              <w:rPr>
                <w:noProof/>
                <w:color w:val="auto"/>
                <w:sz w:val="22"/>
                <w:szCs w:val="22"/>
              </w:rPr>
              <w:t>212</w:t>
            </w:r>
          </w:p>
        </w:tc>
        <w:tc>
          <w:tcPr>
            <w:tcW w:w="348" w:type="pct"/>
          </w:tcPr>
          <w:p w14:paraId="0E92F74C" w14:textId="77777777" w:rsidR="00BD3CF9" w:rsidRPr="000653A9" w:rsidRDefault="00BD3CF9" w:rsidP="00253145">
            <w:pPr>
              <w:spacing w:before="40" w:after="0"/>
              <w:jc w:val="center"/>
              <w:rPr>
                <w:noProof/>
                <w:color w:val="auto"/>
                <w:sz w:val="22"/>
                <w:szCs w:val="22"/>
              </w:rPr>
            </w:pPr>
            <w:r>
              <w:rPr>
                <w:noProof/>
                <w:color w:val="auto"/>
                <w:sz w:val="22"/>
                <w:szCs w:val="22"/>
              </w:rPr>
              <w:t>187</w:t>
            </w:r>
          </w:p>
        </w:tc>
        <w:tc>
          <w:tcPr>
            <w:tcW w:w="348" w:type="pct"/>
          </w:tcPr>
          <w:p w14:paraId="3725D682" w14:textId="77777777" w:rsidR="00BD3CF9" w:rsidRPr="000653A9" w:rsidRDefault="00BD3CF9" w:rsidP="00253145">
            <w:pPr>
              <w:spacing w:before="40" w:after="0"/>
              <w:jc w:val="center"/>
              <w:rPr>
                <w:noProof/>
                <w:color w:val="auto"/>
                <w:sz w:val="22"/>
                <w:szCs w:val="22"/>
              </w:rPr>
            </w:pPr>
            <w:r>
              <w:rPr>
                <w:noProof/>
                <w:color w:val="auto"/>
                <w:sz w:val="22"/>
                <w:szCs w:val="22"/>
              </w:rPr>
              <w:t>163</w:t>
            </w:r>
          </w:p>
        </w:tc>
        <w:tc>
          <w:tcPr>
            <w:tcW w:w="348" w:type="pct"/>
          </w:tcPr>
          <w:p w14:paraId="41A30009" w14:textId="77777777" w:rsidR="00BD3CF9" w:rsidRPr="000653A9" w:rsidRDefault="00BD3CF9" w:rsidP="00253145">
            <w:pPr>
              <w:spacing w:before="40" w:after="0"/>
              <w:jc w:val="center"/>
              <w:rPr>
                <w:noProof/>
                <w:color w:val="auto"/>
                <w:sz w:val="22"/>
                <w:szCs w:val="22"/>
              </w:rPr>
            </w:pPr>
            <w:r>
              <w:rPr>
                <w:noProof/>
                <w:color w:val="auto"/>
                <w:sz w:val="22"/>
                <w:szCs w:val="22"/>
              </w:rPr>
              <w:t>139</w:t>
            </w:r>
          </w:p>
        </w:tc>
        <w:tc>
          <w:tcPr>
            <w:tcW w:w="348" w:type="pct"/>
          </w:tcPr>
          <w:p w14:paraId="254525B3" w14:textId="77777777" w:rsidR="00BD3CF9" w:rsidRPr="000653A9" w:rsidRDefault="00BD3CF9" w:rsidP="00253145">
            <w:pPr>
              <w:spacing w:before="40" w:after="0"/>
              <w:jc w:val="center"/>
              <w:rPr>
                <w:noProof/>
                <w:color w:val="auto"/>
                <w:sz w:val="22"/>
                <w:szCs w:val="22"/>
              </w:rPr>
            </w:pPr>
            <w:r>
              <w:rPr>
                <w:noProof/>
                <w:color w:val="auto"/>
                <w:sz w:val="22"/>
                <w:szCs w:val="22"/>
              </w:rPr>
              <w:t>114</w:t>
            </w:r>
          </w:p>
        </w:tc>
        <w:tc>
          <w:tcPr>
            <w:tcW w:w="348" w:type="pct"/>
          </w:tcPr>
          <w:p w14:paraId="68C401FE" w14:textId="77777777" w:rsidR="00BD3CF9" w:rsidRPr="000653A9" w:rsidRDefault="00BD3CF9" w:rsidP="00253145">
            <w:pPr>
              <w:spacing w:before="40" w:after="0"/>
              <w:jc w:val="center"/>
              <w:rPr>
                <w:noProof/>
                <w:color w:val="auto"/>
                <w:sz w:val="22"/>
                <w:szCs w:val="22"/>
              </w:rPr>
            </w:pPr>
            <w:r>
              <w:rPr>
                <w:noProof/>
                <w:color w:val="auto"/>
                <w:sz w:val="22"/>
                <w:szCs w:val="22"/>
              </w:rPr>
              <w:t>90</w:t>
            </w:r>
          </w:p>
        </w:tc>
      </w:tr>
      <w:tr w:rsidR="00BD3CF9" w:rsidRPr="000653A9" w14:paraId="7520BDBA" w14:textId="77777777" w:rsidTr="00BD3CF9">
        <w:tc>
          <w:tcPr>
            <w:tcW w:w="1517" w:type="pct"/>
            <w:vAlign w:val="center"/>
          </w:tcPr>
          <w:p w14:paraId="422D06DA" w14:textId="77777777" w:rsidR="00BD3CF9" w:rsidRPr="000653A9" w:rsidRDefault="00BD3CF9" w:rsidP="00253145">
            <w:pPr>
              <w:spacing w:before="40" w:after="0"/>
              <w:jc w:val="left"/>
              <w:rPr>
                <w:noProof/>
                <w:color w:val="auto"/>
                <w:sz w:val="22"/>
                <w:szCs w:val="22"/>
              </w:rPr>
            </w:pPr>
            <w:r>
              <w:rPr>
                <w:noProof/>
                <w:color w:val="auto"/>
                <w:sz w:val="22"/>
                <w:szCs w:val="22"/>
              </w:rPr>
              <w:t>FA (after CBAM phase out)</w:t>
            </w:r>
          </w:p>
        </w:tc>
        <w:tc>
          <w:tcPr>
            <w:tcW w:w="348" w:type="pct"/>
          </w:tcPr>
          <w:p w14:paraId="546CB582" w14:textId="77777777" w:rsidR="00BD3CF9" w:rsidRPr="000653A9" w:rsidRDefault="00BD3CF9" w:rsidP="00253145">
            <w:pPr>
              <w:spacing w:before="40" w:after="0"/>
              <w:jc w:val="center"/>
              <w:rPr>
                <w:noProof/>
                <w:color w:val="auto"/>
                <w:sz w:val="22"/>
                <w:szCs w:val="22"/>
              </w:rPr>
            </w:pPr>
            <w:r>
              <w:rPr>
                <w:noProof/>
                <w:color w:val="auto"/>
                <w:sz w:val="22"/>
                <w:szCs w:val="22"/>
              </w:rPr>
              <w:t>214</w:t>
            </w:r>
          </w:p>
        </w:tc>
        <w:tc>
          <w:tcPr>
            <w:tcW w:w="348" w:type="pct"/>
          </w:tcPr>
          <w:p w14:paraId="697C0DAC" w14:textId="77777777" w:rsidR="00BD3CF9" w:rsidRPr="000653A9" w:rsidRDefault="00BD3CF9" w:rsidP="00253145">
            <w:pPr>
              <w:spacing w:before="40" w:after="0"/>
              <w:jc w:val="center"/>
              <w:rPr>
                <w:noProof/>
                <w:color w:val="auto"/>
                <w:sz w:val="22"/>
                <w:szCs w:val="22"/>
              </w:rPr>
            </w:pPr>
            <w:r>
              <w:rPr>
                <w:noProof/>
                <w:color w:val="auto"/>
                <w:sz w:val="22"/>
                <w:szCs w:val="22"/>
              </w:rPr>
              <w:t>175</w:t>
            </w:r>
          </w:p>
        </w:tc>
        <w:tc>
          <w:tcPr>
            <w:tcW w:w="348" w:type="pct"/>
          </w:tcPr>
          <w:p w14:paraId="57256A55" w14:textId="77777777" w:rsidR="00BD3CF9" w:rsidRPr="000653A9" w:rsidRDefault="00BD3CF9" w:rsidP="00253145">
            <w:pPr>
              <w:spacing w:before="40" w:after="0"/>
              <w:jc w:val="center"/>
              <w:rPr>
                <w:noProof/>
                <w:color w:val="auto"/>
                <w:sz w:val="22"/>
                <w:szCs w:val="22"/>
              </w:rPr>
            </w:pPr>
            <w:r>
              <w:rPr>
                <w:noProof/>
                <w:color w:val="auto"/>
                <w:sz w:val="22"/>
                <w:szCs w:val="22"/>
              </w:rPr>
              <w:t>139</w:t>
            </w:r>
          </w:p>
        </w:tc>
        <w:tc>
          <w:tcPr>
            <w:tcW w:w="348" w:type="pct"/>
          </w:tcPr>
          <w:p w14:paraId="516D1977" w14:textId="77777777" w:rsidR="00BD3CF9" w:rsidRPr="000653A9" w:rsidRDefault="00BD3CF9" w:rsidP="00253145">
            <w:pPr>
              <w:spacing w:before="40" w:after="0"/>
              <w:jc w:val="center"/>
              <w:rPr>
                <w:noProof/>
                <w:color w:val="auto"/>
                <w:sz w:val="22"/>
                <w:szCs w:val="22"/>
              </w:rPr>
            </w:pPr>
            <w:r>
              <w:rPr>
                <w:noProof/>
                <w:color w:val="auto"/>
                <w:sz w:val="22"/>
                <w:szCs w:val="22"/>
              </w:rPr>
              <w:t>104</w:t>
            </w:r>
          </w:p>
        </w:tc>
        <w:tc>
          <w:tcPr>
            <w:tcW w:w="348" w:type="pct"/>
          </w:tcPr>
          <w:p w14:paraId="6176DB38" w14:textId="77777777" w:rsidR="00BD3CF9" w:rsidRPr="000653A9" w:rsidRDefault="00BD3CF9" w:rsidP="00253145">
            <w:pPr>
              <w:spacing w:before="40" w:after="0"/>
              <w:jc w:val="center"/>
              <w:rPr>
                <w:noProof/>
                <w:color w:val="auto"/>
                <w:sz w:val="22"/>
                <w:szCs w:val="22"/>
              </w:rPr>
            </w:pPr>
            <w:r>
              <w:rPr>
                <w:noProof/>
                <w:color w:val="auto"/>
                <w:sz w:val="22"/>
                <w:szCs w:val="22"/>
              </w:rPr>
              <w:t>92</w:t>
            </w:r>
          </w:p>
        </w:tc>
        <w:tc>
          <w:tcPr>
            <w:tcW w:w="348" w:type="pct"/>
          </w:tcPr>
          <w:p w14:paraId="27C4F040" w14:textId="77777777" w:rsidR="00BD3CF9" w:rsidRPr="000653A9" w:rsidRDefault="00BD3CF9" w:rsidP="00253145">
            <w:pPr>
              <w:spacing w:before="40" w:after="0"/>
              <w:jc w:val="center"/>
              <w:rPr>
                <w:noProof/>
                <w:color w:val="auto"/>
                <w:sz w:val="22"/>
                <w:szCs w:val="22"/>
              </w:rPr>
            </w:pPr>
            <w:r>
              <w:rPr>
                <w:noProof/>
                <w:color w:val="auto"/>
                <w:sz w:val="22"/>
                <w:szCs w:val="22"/>
              </w:rPr>
              <w:t>72</w:t>
            </w:r>
          </w:p>
        </w:tc>
        <w:tc>
          <w:tcPr>
            <w:tcW w:w="348" w:type="pct"/>
          </w:tcPr>
          <w:p w14:paraId="49419939" w14:textId="77777777" w:rsidR="00BD3CF9" w:rsidRPr="000653A9" w:rsidRDefault="00BD3CF9" w:rsidP="00253145">
            <w:pPr>
              <w:spacing w:before="40" w:after="0"/>
              <w:jc w:val="center"/>
              <w:rPr>
                <w:noProof/>
                <w:color w:val="auto"/>
                <w:sz w:val="22"/>
                <w:szCs w:val="22"/>
              </w:rPr>
            </w:pPr>
            <w:r>
              <w:rPr>
                <w:noProof/>
                <w:color w:val="auto"/>
                <w:sz w:val="22"/>
                <w:szCs w:val="22"/>
              </w:rPr>
              <w:t>63</w:t>
            </w:r>
          </w:p>
        </w:tc>
        <w:tc>
          <w:tcPr>
            <w:tcW w:w="348" w:type="pct"/>
          </w:tcPr>
          <w:p w14:paraId="749FEE9B" w14:textId="77777777" w:rsidR="00BD3CF9" w:rsidRPr="000653A9" w:rsidRDefault="00BD3CF9" w:rsidP="00253145">
            <w:pPr>
              <w:spacing w:before="40" w:after="0"/>
              <w:jc w:val="center"/>
              <w:rPr>
                <w:noProof/>
                <w:color w:val="auto"/>
                <w:sz w:val="22"/>
                <w:szCs w:val="22"/>
              </w:rPr>
            </w:pPr>
            <w:r>
              <w:rPr>
                <w:noProof/>
                <w:color w:val="auto"/>
                <w:sz w:val="22"/>
                <w:szCs w:val="22"/>
              </w:rPr>
              <w:t>53</w:t>
            </w:r>
          </w:p>
        </w:tc>
        <w:tc>
          <w:tcPr>
            <w:tcW w:w="348" w:type="pct"/>
          </w:tcPr>
          <w:p w14:paraId="3691946A" w14:textId="77777777" w:rsidR="00BD3CF9" w:rsidRPr="000653A9" w:rsidRDefault="00BD3CF9" w:rsidP="00253145">
            <w:pPr>
              <w:spacing w:before="40" w:after="0"/>
              <w:jc w:val="center"/>
              <w:rPr>
                <w:noProof/>
                <w:color w:val="auto"/>
                <w:sz w:val="22"/>
                <w:szCs w:val="22"/>
              </w:rPr>
            </w:pPr>
            <w:r>
              <w:rPr>
                <w:noProof/>
                <w:color w:val="auto"/>
                <w:sz w:val="22"/>
                <w:szCs w:val="22"/>
              </w:rPr>
              <w:t>44</w:t>
            </w:r>
          </w:p>
        </w:tc>
        <w:tc>
          <w:tcPr>
            <w:tcW w:w="348" w:type="pct"/>
          </w:tcPr>
          <w:p w14:paraId="09F773C3" w14:textId="77777777" w:rsidR="00BD3CF9" w:rsidRPr="000653A9" w:rsidRDefault="00BD3CF9" w:rsidP="00253145">
            <w:pPr>
              <w:spacing w:before="40" w:after="0"/>
              <w:jc w:val="center"/>
              <w:rPr>
                <w:noProof/>
                <w:color w:val="auto"/>
                <w:sz w:val="22"/>
                <w:szCs w:val="22"/>
              </w:rPr>
            </w:pPr>
            <w:r>
              <w:rPr>
                <w:noProof/>
                <w:color w:val="auto"/>
                <w:sz w:val="22"/>
                <w:szCs w:val="22"/>
              </w:rPr>
              <w:t>35</w:t>
            </w:r>
          </w:p>
        </w:tc>
      </w:tr>
    </w:tbl>
    <w:p w14:paraId="7F7770F5" w14:textId="4A46A31D" w:rsidR="00A24B35" w:rsidRPr="000653A9" w:rsidRDefault="00A24B35" w:rsidP="00A24B35">
      <w:pPr>
        <w:spacing w:after="240"/>
        <w:rPr>
          <w:i/>
          <w:iCs/>
          <w:noProof/>
          <w:color w:val="auto"/>
        </w:rPr>
      </w:pPr>
      <w:r w:rsidRPr="000653A9">
        <w:rPr>
          <w:i/>
          <w:iCs/>
          <w:noProof/>
          <w:color w:val="auto"/>
          <w:sz w:val="20"/>
          <w:szCs w:val="20"/>
        </w:rPr>
        <w:t>Source:</w:t>
      </w:r>
      <w:r w:rsidR="00DD5196" w:rsidRPr="000653A9">
        <w:rPr>
          <w:i/>
          <w:iCs/>
          <w:noProof/>
          <w:sz w:val="20"/>
          <w:szCs w:val="20"/>
        </w:rPr>
        <w:t xml:space="preserve"> </w:t>
      </w:r>
      <w:r w:rsidRPr="000653A9">
        <w:rPr>
          <w:i/>
          <w:iCs/>
          <w:noProof/>
          <w:color w:val="auto"/>
          <w:sz w:val="20"/>
          <w:szCs w:val="20"/>
        </w:rPr>
        <w:t>Own calculation based upon preliminary NIMs data for 2019-23.</w:t>
      </w:r>
    </w:p>
    <w:p w14:paraId="24355CB8" w14:textId="7B87E559" w:rsidR="00A24B35" w:rsidRPr="000653A9" w:rsidRDefault="002E7651" w:rsidP="00A24B35">
      <w:pPr>
        <w:rPr>
          <w:noProof/>
        </w:rPr>
      </w:pPr>
      <w:r w:rsidRPr="000653A9">
        <w:rPr>
          <w:noProof/>
        </w:rPr>
        <w:fldChar w:fldCharType="begin"/>
      </w:r>
      <w:r w:rsidRPr="000653A9">
        <w:rPr>
          <w:noProof/>
        </w:rPr>
        <w:instrText xml:space="preserve"> REF _Ref217989869 \h  \* MERGEFORMAT </w:instrText>
      </w:r>
      <w:r w:rsidRPr="000653A9">
        <w:rPr>
          <w:noProof/>
        </w:rPr>
      </w:r>
      <w:r w:rsidRPr="000653A9">
        <w:rPr>
          <w:noProof/>
        </w:rPr>
        <w:fldChar w:fldCharType="separate"/>
      </w:r>
      <w:r w:rsidRPr="000653A9">
        <w:rPr>
          <w:noProof/>
        </w:rPr>
        <w:t xml:space="preserve">Figure </w:t>
      </w:r>
      <w:r w:rsidR="008B35CD" w:rsidRPr="000653A9">
        <w:rPr>
          <w:noProof/>
          <w:color w:val="auto"/>
        </w:rPr>
        <w:t>5</w:t>
      </w:r>
      <w:r w:rsidRPr="000653A9">
        <w:rPr>
          <w:noProof/>
        </w:rPr>
        <w:fldChar w:fldCharType="end"/>
      </w:r>
      <w:r w:rsidR="00A24B35" w:rsidRPr="000653A9">
        <w:rPr>
          <w:noProof/>
        </w:rPr>
        <w:t xml:space="preserve"> shows how the distribution of free allocation to sectors develops over time under the CL2_90 scenario. The manufacture of refined petroleum products (NACE code 19.20) would receive around </w:t>
      </w:r>
      <w:r>
        <w:rPr>
          <w:noProof/>
        </w:rPr>
        <w:t>267</w:t>
      </w:r>
      <w:r w:rsidR="00A24B35" w:rsidRPr="000653A9">
        <w:rPr>
          <w:noProof/>
        </w:rPr>
        <w:t xml:space="preserve"> million EUAs for free over 2031-40 and this is followed by the manufacture of other organic basic chemicals (NACE code 20.14), the manufacture of basic iron and steel and of ferro alloys (NACE code 24.10) and the manufacture of lime (NACE code 23.52) that receive </w:t>
      </w:r>
      <w:r>
        <w:rPr>
          <w:noProof/>
        </w:rPr>
        <w:t>109</w:t>
      </w:r>
      <w:r w:rsidR="00A24B35" w:rsidRPr="000653A9">
        <w:rPr>
          <w:noProof/>
        </w:rPr>
        <w:t xml:space="preserve"> million EUAs, </w:t>
      </w:r>
      <w:r>
        <w:rPr>
          <w:noProof/>
        </w:rPr>
        <w:t>84</w:t>
      </w:r>
      <w:r w:rsidR="00A24B35" w:rsidRPr="000653A9">
        <w:rPr>
          <w:noProof/>
        </w:rPr>
        <w:t xml:space="preserve"> million EUAs and </w:t>
      </w:r>
      <w:r>
        <w:rPr>
          <w:noProof/>
        </w:rPr>
        <w:t>54</w:t>
      </w:r>
      <w:r w:rsidR="00A24B35" w:rsidRPr="000653A9">
        <w:rPr>
          <w:noProof/>
        </w:rPr>
        <w:t xml:space="preserve"> million EUAs respectively over 2031-40. In contrast to the CL1 scenario, even though the preliminary free allocation is slightly lower in the CL2_90 scenario due to the implementation of conditionalities with a compliance rate of 90%, there are still more allowances available for free in the final allocation (after the application of the </w:t>
      </w:r>
      <w:r w:rsidR="00B96053" w:rsidRPr="000653A9">
        <w:rPr>
          <w:noProof/>
        </w:rPr>
        <w:t xml:space="preserve"> </w:t>
      </w:r>
      <w:r w:rsidR="00A24B35" w:rsidRPr="000653A9">
        <w:rPr>
          <w:noProof/>
        </w:rPr>
        <w:t xml:space="preserve">CSCF) up until the end of Phase V under the CL2_90 scenario and this primarily reflects the higher free allocation budget </w:t>
      </w:r>
      <w:r w:rsidR="00392D65" w:rsidRPr="000653A9">
        <w:rPr>
          <w:noProof/>
        </w:rPr>
        <w:t>due to the higher cap as a result of including waste incineration in the</w:t>
      </w:r>
      <w:r w:rsidR="00C76E8E" w:rsidRPr="000653A9">
        <w:rPr>
          <w:noProof/>
        </w:rPr>
        <w:t xml:space="preserve"> ETS </w:t>
      </w:r>
      <w:r w:rsidR="00A24B35" w:rsidRPr="000653A9">
        <w:rPr>
          <w:noProof/>
        </w:rPr>
        <w:t>(in comparison to the CL1 scenario).</w:t>
      </w:r>
    </w:p>
    <w:p w14:paraId="10855137" w14:textId="1C520D14" w:rsidR="00FD6CC0" w:rsidRPr="000653A9" w:rsidRDefault="00A24B35" w:rsidP="00A45B63">
      <w:pPr>
        <w:pStyle w:val="Figuretitle"/>
        <w:rPr>
          <w:noProof/>
        </w:rPr>
      </w:pPr>
      <w:bookmarkStart w:id="328" w:name="_Toc224659139"/>
      <w:r w:rsidRPr="000653A9">
        <w:rPr>
          <w:noProof/>
        </w:rPr>
        <w:t>Distribution of free allocation under CL2_90 for 2031-40</w:t>
      </w:r>
      <w:bookmarkEnd w:id="328"/>
    </w:p>
    <w:p w14:paraId="277679C0" w14:textId="77777777" w:rsidR="00CC4F87" w:rsidRDefault="00FD6CC0" w:rsidP="00C92FA9">
      <w:pPr>
        <w:jc w:val="center"/>
        <w:rPr>
          <w:noProof/>
        </w:rPr>
      </w:pPr>
      <w:r>
        <w:rPr>
          <w:noProof/>
          <w:lang w:eastAsia="en-GB"/>
        </w:rPr>
        <w:drawing>
          <wp:inline distT="0" distB="0" distL="0" distR="0" wp14:anchorId="602D2FB0" wp14:editId="408B61AF">
            <wp:extent cx="4981651" cy="3257870"/>
            <wp:effectExtent l="0" t="0" r="0" b="0"/>
            <wp:docPr id="779496576"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96576" name="Picture 1" descr="A graph of different colored bars&#10;&#10;AI-generated content may be incorrect."/>
                    <pic:cNvPicPr/>
                  </pic:nvPicPr>
                  <pic:blipFill>
                    <a:blip r:embed="rId19"/>
                    <a:stretch>
                      <a:fillRect/>
                    </a:stretch>
                  </pic:blipFill>
                  <pic:spPr>
                    <a:xfrm>
                      <a:off x="0" y="0"/>
                      <a:ext cx="4996964" cy="3267884"/>
                    </a:xfrm>
                    <a:prstGeom prst="rect">
                      <a:avLst/>
                    </a:prstGeom>
                  </pic:spPr>
                </pic:pic>
              </a:graphicData>
            </a:graphic>
          </wp:inline>
        </w:drawing>
      </w:r>
    </w:p>
    <w:p w14:paraId="71133523" w14:textId="50C2018C" w:rsidR="00A24B35" w:rsidRPr="000653A9" w:rsidRDefault="00A24B35" w:rsidP="00A24B35">
      <w:pPr>
        <w:spacing w:after="240"/>
        <w:rPr>
          <w:i/>
          <w:iCs/>
          <w:noProof/>
          <w:sz w:val="20"/>
          <w:szCs w:val="20"/>
        </w:rPr>
      </w:pPr>
      <w:r w:rsidRPr="000653A9">
        <w:rPr>
          <w:i/>
          <w:iCs/>
          <w:noProof/>
          <w:sz w:val="20"/>
          <w:szCs w:val="20"/>
        </w:rPr>
        <w:t>Source:</w:t>
      </w:r>
      <w:r w:rsidRPr="000653A9">
        <w:rPr>
          <w:i/>
          <w:iCs/>
          <w:noProof/>
          <w:sz w:val="22"/>
          <w:szCs w:val="22"/>
        </w:rPr>
        <w:tab/>
      </w:r>
      <w:r w:rsidRPr="000653A9">
        <w:rPr>
          <w:i/>
          <w:iCs/>
          <w:noProof/>
          <w:sz w:val="20"/>
          <w:szCs w:val="20"/>
        </w:rPr>
        <w:t>Own calculation based upon preliminary NIMs data for 2019-23</w:t>
      </w:r>
    </w:p>
    <w:p w14:paraId="08EA6C97" w14:textId="271682B2" w:rsidR="00A24B35" w:rsidRPr="000653A9" w:rsidRDefault="00A24B35" w:rsidP="00A24B35">
      <w:pPr>
        <w:rPr>
          <w:noProof/>
        </w:rPr>
      </w:pPr>
      <w:r w:rsidRPr="000653A9">
        <w:rPr>
          <w:noProof/>
        </w:rPr>
        <w:t xml:space="preserve">The introduction of further conditionalities under CL2 are expected to impact the level of investment in abatement options to accelerate rates of decarbonisation and therefore further impact the conduct of business by insisting that installations make binding financing decisions of an equivalent value with the conditional free allocation to implement their climate neutrality plans. Under CL2, the share of free allowances that are subject to conditionality increases from 20% in 2031, 40% in 2032, 60% in 2033, 80% in 2034 and then 100% from 2035 up until 2040. </w:t>
      </w:r>
      <w:r>
        <w:rPr>
          <w:noProof/>
        </w:rPr>
        <w:t>The value of the free allocation that is subject to further conditionalities under CL2_90 is estimated by multiplying the volume of the preliminary free allocation that is subject to conditionality each year for non-CBAM sectors by firstly the CSCF for the CL2_90 scenario, assuming an average price of EUR 150 over the period. . The expected level of investment because of the introduction of further conditionalities under CL2_90 for non-CBAM sectors only is estimated to be around EUR 90 billion over the 2031-40 period. It is important to note that this amount is not necessarily additional, as it is not possible to estimate how much from the free allocation given without any conditions would be spent on investments regardless.</w:t>
      </w:r>
      <w:r w:rsidR="00AA416A" w:rsidRPr="000653A9">
        <w:rPr>
          <w:noProof/>
        </w:rPr>
        <w:t xml:space="preserve"> </w:t>
      </w:r>
    </w:p>
    <w:p w14:paraId="6E5F1B3C" w14:textId="4FCDCF80" w:rsidR="00A24B35" w:rsidRPr="000653A9" w:rsidRDefault="00106A0D" w:rsidP="00A24B35">
      <w:pPr>
        <w:rPr>
          <w:i/>
          <w:iCs/>
          <w:noProof/>
          <w:u w:val="single"/>
        </w:rPr>
      </w:pPr>
      <w:r w:rsidRPr="000653A9">
        <w:rPr>
          <w:i/>
          <w:iCs/>
          <w:noProof/>
          <w:u w:val="single"/>
        </w:rPr>
        <w:t xml:space="preserve">CL2_90 </w:t>
      </w:r>
      <w:r w:rsidR="00A24B35" w:rsidRPr="000653A9">
        <w:rPr>
          <w:i/>
          <w:iCs/>
          <w:noProof/>
          <w:u w:val="single"/>
        </w:rPr>
        <w:t>CBAM variant</w:t>
      </w:r>
    </w:p>
    <w:p w14:paraId="51A4CDD3" w14:textId="26007AE3" w:rsidR="00A24B35" w:rsidRPr="000653A9" w:rsidRDefault="00394393" w:rsidP="00DC581A">
      <w:pPr>
        <w:rPr>
          <w:noProof/>
        </w:rPr>
      </w:pPr>
      <w:r w:rsidRPr="000653A9">
        <w:rPr>
          <w:noProof/>
        </w:rPr>
        <w:t xml:space="preserve">Table </w:t>
      </w:r>
      <w:r w:rsidR="001100D1">
        <w:rPr>
          <w:noProof/>
        </w:rPr>
        <w:t>8</w:t>
      </w:r>
      <w:r w:rsidR="00A24B35" w:rsidRPr="000653A9">
        <w:rPr>
          <w:noProof/>
        </w:rPr>
        <w:t xml:space="preserve"> shows that the overall budget for free allocation between 2031-40 in the CL2_90 (CBAM variant), which returns 15% of the allowances initially taken away by the application of the CBAM factor from the sectors covered under the CBAM. The starting point for the estimation is the free allocation budget, which is set based upon the ETS cap and the share of it reserved for free allocation. In the CL2_90 (CBAM variant) scenario, the total free allocation budget is assumed to be </w:t>
      </w:r>
      <w:r>
        <w:rPr>
          <w:noProof/>
        </w:rPr>
        <w:t>2,206</w:t>
      </w:r>
      <w:r w:rsidR="00A24B35" w:rsidRPr="000653A9">
        <w:rPr>
          <w:noProof/>
        </w:rPr>
        <w:t xml:space="preserve"> M EUAs over 2031-40. The preliminary free allocation was then calculated following a bottom-up approach and this resulted in a total of </w:t>
      </w:r>
      <w:r>
        <w:rPr>
          <w:noProof/>
        </w:rPr>
        <w:t>3,306</w:t>
      </w:r>
      <w:r w:rsidR="00A24B35" w:rsidRPr="000653A9">
        <w:rPr>
          <w:noProof/>
        </w:rPr>
        <w:t xml:space="preserve"> M EUAs over 2031-40. As the preliminary allocation exceeded the free allocation budget, the CSCF was progressively applied over the </w:t>
      </w:r>
      <w:r w:rsidR="0072490E" w:rsidRPr="000653A9">
        <w:rPr>
          <w:noProof/>
        </w:rPr>
        <w:t>period</w:t>
      </w:r>
      <w:r w:rsidR="00A24B35" w:rsidRPr="000653A9">
        <w:rPr>
          <w:noProof/>
        </w:rPr>
        <w:t xml:space="preserve"> with the value declining rapidly from </w:t>
      </w:r>
      <w:r>
        <w:rPr>
          <w:noProof/>
        </w:rPr>
        <w:t>0.69</w:t>
      </w:r>
      <w:r w:rsidR="00D61FBD" w:rsidRPr="000653A9">
        <w:rPr>
          <w:noProof/>
        </w:rPr>
        <w:t xml:space="preserve"> </w:t>
      </w:r>
      <w:r w:rsidR="00A24B35" w:rsidRPr="000653A9">
        <w:rPr>
          <w:noProof/>
        </w:rPr>
        <w:t xml:space="preserve">in 2034 to </w:t>
      </w:r>
      <w:r>
        <w:rPr>
          <w:noProof/>
        </w:rPr>
        <w:t>0.30</w:t>
      </w:r>
      <w:r w:rsidR="00A24B35" w:rsidRPr="000653A9">
        <w:rPr>
          <w:noProof/>
        </w:rPr>
        <w:t xml:space="preserve"> by 2040. The application of the CSCF allows the final free allocation budget to not exceed the free allocation budget for the 2031-40 </w:t>
      </w:r>
      <w:r w:rsidR="0072490E" w:rsidRPr="000653A9">
        <w:rPr>
          <w:noProof/>
        </w:rPr>
        <w:t>period</w:t>
      </w:r>
      <w:r w:rsidR="00A24B35" w:rsidRPr="000653A9">
        <w:rPr>
          <w:noProof/>
        </w:rPr>
        <w:t xml:space="preserve">. In a final step, the CBAM discount factor was applied over Phase V for sub-installations covered by the CBAM but with 15% of the allowances initially removed each year subsequently returned to these installations under the CL2_90 (CBAM variant) scenario and this therefore increased (compared to the CL2_90 scenario) the total final free allocation over 2031-40 to </w:t>
      </w:r>
      <w:r>
        <w:rPr>
          <w:noProof/>
        </w:rPr>
        <w:t>1,146</w:t>
      </w:r>
      <w:r w:rsidR="00A24B35" w:rsidRPr="000653A9">
        <w:rPr>
          <w:noProof/>
        </w:rPr>
        <w:t xml:space="preserve"> M EUAs. </w:t>
      </w:r>
    </w:p>
    <w:p w14:paraId="0D75030B" w14:textId="60B16053" w:rsidR="00CF7E9D" w:rsidRPr="000653A9" w:rsidRDefault="00A24B35" w:rsidP="00A45B63">
      <w:pPr>
        <w:pStyle w:val="Tabletitle"/>
        <w:rPr>
          <w:noProof/>
        </w:rPr>
      </w:pPr>
      <w:bookmarkStart w:id="329" w:name="_Toc234435111"/>
      <w:bookmarkStart w:id="330" w:name="_Toc232003575"/>
      <w:r w:rsidRPr="000653A9">
        <w:rPr>
          <w:noProof/>
        </w:rPr>
        <w:t>Estimation of the total volume of free allowances available under CL2_90 (CBAM variant) for 2031-40</w:t>
      </w:r>
      <w:bookmarkEnd w:id="329"/>
      <w:bookmarkEnd w:id="330"/>
    </w:p>
    <w:p w14:paraId="7B771447" w14:textId="77777777" w:rsidR="00CC4F87" w:rsidRDefault="00CC4F87" w:rsidP="00C92FA9">
      <w:pPr>
        <w:rPr>
          <w:noProof/>
        </w:rPr>
      </w:pPr>
    </w:p>
    <w:tbl>
      <w:tblPr>
        <w:tblStyle w:val="Ricardo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56"/>
        <w:gridCol w:w="656"/>
        <w:gridCol w:w="656"/>
        <w:gridCol w:w="656"/>
        <w:gridCol w:w="656"/>
        <w:gridCol w:w="656"/>
        <w:gridCol w:w="656"/>
        <w:gridCol w:w="656"/>
        <w:gridCol w:w="656"/>
        <w:gridCol w:w="656"/>
      </w:tblGrid>
      <w:tr w:rsidR="008C4DD4" w:rsidRPr="000653A9" w14:paraId="31A22FA0" w14:textId="77777777" w:rsidTr="00253145">
        <w:trPr>
          <w:cnfStyle w:val="100000000000" w:firstRow="1" w:lastRow="0" w:firstColumn="0" w:lastColumn="0" w:oddVBand="0" w:evenVBand="0" w:oddHBand="0" w:evenHBand="0" w:firstRowFirstColumn="0" w:firstRowLastColumn="0" w:lastRowFirstColumn="0" w:lastRowLastColumn="0"/>
        </w:trPr>
        <w:tc>
          <w:tcPr>
            <w:tcW w:w="0" w:type="auto"/>
          </w:tcPr>
          <w:p w14:paraId="519B84E8" w14:textId="77777777" w:rsidR="008C4DD4" w:rsidRPr="000653A9" w:rsidRDefault="008C4DD4" w:rsidP="00253145">
            <w:pPr>
              <w:spacing w:before="40" w:after="0"/>
              <w:rPr>
                <w:noProof/>
                <w:color w:val="auto"/>
                <w:sz w:val="22"/>
                <w:szCs w:val="22"/>
              </w:rPr>
            </w:pPr>
          </w:p>
        </w:tc>
        <w:tc>
          <w:tcPr>
            <w:tcW w:w="0" w:type="auto"/>
          </w:tcPr>
          <w:p w14:paraId="56468EAC" w14:textId="77777777" w:rsidR="008C4DD4" w:rsidRPr="000653A9" w:rsidRDefault="008C4DD4" w:rsidP="00253145">
            <w:pPr>
              <w:spacing w:before="40" w:after="0"/>
              <w:rPr>
                <w:noProof/>
                <w:color w:val="auto"/>
                <w:sz w:val="22"/>
                <w:szCs w:val="22"/>
              </w:rPr>
            </w:pPr>
            <w:r>
              <w:rPr>
                <w:noProof/>
                <w:color w:val="auto"/>
                <w:sz w:val="22"/>
                <w:szCs w:val="22"/>
              </w:rPr>
              <w:t>2031</w:t>
            </w:r>
          </w:p>
        </w:tc>
        <w:tc>
          <w:tcPr>
            <w:tcW w:w="0" w:type="auto"/>
          </w:tcPr>
          <w:p w14:paraId="6BDC46E1" w14:textId="77777777" w:rsidR="008C4DD4" w:rsidRPr="000653A9" w:rsidRDefault="008C4DD4" w:rsidP="00253145">
            <w:pPr>
              <w:spacing w:before="40" w:after="0"/>
              <w:rPr>
                <w:noProof/>
                <w:color w:val="auto"/>
                <w:sz w:val="22"/>
                <w:szCs w:val="22"/>
              </w:rPr>
            </w:pPr>
            <w:r>
              <w:rPr>
                <w:noProof/>
                <w:color w:val="auto"/>
                <w:sz w:val="22"/>
                <w:szCs w:val="22"/>
              </w:rPr>
              <w:t>2032</w:t>
            </w:r>
          </w:p>
        </w:tc>
        <w:tc>
          <w:tcPr>
            <w:tcW w:w="0" w:type="auto"/>
          </w:tcPr>
          <w:p w14:paraId="7C98233D" w14:textId="77777777" w:rsidR="008C4DD4" w:rsidRPr="000653A9" w:rsidRDefault="008C4DD4" w:rsidP="00253145">
            <w:pPr>
              <w:spacing w:before="40" w:after="0"/>
              <w:rPr>
                <w:noProof/>
                <w:color w:val="auto"/>
                <w:sz w:val="22"/>
                <w:szCs w:val="22"/>
              </w:rPr>
            </w:pPr>
            <w:r>
              <w:rPr>
                <w:noProof/>
                <w:color w:val="auto"/>
                <w:sz w:val="22"/>
                <w:szCs w:val="22"/>
              </w:rPr>
              <w:t>2033</w:t>
            </w:r>
          </w:p>
        </w:tc>
        <w:tc>
          <w:tcPr>
            <w:tcW w:w="0" w:type="auto"/>
          </w:tcPr>
          <w:p w14:paraId="738CE4F3" w14:textId="77777777" w:rsidR="008C4DD4" w:rsidRPr="000653A9" w:rsidRDefault="008C4DD4" w:rsidP="00253145">
            <w:pPr>
              <w:spacing w:before="40" w:after="0"/>
              <w:rPr>
                <w:noProof/>
                <w:color w:val="auto"/>
                <w:sz w:val="22"/>
                <w:szCs w:val="22"/>
              </w:rPr>
            </w:pPr>
            <w:r>
              <w:rPr>
                <w:noProof/>
                <w:color w:val="auto"/>
                <w:sz w:val="22"/>
                <w:szCs w:val="22"/>
              </w:rPr>
              <w:t>2034</w:t>
            </w:r>
          </w:p>
        </w:tc>
        <w:tc>
          <w:tcPr>
            <w:tcW w:w="0" w:type="auto"/>
          </w:tcPr>
          <w:p w14:paraId="7F383FFA" w14:textId="77777777" w:rsidR="008C4DD4" w:rsidRPr="000653A9" w:rsidRDefault="008C4DD4" w:rsidP="00253145">
            <w:pPr>
              <w:spacing w:before="40" w:after="0"/>
              <w:rPr>
                <w:noProof/>
                <w:color w:val="auto"/>
                <w:sz w:val="22"/>
                <w:szCs w:val="22"/>
              </w:rPr>
            </w:pPr>
            <w:r>
              <w:rPr>
                <w:noProof/>
                <w:color w:val="auto"/>
                <w:sz w:val="22"/>
                <w:szCs w:val="22"/>
              </w:rPr>
              <w:t>2035</w:t>
            </w:r>
          </w:p>
        </w:tc>
        <w:tc>
          <w:tcPr>
            <w:tcW w:w="0" w:type="auto"/>
          </w:tcPr>
          <w:p w14:paraId="2BFB43D8" w14:textId="77777777" w:rsidR="008C4DD4" w:rsidRPr="000653A9" w:rsidRDefault="008C4DD4" w:rsidP="00253145">
            <w:pPr>
              <w:spacing w:before="40" w:after="0"/>
              <w:rPr>
                <w:noProof/>
                <w:color w:val="auto"/>
                <w:sz w:val="22"/>
                <w:szCs w:val="22"/>
              </w:rPr>
            </w:pPr>
            <w:r>
              <w:rPr>
                <w:noProof/>
                <w:color w:val="auto"/>
                <w:sz w:val="22"/>
                <w:szCs w:val="22"/>
              </w:rPr>
              <w:t>2036</w:t>
            </w:r>
          </w:p>
        </w:tc>
        <w:tc>
          <w:tcPr>
            <w:tcW w:w="0" w:type="auto"/>
          </w:tcPr>
          <w:p w14:paraId="61669035" w14:textId="77777777" w:rsidR="008C4DD4" w:rsidRPr="000653A9" w:rsidRDefault="008C4DD4" w:rsidP="00253145">
            <w:pPr>
              <w:spacing w:before="40" w:after="0"/>
              <w:rPr>
                <w:noProof/>
                <w:color w:val="auto"/>
                <w:sz w:val="22"/>
                <w:szCs w:val="22"/>
              </w:rPr>
            </w:pPr>
            <w:r>
              <w:rPr>
                <w:noProof/>
                <w:color w:val="auto"/>
                <w:sz w:val="22"/>
                <w:szCs w:val="22"/>
              </w:rPr>
              <w:t>2037</w:t>
            </w:r>
          </w:p>
        </w:tc>
        <w:tc>
          <w:tcPr>
            <w:tcW w:w="0" w:type="auto"/>
          </w:tcPr>
          <w:p w14:paraId="36B719D2" w14:textId="77777777" w:rsidR="008C4DD4" w:rsidRPr="000653A9" w:rsidRDefault="008C4DD4" w:rsidP="00253145">
            <w:pPr>
              <w:spacing w:before="40" w:after="0"/>
              <w:rPr>
                <w:noProof/>
                <w:color w:val="auto"/>
                <w:sz w:val="22"/>
                <w:szCs w:val="22"/>
              </w:rPr>
            </w:pPr>
            <w:r>
              <w:rPr>
                <w:noProof/>
                <w:color w:val="auto"/>
                <w:sz w:val="22"/>
                <w:szCs w:val="22"/>
              </w:rPr>
              <w:t>2038</w:t>
            </w:r>
          </w:p>
        </w:tc>
        <w:tc>
          <w:tcPr>
            <w:tcW w:w="0" w:type="auto"/>
          </w:tcPr>
          <w:p w14:paraId="29665B97" w14:textId="77777777" w:rsidR="008C4DD4" w:rsidRPr="000653A9" w:rsidRDefault="008C4DD4" w:rsidP="00253145">
            <w:pPr>
              <w:spacing w:before="40" w:after="0"/>
              <w:rPr>
                <w:noProof/>
                <w:color w:val="auto"/>
                <w:sz w:val="22"/>
                <w:szCs w:val="22"/>
              </w:rPr>
            </w:pPr>
            <w:r>
              <w:rPr>
                <w:noProof/>
                <w:color w:val="auto"/>
                <w:sz w:val="22"/>
                <w:szCs w:val="22"/>
              </w:rPr>
              <w:t>2039</w:t>
            </w:r>
          </w:p>
        </w:tc>
        <w:tc>
          <w:tcPr>
            <w:tcW w:w="0" w:type="auto"/>
          </w:tcPr>
          <w:p w14:paraId="56D48293" w14:textId="77777777" w:rsidR="008C4DD4" w:rsidRPr="000653A9" w:rsidRDefault="008C4DD4" w:rsidP="00253145">
            <w:pPr>
              <w:spacing w:before="40" w:after="0"/>
              <w:rPr>
                <w:noProof/>
                <w:color w:val="auto"/>
                <w:sz w:val="22"/>
                <w:szCs w:val="22"/>
              </w:rPr>
            </w:pPr>
            <w:r>
              <w:rPr>
                <w:noProof/>
                <w:color w:val="auto"/>
                <w:sz w:val="22"/>
                <w:szCs w:val="22"/>
              </w:rPr>
              <w:t>2040</w:t>
            </w:r>
          </w:p>
        </w:tc>
      </w:tr>
      <w:tr w:rsidR="008C4DD4" w:rsidRPr="000653A9" w14:paraId="1CE8AA05" w14:textId="77777777" w:rsidTr="00253145">
        <w:tc>
          <w:tcPr>
            <w:tcW w:w="0" w:type="auto"/>
          </w:tcPr>
          <w:p w14:paraId="3609C805" w14:textId="77777777" w:rsidR="008C4DD4" w:rsidRPr="000653A9" w:rsidRDefault="008C4DD4" w:rsidP="00253145">
            <w:pPr>
              <w:spacing w:before="40" w:after="0"/>
              <w:jc w:val="left"/>
              <w:rPr>
                <w:noProof/>
                <w:color w:val="auto"/>
                <w:sz w:val="22"/>
                <w:szCs w:val="22"/>
              </w:rPr>
            </w:pPr>
            <w:r>
              <w:rPr>
                <w:noProof/>
                <w:color w:val="auto"/>
                <w:sz w:val="22"/>
                <w:szCs w:val="22"/>
              </w:rPr>
              <w:t>FA Budget</w:t>
            </w:r>
          </w:p>
        </w:tc>
        <w:tc>
          <w:tcPr>
            <w:tcW w:w="0" w:type="auto"/>
          </w:tcPr>
          <w:p w14:paraId="304B38D1" w14:textId="77777777" w:rsidR="008C4DD4" w:rsidRPr="000653A9" w:rsidRDefault="008C4DD4" w:rsidP="00253145">
            <w:pPr>
              <w:spacing w:before="40" w:after="0"/>
              <w:jc w:val="center"/>
              <w:rPr>
                <w:noProof/>
                <w:color w:val="auto"/>
                <w:sz w:val="22"/>
                <w:szCs w:val="22"/>
              </w:rPr>
            </w:pPr>
            <w:r>
              <w:rPr>
                <w:noProof/>
                <w:color w:val="auto"/>
                <w:sz w:val="22"/>
                <w:szCs w:val="22"/>
              </w:rPr>
              <w:t>320</w:t>
            </w:r>
          </w:p>
        </w:tc>
        <w:tc>
          <w:tcPr>
            <w:tcW w:w="0" w:type="auto"/>
          </w:tcPr>
          <w:p w14:paraId="50CF6AF6" w14:textId="77777777" w:rsidR="008C4DD4" w:rsidRPr="000653A9" w:rsidRDefault="008C4DD4" w:rsidP="00253145">
            <w:pPr>
              <w:spacing w:before="40" w:after="0"/>
              <w:jc w:val="center"/>
              <w:rPr>
                <w:noProof/>
                <w:color w:val="auto"/>
                <w:sz w:val="22"/>
                <w:szCs w:val="22"/>
              </w:rPr>
            </w:pPr>
            <w:r>
              <w:rPr>
                <w:noProof/>
                <w:color w:val="auto"/>
                <w:sz w:val="22"/>
                <w:szCs w:val="22"/>
              </w:rPr>
              <w:t>293</w:t>
            </w:r>
          </w:p>
        </w:tc>
        <w:tc>
          <w:tcPr>
            <w:tcW w:w="0" w:type="auto"/>
          </w:tcPr>
          <w:p w14:paraId="404752AF" w14:textId="77777777" w:rsidR="008C4DD4" w:rsidRPr="000653A9" w:rsidRDefault="008C4DD4" w:rsidP="00253145">
            <w:pPr>
              <w:spacing w:before="40" w:after="0"/>
              <w:jc w:val="center"/>
              <w:rPr>
                <w:noProof/>
                <w:color w:val="auto"/>
                <w:sz w:val="22"/>
                <w:szCs w:val="22"/>
              </w:rPr>
            </w:pPr>
            <w:r>
              <w:rPr>
                <w:noProof/>
                <w:color w:val="auto"/>
                <w:sz w:val="22"/>
                <w:szCs w:val="22"/>
              </w:rPr>
              <w:t>267</w:t>
            </w:r>
          </w:p>
        </w:tc>
        <w:tc>
          <w:tcPr>
            <w:tcW w:w="0" w:type="auto"/>
          </w:tcPr>
          <w:p w14:paraId="0B3BCBF5" w14:textId="77777777" w:rsidR="008C4DD4" w:rsidRPr="000653A9" w:rsidRDefault="008C4DD4" w:rsidP="00253145">
            <w:pPr>
              <w:spacing w:before="40" w:after="0"/>
              <w:jc w:val="center"/>
              <w:rPr>
                <w:noProof/>
                <w:color w:val="auto"/>
                <w:sz w:val="22"/>
                <w:szCs w:val="22"/>
              </w:rPr>
            </w:pPr>
            <w:r>
              <w:rPr>
                <w:noProof/>
                <w:color w:val="auto"/>
                <w:sz w:val="22"/>
                <w:szCs w:val="22"/>
              </w:rPr>
              <w:t>240</w:t>
            </w:r>
          </w:p>
        </w:tc>
        <w:tc>
          <w:tcPr>
            <w:tcW w:w="0" w:type="auto"/>
          </w:tcPr>
          <w:p w14:paraId="100C3B51" w14:textId="77777777" w:rsidR="008C4DD4" w:rsidRPr="000653A9" w:rsidRDefault="008C4DD4" w:rsidP="00253145">
            <w:pPr>
              <w:spacing w:before="40" w:after="0"/>
              <w:jc w:val="center"/>
              <w:rPr>
                <w:noProof/>
                <w:color w:val="auto"/>
                <w:sz w:val="22"/>
                <w:szCs w:val="22"/>
              </w:rPr>
            </w:pPr>
            <w:r>
              <w:rPr>
                <w:noProof/>
                <w:color w:val="auto"/>
                <w:sz w:val="22"/>
                <w:szCs w:val="22"/>
              </w:rPr>
              <w:t>212</w:t>
            </w:r>
          </w:p>
        </w:tc>
        <w:tc>
          <w:tcPr>
            <w:tcW w:w="0" w:type="auto"/>
          </w:tcPr>
          <w:p w14:paraId="404C4694" w14:textId="77777777" w:rsidR="008C4DD4" w:rsidRPr="000653A9" w:rsidRDefault="008C4DD4" w:rsidP="00253145">
            <w:pPr>
              <w:spacing w:before="40" w:after="0"/>
              <w:jc w:val="center"/>
              <w:rPr>
                <w:noProof/>
                <w:color w:val="auto"/>
                <w:sz w:val="22"/>
                <w:szCs w:val="22"/>
              </w:rPr>
            </w:pPr>
            <w:r>
              <w:rPr>
                <w:noProof/>
                <w:color w:val="auto"/>
                <w:sz w:val="22"/>
                <w:szCs w:val="22"/>
              </w:rPr>
              <w:t>187</w:t>
            </w:r>
          </w:p>
        </w:tc>
        <w:tc>
          <w:tcPr>
            <w:tcW w:w="0" w:type="auto"/>
          </w:tcPr>
          <w:p w14:paraId="493C5F6D" w14:textId="77777777" w:rsidR="008C4DD4" w:rsidRPr="000653A9" w:rsidRDefault="008C4DD4" w:rsidP="00253145">
            <w:pPr>
              <w:spacing w:before="40" w:after="0"/>
              <w:jc w:val="center"/>
              <w:rPr>
                <w:noProof/>
                <w:color w:val="auto"/>
                <w:sz w:val="22"/>
                <w:szCs w:val="22"/>
              </w:rPr>
            </w:pPr>
            <w:r>
              <w:rPr>
                <w:noProof/>
                <w:color w:val="auto"/>
                <w:sz w:val="22"/>
                <w:szCs w:val="22"/>
              </w:rPr>
              <w:t>163</w:t>
            </w:r>
          </w:p>
        </w:tc>
        <w:tc>
          <w:tcPr>
            <w:tcW w:w="0" w:type="auto"/>
          </w:tcPr>
          <w:p w14:paraId="2C25B343" w14:textId="77777777" w:rsidR="008C4DD4" w:rsidRPr="000653A9" w:rsidRDefault="008C4DD4" w:rsidP="00253145">
            <w:pPr>
              <w:spacing w:before="40" w:after="0"/>
              <w:jc w:val="center"/>
              <w:rPr>
                <w:noProof/>
                <w:color w:val="auto"/>
                <w:sz w:val="22"/>
                <w:szCs w:val="22"/>
              </w:rPr>
            </w:pPr>
            <w:r>
              <w:rPr>
                <w:noProof/>
                <w:color w:val="auto"/>
                <w:sz w:val="22"/>
                <w:szCs w:val="22"/>
              </w:rPr>
              <w:t>139</w:t>
            </w:r>
          </w:p>
        </w:tc>
        <w:tc>
          <w:tcPr>
            <w:tcW w:w="0" w:type="auto"/>
          </w:tcPr>
          <w:p w14:paraId="3D5AE2F0" w14:textId="77777777" w:rsidR="008C4DD4" w:rsidRPr="000653A9" w:rsidRDefault="008C4DD4" w:rsidP="00253145">
            <w:pPr>
              <w:spacing w:before="40" w:after="0"/>
              <w:jc w:val="center"/>
              <w:rPr>
                <w:noProof/>
                <w:color w:val="auto"/>
                <w:sz w:val="22"/>
                <w:szCs w:val="22"/>
              </w:rPr>
            </w:pPr>
            <w:r>
              <w:rPr>
                <w:noProof/>
                <w:color w:val="auto"/>
                <w:sz w:val="22"/>
                <w:szCs w:val="22"/>
              </w:rPr>
              <w:t>114</w:t>
            </w:r>
          </w:p>
        </w:tc>
        <w:tc>
          <w:tcPr>
            <w:tcW w:w="0" w:type="auto"/>
          </w:tcPr>
          <w:p w14:paraId="62C0E39B" w14:textId="77777777" w:rsidR="008C4DD4" w:rsidRPr="000653A9" w:rsidRDefault="008C4DD4" w:rsidP="00253145">
            <w:pPr>
              <w:spacing w:before="40" w:after="0"/>
              <w:jc w:val="center"/>
              <w:rPr>
                <w:noProof/>
                <w:color w:val="auto"/>
                <w:sz w:val="22"/>
                <w:szCs w:val="22"/>
              </w:rPr>
            </w:pPr>
            <w:r>
              <w:rPr>
                <w:noProof/>
                <w:color w:val="auto"/>
                <w:sz w:val="22"/>
                <w:szCs w:val="22"/>
              </w:rPr>
              <w:t>90</w:t>
            </w:r>
          </w:p>
        </w:tc>
      </w:tr>
      <w:tr w:rsidR="008C4DD4" w:rsidRPr="000653A9" w14:paraId="60C14CE9" w14:textId="77777777" w:rsidTr="00253145">
        <w:tc>
          <w:tcPr>
            <w:tcW w:w="0" w:type="auto"/>
          </w:tcPr>
          <w:p w14:paraId="24CF4D32" w14:textId="77777777" w:rsidR="008C4DD4" w:rsidRPr="000653A9" w:rsidRDefault="008C4DD4" w:rsidP="00253145">
            <w:pPr>
              <w:spacing w:before="40" w:after="0"/>
              <w:jc w:val="left"/>
              <w:rPr>
                <w:noProof/>
                <w:color w:val="auto"/>
                <w:sz w:val="22"/>
                <w:szCs w:val="22"/>
              </w:rPr>
            </w:pPr>
            <w:r>
              <w:rPr>
                <w:noProof/>
                <w:color w:val="auto"/>
                <w:sz w:val="22"/>
                <w:szCs w:val="22"/>
              </w:rPr>
              <w:t>FA (Preliminary)</w:t>
            </w:r>
          </w:p>
        </w:tc>
        <w:tc>
          <w:tcPr>
            <w:tcW w:w="0" w:type="auto"/>
          </w:tcPr>
          <w:p w14:paraId="3FD146AA" w14:textId="77777777" w:rsidR="008C4DD4" w:rsidRPr="000653A9" w:rsidRDefault="008C4DD4" w:rsidP="00253145">
            <w:pPr>
              <w:spacing w:before="40" w:after="0"/>
              <w:jc w:val="center"/>
              <w:rPr>
                <w:noProof/>
                <w:color w:val="auto"/>
                <w:sz w:val="22"/>
                <w:szCs w:val="22"/>
              </w:rPr>
            </w:pPr>
            <w:r>
              <w:rPr>
                <w:noProof/>
                <w:color w:val="auto"/>
                <w:sz w:val="22"/>
                <w:szCs w:val="22"/>
              </w:rPr>
              <w:t>363</w:t>
            </w:r>
          </w:p>
        </w:tc>
        <w:tc>
          <w:tcPr>
            <w:tcW w:w="0" w:type="auto"/>
          </w:tcPr>
          <w:p w14:paraId="5A90B6E1" w14:textId="77777777" w:rsidR="008C4DD4" w:rsidRPr="000653A9" w:rsidRDefault="008C4DD4" w:rsidP="00253145">
            <w:pPr>
              <w:spacing w:before="40" w:after="0"/>
              <w:jc w:val="center"/>
              <w:rPr>
                <w:noProof/>
                <w:color w:val="auto"/>
                <w:sz w:val="22"/>
                <w:szCs w:val="22"/>
              </w:rPr>
            </w:pPr>
            <w:r>
              <w:rPr>
                <w:noProof/>
                <w:color w:val="auto"/>
                <w:sz w:val="22"/>
                <w:szCs w:val="22"/>
              </w:rPr>
              <w:t>360</w:t>
            </w:r>
          </w:p>
        </w:tc>
        <w:tc>
          <w:tcPr>
            <w:tcW w:w="0" w:type="auto"/>
          </w:tcPr>
          <w:p w14:paraId="7CC4CEBE" w14:textId="77777777" w:rsidR="008C4DD4" w:rsidRPr="000653A9" w:rsidRDefault="008C4DD4" w:rsidP="00253145">
            <w:pPr>
              <w:spacing w:before="40" w:after="0"/>
              <w:jc w:val="center"/>
              <w:rPr>
                <w:noProof/>
                <w:color w:val="auto"/>
                <w:sz w:val="22"/>
                <w:szCs w:val="22"/>
              </w:rPr>
            </w:pPr>
            <w:r>
              <w:rPr>
                <w:noProof/>
                <w:color w:val="auto"/>
                <w:sz w:val="22"/>
                <w:szCs w:val="22"/>
              </w:rPr>
              <w:t>356</w:t>
            </w:r>
          </w:p>
        </w:tc>
        <w:tc>
          <w:tcPr>
            <w:tcW w:w="0" w:type="auto"/>
          </w:tcPr>
          <w:p w14:paraId="253C5CA4" w14:textId="77777777" w:rsidR="008C4DD4" w:rsidRPr="000653A9" w:rsidRDefault="008C4DD4" w:rsidP="00253145">
            <w:pPr>
              <w:spacing w:before="40" w:after="0"/>
              <w:jc w:val="center"/>
              <w:rPr>
                <w:noProof/>
                <w:color w:val="auto"/>
                <w:sz w:val="22"/>
                <w:szCs w:val="22"/>
              </w:rPr>
            </w:pPr>
            <w:r>
              <w:rPr>
                <w:noProof/>
                <w:color w:val="auto"/>
                <w:sz w:val="22"/>
                <w:szCs w:val="22"/>
              </w:rPr>
              <w:t>349</w:t>
            </w:r>
          </w:p>
        </w:tc>
        <w:tc>
          <w:tcPr>
            <w:tcW w:w="0" w:type="auto"/>
          </w:tcPr>
          <w:p w14:paraId="17BABEBF" w14:textId="77777777" w:rsidR="008C4DD4" w:rsidRPr="000653A9" w:rsidRDefault="008C4DD4" w:rsidP="00253145">
            <w:pPr>
              <w:spacing w:before="40" w:after="0"/>
              <w:jc w:val="center"/>
              <w:rPr>
                <w:noProof/>
                <w:color w:val="auto"/>
                <w:sz w:val="22"/>
                <w:szCs w:val="22"/>
              </w:rPr>
            </w:pPr>
            <w:r>
              <w:rPr>
                <w:noProof/>
                <w:color w:val="auto"/>
                <w:sz w:val="22"/>
                <w:szCs w:val="22"/>
              </w:rPr>
              <w:t>349</w:t>
            </w:r>
          </w:p>
        </w:tc>
        <w:tc>
          <w:tcPr>
            <w:tcW w:w="0" w:type="auto"/>
          </w:tcPr>
          <w:p w14:paraId="72345D95" w14:textId="77777777" w:rsidR="008C4DD4" w:rsidRPr="000653A9" w:rsidRDefault="008C4DD4" w:rsidP="00253145">
            <w:pPr>
              <w:spacing w:before="40" w:after="0"/>
              <w:jc w:val="center"/>
              <w:rPr>
                <w:noProof/>
                <w:color w:val="auto"/>
                <w:sz w:val="22"/>
                <w:szCs w:val="22"/>
              </w:rPr>
            </w:pPr>
            <w:r>
              <w:rPr>
                <w:noProof/>
                <w:color w:val="auto"/>
                <w:sz w:val="22"/>
                <w:szCs w:val="22"/>
              </w:rPr>
              <w:t>306</w:t>
            </w:r>
          </w:p>
        </w:tc>
        <w:tc>
          <w:tcPr>
            <w:tcW w:w="0" w:type="auto"/>
          </w:tcPr>
          <w:p w14:paraId="5DF6FFCF" w14:textId="77777777" w:rsidR="008C4DD4" w:rsidRPr="000653A9" w:rsidRDefault="008C4DD4" w:rsidP="00253145">
            <w:pPr>
              <w:spacing w:before="40" w:after="0"/>
              <w:jc w:val="center"/>
              <w:rPr>
                <w:noProof/>
                <w:color w:val="auto"/>
                <w:sz w:val="22"/>
                <w:szCs w:val="22"/>
              </w:rPr>
            </w:pPr>
            <w:r>
              <w:rPr>
                <w:noProof/>
                <w:color w:val="auto"/>
                <w:sz w:val="22"/>
                <w:szCs w:val="22"/>
              </w:rPr>
              <w:t>306</w:t>
            </w:r>
          </w:p>
        </w:tc>
        <w:tc>
          <w:tcPr>
            <w:tcW w:w="0" w:type="auto"/>
          </w:tcPr>
          <w:p w14:paraId="67C08A94" w14:textId="77777777" w:rsidR="008C4DD4" w:rsidRPr="000653A9" w:rsidRDefault="008C4DD4" w:rsidP="00253145">
            <w:pPr>
              <w:spacing w:before="40" w:after="0"/>
              <w:jc w:val="center"/>
              <w:rPr>
                <w:noProof/>
                <w:color w:val="auto"/>
                <w:sz w:val="22"/>
                <w:szCs w:val="22"/>
              </w:rPr>
            </w:pPr>
            <w:r>
              <w:rPr>
                <w:noProof/>
                <w:color w:val="auto"/>
                <w:sz w:val="22"/>
                <w:szCs w:val="22"/>
              </w:rPr>
              <w:t>306</w:t>
            </w:r>
          </w:p>
        </w:tc>
        <w:tc>
          <w:tcPr>
            <w:tcW w:w="0" w:type="auto"/>
          </w:tcPr>
          <w:p w14:paraId="60913C8F" w14:textId="77777777" w:rsidR="008C4DD4" w:rsidRPr="000653A9" w:rsidRDefault="008C4DD4" w:rsidP="00253145">
            <w:pPr>
              <w:spacing w:before="40" w:after="0"/>
              <w:jc w:val="center"/>
              <w:rPr>
                <w:noProof/>
                <w:color w:val="auto"/>
                <w:sz w:val="22"/>
                <w:szCs w:val="22"/>
              </w:rPr>
            </w:pPr>
            <w:r>
              <w:rPr>
                <w:noProof/>
                <w:color w:val="auto"/>
                <w:sz w:val="22"/>
                <w:szCs w:val="22"/>
              </w:rPr>
              <w:t>306</w:t>
            </w:r>
          </w:p>
        </w:tc>
        <w:tc>
          <w:tcPr>
            <w:tcW w:w="0" w:type="auto"/>
          </w:tcPr>
          <w:p w14:paraId="3ECD3043" w14:textId="77777777" w:rsidR="008C4DD4" w:rsidRPr="000653A9" w:rsidRDefault="008C4DD4" w:rsidP="00253145">
            <w:pPr>
              <w:spacing w:before="40" w:after="0"/>
              <w:jc w:val="center"/>
              <w:rPr>
                <w:noProof/>
                <w:color w:val="auto"/>
                <w:sz w:val="22"/>
                <w:szCs w:val="22"/>
              </w:rPr>
            </w:pPr>
            <w:r>
              <w:rPr>
                <w:noProof/>
                <w:color w:val="auto"/>
                <w:sz w:val="22"/>
                <w:szCs w:val="22"/>
              </w:rPr>
              <w:t>305</w:t>
            </w:r>
          </w:p>
        </w:tc>
      </w:tr>
      <w:tr w:rsidR="008C4DD4" w:rsidRPr="000653A9" w14:paraId="706A408E" w14:textId="77777777" w:rsidTr="00253145">
        <w:tc>
          <w:tcPr>
            <w:tcW w:w="0" w:type="auto"/>
          </w:tcPr>
          <w:p w14:paraId="72B066ED" w14:textId="77777777" w:rsidR="008C4DD4" w:rsidRPr="000653A9" w:rsidRDefault="008C4DD4" w:rsidP="00253145">
            <w:pPr>
              <w:spacing w:before="40" w:after="0"/>
              <w:jc w:val="left"/>
              <w:rPr>
                <w:noProof/>
                <w:color w:val="auto"/>
                <w:sz w:val="22"/>
                <w:szCs w:val="22"/>
              </w:rPr>
            </w:pPr>
            <w:r>
              <w:rPr>
                <w:noProof/>
                <w:color w:val="auto"/>
                <w:sz w:val="22"/>
                <w:szCs w:val="22"/>
              </w:rPr>
              <w:t>CSCF</w:t>
            </w:r>
          </w:p>
        </w:tc>
        <w:tc>
          <w:tcPr>
            <w:tcW w:w="0" w:type="auto"/>
          </w:tcPr>
          <w:p w14:paraId="74697B98" w14:textId="77777777" w:rsidR="008C4DD4" w:rsidRPr="000653A9" w:rsidRDefault="008C4DD4" w:rsidP="00253145">
            <w:pPr>
              <w:spacing w:before="40" w:after="0"/>
              <w:jc w:val="center"/>
              <w:rPr>
                <w:noProof/>
                <w:color w:val="auto"/>
                <w:sz w:val="22"/>
                <w:szCs w:val="22"/>
              </w:rPr>
            </w:pPr>
            <w:r>
              <w:rPr>
                <w:noProof/>
                <w:color w:val="auto"/>
                <w:sz w:val="22"/>
                <w:szCs w:val="22"/>
              </w:rPr>
              <w:t>0.88</w:t>
            </w:r>
          </w:p>
        </w:tc>
        <w:tc>
          <w:tcPr>
            <w:tcW w:w="0" w:type="auto"/>
          </w:tcPr>
          <w:p w14:paraId="0DB76CD5" w14:textId="77777777" w:rsidR="008C4DD4" w:rsidRPr="000653A9" w:rsidRDefault="008C4DD4" w:rsidP="00253145">
            <w:pPr>
              <w:spacing w:before="40" w:after="0"/>
              <w:jc w:val="center"/>
              <w:rPr>
                <w:noProof/>
                <w:color w:val="auto"/>
                <w:sz w:val="22"/>
                <w:szCs w:val="22"/>
              </w:rPr>
            </w:pPr>
            <w:r>
              <w:rPr>
                <w:noProof/>
                <w:color w:val="auto"/>
                <w:sz w:val="22"/>
                <w:szCs w:val="22"/>
              </w:rPr>
              <w:t>0.82</w:t>
            </w:r>
          </w:p>
        </w:tc>
        <w:tc>
          <w:tcPr>
            <w:tcW w:w="0" w:type="auto"/>
          </w:tcPr>
          <w:p w14:paraId="50D6EF89" w14:textId="77777777" w:rsidR="008C4DD4" w:rsidRPr="000653A9" w:rsidRDefault="008C4DD4" w:rsidP="00253145">
            <w:pPr>
              <w:spacing w:before="40" w:after="0"/>
              <w:jc w:val="center"/>
              <w:rPr>
                <w:noProof/>
                <w:color w:val="auto"/>
                <w:sz w:val="22"/>
                <w:szCs w:val="22"/>
              </w:rPr>
            </w:pPr>
            <w:r>
              <w:rPr>
                <w:noProof/>
                <w:color w:val="auto"/>
                <w:sz w:val="22"/>
                <w:szCs w:val="22"/>
              </w:rPr>
              <w:t>0.75</w:t>
            </w:r>
          </w:p>
        </w:tc>
        <w:tc>
          <w:tcPr>
            <w:tcW w:w="0" w:type="auto"/>
          </w:tcPr>
          <w:p w14:paraId="60B03189" w14:textId="77777777" w:rsidR="008C4DD4" w:rsidRPr="000653A9" w:rsidRDefault="008C4DD4" w:rsidP="00253145">
            <w:pPr>
              <w:spacing w:before="40" w:after="0"/>
              <w:jc w:val="center"/>
              <w:rPr>
                <w:noProof/>
                <w:color w:val="auto"/>
                <w:sz w:val="22"/>
                <w:szCs w:val="22"/>
              </w:rPr>
            </w:pPr>
            <w:r>
              <w:rPr>
                <w:noProof/>
                <w:color w:val="auto"/>
                <w:sz w:val="22"/>
                <w:szCs w:val="22"/>
              </w:rPr>
              <w:t>0.69</w:t>
            </w:r>
          </w:p>
        </w:tc>
        <w:tc>
          <w:tcPr>
            <w:tcW w:w="0" w:type="auto"/>
          </w:tcPr>
          <w:p w14:paraId="62693BA5" w14:textId="77777777" w:rsidR="008C4DD4" w:rsidRPr="000653A9" w:rsidRDefault="008C4DD4" w:rsidP="00253145">
            <w:pPr>
              <w:spacing w:before="40" w:after="0"/>
              <w:jc w:val="center"/>
              <w:rPr>
                <w:noProof/>
                <w:color w:val="auto"/>
                <w:sz w:val="22"/>
                <w:szCs w:val="22"/>
              </w:rPr>
            </w:pPr>
            <w:r>
              <w:rPr>
                <w:noProof/>
                <w:color w:val="auto"/>
                <w:sz w:val="22"/>
                <w:szCs w:val="22"/>
              </w:rPr>
              <w:t>0.61</w:t>
            </w:r>
          </w:p>
        </w:tc>
        <w:tc>
          <w:tcPr>
            <w:tcW w:w="0" w:type="auto"/>
          </w:tcPr>
          <w:p w14:paraId="7A2211D6" w14:textId="77777777" w:rsidR="008C4DD4" w:rsidRPr="000653A9" w:rsidRDefault="008C4DD4" w:rsidP="00253145">
            <w:pPr>
              <w:spacing w:before="40" w:after="0"/>
              <w:jc w:val="center"/>
              <w:rPr>
                <w:noProof/>
                <w:color w:val="auto"/>
                <w:sz w:val="22"/>
                <w:szCs w:val="22"/>
              </w:rPr>
            </w:pPr>
            <w:r>
              <w:rPr>
                <w:noProof/>
                <w:color w:val="auto"/>
                <w:sz w:val="22"/>
                <w:szCs w:val="22"/>
              </w:rPr>
              <w:t>0.61</w:t>
            </w:r>
          </w:p>
        </w:tc>
        <w:tc>
          <w:tcPr>
            <w:tcW w:w="0" w:type="auto"/>
          </w:tcPr>
          <w:p w14:paraId="08134A56" w14:textId="77777777" w:rsidR="008C4DD4" w:rsidRPr="000653A9" w:rsidRDefault="008C4DD4" w:rsidP="00253145">
            <w:pPr>
              <w:spacing w:before="40" w:after="0"/>
              <w:jc w:val="center"/>
              <w:rPr>
                <w:noProof/>
                <w:color w:val="auto"/>
                <w:sz w:val="22"/>
                <w:szCs w:val="22"/>
              </w:rPr>
            </w:pPr>
            <w:r>
              <w:rPr>
                <w:noProof/>
                <w:color w:val="auto"/>
                <w:sz w:val="22"/>
                <w:szCs w:val="22"/>
              </w:rPr>
              <w:t>0.53</w:t>
            </w:r>
          </w:p>
        </w:tc>
        <w:tc>
          <w:tcPr>
            <w:tcW w:w="0" w:type="auto"/>
          </w:tcPr>
          <w:p w14:paraId="67178800" w14:textId="77777777" w:rsidR="008C4DD4" w:rsidRPr="000653A9" w:rsidRDefault="008C4DD4" w:rsidP="00253145">
            <w:pPr>
              <w:spacing w:before="40" w:after="0"/>
              <w:jc w:val="center"/>
              <w:rPr>
                <w:noProof/>
                <w:color w:val="auto"/>
                <w:sz w:val="22"/>
                <w:szCs w:val="22"/>
              </w:rPr>
            </w:pPr>
            <w:r>
              <w:rPr>
                <w:noProof/>
                <w:color w:val="auto"/>
                <w:sz w:val="22"/>
                <w:szCs w:val="22"/>
              </w:rPr>
              <w:t>0.45</w:t>
            </w:r>
          </w:p>
        </w:tc>
        <w:tc>
          <w:tcPr>
            <w:tcW w:w="0" w:type="auto"/>
          </w:tcPr>
          <w:p w14:paraId="0CC96223" w14:textId="77777777" w:rsidR="008C4DD4" w:rsidRPr="000653A9" w:rsidRDefault="008C4DD4" w:rsidP="00253145">
            <w:pPr>
              <w:spacing w:before="40" w:after="0"/>
              <w:jc w:val="center"/>
              <w:rPr>
                <w:noProof/>
                <w:color w:val="auto"/>
                <w:sz w:val="22"/>
                <w:szCs w:val="22"/>
              </w:rPr>
            </w:pPr>
            <w:r>
              <w:rPr>
                <w:noProof/>
                <w:color w:val="auto"/>
                <w:sz w:val="22"/>
                <w:szCs w:val="22"/>
              </w:rPr>
              <w:t>0.37</w:t>
            </w:r>
          </w:p>
        </w:tc>
        <w:tc>
          <w:tcPr>
            <w:tcW w:w="0" w:type="auto"/>
          </w:tcPr>
          <w:p w14:paraId="24C68F0A" w14:textId="77777777" w:rsidR="008C4DD4" w:rsidRPr="000653A9" w:rsidRDefault="008C4DD4" w:rsidP="00253145">
            <w:pPr>
              <w:spacing w:before="40" w:after="0"/>
              <w:jc w:val="center"/>
              <w:rPr>
                <w:noProof/>
                <w:color w:val="auto"/>
                <w:sz w:val="22"/>
                <w:szCs w:val="22"/>
              </w:rPr>
            </w:pPr>
            <w:r>
              <w:rPr>
                <w:noProof/>
                <w:color w:val="auto"/>
                <w:sz w:val="22"/>
                <w:szCs w:val="22"/>
              </w:rPr>
              <w:t>0.30</w:t>
            </w:r>
          </w:p>
        </w:tc>
      </w:tr>
      <w:tr w:rsidR="008C4DD4" w:rsidRPr="000653A9" w14:paraId="2E27448F" w14:textId="77777777" w:rsidTr="00253145">
        <w:tc>
          <w:tcPr>
            <w:tcW w:w="0" w:type="auto"/>
            <w:vAlign w:val="center"/>
          </w:tcPr>
          <w:p w14:paraId="373B8431" w14:textId="77777777" w:rsidR="008C4DD4" w:rsidRPr="000653A9" w:rsidRDefault="008C4DD4" w:rsidP="00253145">
            <w:pPr>
              <w:spacing w:before="40" w:after="0"/>
              <w:jc w:val="left"/>
              <w:rPr>
                <w:noProof/>
                <w:color w:val="auto"/>
                <w:sz w:val="22"/>
                <w:szCs w:val="22"/>
              </w:rPr>
            </w:pPr>
            <w:r>
              <w:rPr>
                <w:noProof/>
                <w:color w:val="auto"/>
                <w:sz w:val="20"/>
                <w:szCs w:val="20"/>
              </w:rPr>
              <w:t>FA (before CBAM phase out)</w:t>
            </w:r>
          </w:p>
        </w:tc>
        <w:tc>
          <w:tcPr>
            <w:tcW w:w="0" w:type="auto"/>
          </w:tcPr>
          <w:p w14:paraId="014B2857" w14:textId="77777777" w:rsidR="008C4DD4" w:rsidRPr="000653A9" w:rsidRDefault="008C4DD4" w:rsidP="00253145">
            <w:pPr>
              <w:spacing w:before="40" w:after="0"/>
              <w:jc w:val="center"/>
              <w:rPr>
                <w:noProof/>
                <w:color w:val="auto"/>
                <w:sz w:val="22"/>
                <w:szCs w:val="22"/>
              </w:rPr>
            </w:pPr>
            <w:r>
              <w:rPr>
                <w:noProof/>
                <w:color w:val="auto"/>
                <w:sz w:val="22"/>
                <w:szCs w:val="22"/>
              </w:rPr>
              <w:t>320</w:t>
            </w:r>
          </w:p>
        </w:tc>
        <w:tc>
          <w:tcPr>
            <w:tcW w:w="0" w:type="auto"/>
          </w:tcPr>
          <w:p w14:paraId="3B575198" w14:textId="77777777" w:rsidR="008C4DD4" w:rsidRPr="000653A9" w:rsidRDefault="008C4DD4" w:rsidP="00253145">
            <w:pPr>
              <w:spacing w:before="40" w:after="0"/>
              <w:jc w:val="center"/>
              <w:rPr>
                <w:noProof/>
                <w:color w:val="auto"/>
                <w:sz w:val="22"/>
                <w:szCs w:val="22"/>
              </w:rPr>
            </w:pPr>
            <w:r>
              <w:rPr>
                <w:noProof/>
                <w:color w:val="auto"/>
                <w:sz w:val="22"/>
                <w:szCs w:val="22"/>
              </w:rPr>
              <w:t>293</w:t>
            </w:r>
          </w:p>
        </w:tc>
        <w:tc>
          <w:tcPr>
            <w:tcW w:w="0" w:type="auto"/>
          </w:tcPr>
          <w:p w14:paraId="1FE212B5" w14:textId="77777777" w:rsidR="008C4DD4" w:rsidRPr="000653A9" w:rsidRDefault="008C4DD4" w:rsidP="00253145">
            <w:pPr>
              <w:spacing w:before="40" w:after="0"/>
              <w:jc w:val="center"/>
              <w:rPr>
                <w:noProof/>
                <w:color w:val="auto"/>
                <w:sz w:val="22"/>
                <w:szCs w:val="22"/>
              </w:rPr>
            </w:pPr>
            <w:r>
              <w:rPr>
                <w:noProof/>
                <w:color w:val="auto"/>
                <w:sz w:val="22"/>
                <w:szCs w:val="22"/>
              </w:rPr>
              <w:t>267</w:t>
            </w:r>
          </w:p>
        </w:tc>
        <w:tc>
          <w:tcPr>
            <w:tcW w:w="0" w:type="auto"/>
          </w:tcPr>
          <w:p w14:paraId="3EF46A91" w14:textId="77777777" w:rsidR="008C4DD4" w:rsidRPr="000653A9" w:rsidRDefault="008C4DD4" w:rsidP="00253145">
            <w:pPr>
              <w:spacing w:before="40" w:after="0"/>
              <w:jc w:val="center"/>
              <w:rPr>
                <w:noProof/>
                <w:color w:val="auto"/>
                <w:sz w:val="22"/>
                <w:szCs w:val="22"/>
              </w:rPr>
            </w:pPr>
            <w:r>
              <w:rPr>
                <w:noProof/>
                <w:color w:val="auto"/>
                <w:sz w:val="22"/>
                <w:szCs w:val="22"/>
              </w:rPr>
              <w:t>240</w:t>
            </w:r>
          </w:p>
        </w:tc>
        <w:tc>
          <w:tcPr>
            <w:tcW w:w="0" w:type="auto"/>
          </w:tcPr>
          <w:p w14:paraId="41A91B16" w14:textId="77777777" w:rsidR="008C4DD4" w:rsidRPr="000653A9" w:rsidRDefault="008C4DD4" w:rsidP="00253145">
            <w:pPr>
              <w:spacing w:before="40" w:after="0"/>
              <w:jc w:val="center"/>
              <w:rPr>
                <w:noProof/>
                <w:color w:val="auto"/>
                <w:sz w:val="22"/>
                <w:szCs w:val="22"/>
              </w:rPr>
            </w:pPr>
            <w:r>
              <w:rPr>
                <w:noProof/>
                <w:color w:val="auto"/>
                <w:sz w:val="22"/>
                <w:szCs w:val="22"/>
              </w:rPr>
              <w:t>212</w:t>
            </w:r>
          </w:p>
        </w:tc>
        <w:tc>
          <w:tcPr>
            <w:tcW w:w="0" w:type="auto"/>
          </w:tcPr>
          <w:p w14:paraId="0F80EFBD" w14:textId="77777777" w:rsidR="008C4DD4" w:rsidRPr="000653A9" w:rsidRDefault="008C4DD4" w:rsidP="00253145">
            <w:pPr>
              <w:spacing w:before="40" w:after="0"/>
              <w:jc w:val="center"/>
              <w:rPr>
                <w:noProof/>
                <w:color w:val="auto"/>
                <w:sz w:val="22"/>
                <w:szCs w:val="22"/>
              </w:rPr>
            </w:pPr>
            <w:r>
              <w:rPr>
                <w:noProof/>
                <w:color w:val="auto"/>
                <w:sz w:val="22"/>
                <w:szCs w:val="22"/>
              </w:rPr>
              <w:t>187</w:t>
            </w:r>
          </w:p>
        </w:tc>
        <w:tc>
          <w:tcPr>
            <w:tcW w:w="0" w:type="auto"/>
          </w:tcPr>
          <w:p w14:paraId="6079E9D8" w14:textId="77777777" w:rsidR="008C4DD4" w:rsidRPr="000653A9" w:rsidRDefault="008C4DD4" w:rsidP="00253145">
            <w:pPr>
              <w:spacing w:before="40" w:after="0"/>
              <w:jc w:val="center"/>
              <w:rPr>
                <w:noProof/>
                <w:color w:val="auto"/>
                <w:sz w:val="22"/>
                <w:szCs w:val="22"/>
              </w:rPr>
            </w:pPr>
            <w:r>
              <w:rPr>
                <w:noProof/>
                <w:color w:val="auto"/>
                <w:sz w:val="22"/>
                <w:szCs w:val="22"/>
              </w:rPr>
              <w:t>163</w:t>
            </w:r>
          </w:p>
        </w:tc>
        <w:tc>
          <w:tcPr>
            <w:tcW w:w="0" w:type="auto"/>
          </w:tcPr>
          <w:p w14:paraId="400CE88C" w14:textId="77777777" w:rsidR="008C4DD4" w:rsidRPr="000653A9" w:rsidRDefault="008C4DD4" w:rsidP="00253145">
            <w:pPr>
              <w:spacing w:before="40" w:after="0"/>
              <w:jc w:val="center"/>
              <w:rPr>
                <w:noProof/>
                <w:color w:val="auto"/>
                <w:sz w:val="22"/>
                <w:szCs w:val="22"/>
              </w:rPr>
            </w:pPr>
            <w:r>
              <w:rPr>
                <w:noProof/>
                <w:color w:val="auto"/>
                <w:sz w:val="22"/>
                <w:szCs w:val="22"/>
              </w:rPr>
              <w:t>139</w:t>
            </w:r>
          </w:p>
        </w:tc>
        <w:tc>
          <w:tcPr>
            <w:tcW w:w="0" w:type="auto"/>
          </w:tcPr>
          <w:p w14:paraId="4A421DF9" w14:textId="77777777" w:rsidR="008C4DD4" w:rsidRPr="000653A9" w:rsidRDefault="008C4DD4" w:rsidP="00253145">
            <w:pPr>
              <w:spacing w:before="40" w:after="0"/>
              <w:jc w:val="center"/>
              <w:rPr>
                <w:noProof/>
                <w:color w:val="auto"/>
                <w:sz w:val="22"/>
                <w:szCs w:val="22"/>
              </w:rPr>
            </w:pPr>
            <w:r>
              <w:rPr>
                <w:noProof/>
                <w:color w:val="auto"/>
                <w:sz w:val="22"/>
                <w:szCs w:val="22"/>
              </w:rPr>
              <w:t>114</w:t>
            </w:r>
          </w:p>
        </w:tc>
        <w:tc>
          <w:tcPr>
            <w:tcW w:w="0" w:type="auto"/>
          </w:tcPr>
          <w:p w14:paraId="6584AE80" w14:textId="77777777" w:rsidR="008C4DD4" w:rsidRPr="000653A9" w:rsidRDefault="008C4DD4" w:rsidP="00253145">
            <w:pPr>
              <w:spacing w:before="40" w:after="0"/>
              <w:jc w:val="center"/>
              <w:rPr>
                <w:noProof/>
                <w:color w:val="auto"/>
                <w:sz w:val="22"/>
                <w:szCs w:val="22"/>
              </w:rPr>
            </w:pPr>
            <w:r>
              <w:rPr>
                <w:noProof/>
                <w:color w:val="auto"/>
                <w:sz w:val="22"/>
                <w:szCs w:val="22"/>
              </w:rPr>
              <w:t>90</w:t>
            </w:r>
          </w:p>
        </w:tc>
      </w:tr>
      <w:tr w:rsidR="008C4DD4" w:rsidRPr="000653A9" w14:paraId="635DE5A7" w14:textId="77777777" w:rsidTr="00253145">
        <w:tc>
          <w:tcPr>
            <w:tcW w:w="0" w:type="auto"/>
            <w:vAlign w:val="center"/>
          </w:tcPr>
          <w:p w14:paraId="337DF68B" w14:textId="77777777" w:rsidR="008C4DD4" w:rsidRPr="000653A9" w:rsidRDefault="008C4DD4" w:rsidP="00253145">
            <w:pPr>
              <w:spacing w:before="40" w:after="0"/>
              <w:jc w:val="left"/>
              <w:rPr>
                <w:noProof/>
                <w:color w:val="auto"/>
                <w:sz w:val="22"/>
                <w:szCs w:val="22"/>
              </w:rPr>
            </w:pPr>
            <w:r>
              <w:rPr>
                <w:noProof/>
                <w:color w:val="auto"/>
                <w:sz w:val="20"/>
                <w:szCs w:val="20"/>
              </w:rPr>
              <w:t>FA (after CBAM phase out)</w:t>
            </w:r>
          </w:p>
        </w:tc>
        <w:tc>
          <w:tcPr>
            <w:tcW w:w="0" w:type="auto"/>
          </w:tcPr>
          <w:p w14:paraId="02680F1D" w14:textId="77777777" w:rsidR="008C4DD4" w:rsidRPr="000653A9" w:rsidRDefault="008C4DD4" w:rsidP="00253145">
            <w:pPr>
              <w:spacing w:before="40" w:after="0"/>
              <w:jc w:val="center"/>
              <w:rPr>
                <w:noProof/>
                <w:color w:val="auto"/>
                <w:sz w:val="22"/>
                <w:szCs w:val="22"/>
              </w:rPr>
            </w:pPr>
            <w:r>
              <w:rPr>
                <w:noProof/>
                <w:color w:val="auto"/>
                <w:sz w:val="22"/>
                <w:szCs w:val="22"/>
              </w:rPr>
              <w:t>230</w:t>
            </w:r>
          </w:p>
        </w:tc>
        <w:tc>
          <w:tcPr>
            <w:tcW w:w="0" w:type="auto"/>
          </w:tcPr>
          <w:p w14:paraId="6D186C20" w14:textId="77777777" w:rsidR="008C4DD4" w:rsidRPr="000653A9" w:rsidRDefault="008C4DD4" w:rsidP="00253145">
            <w:pPr>
              <w:spacing w:before="40" w:after="0"/>
              <w:jc w:val="center"/>
              <w:rPr>
                <w:noProof/>
                <w:color w:val="auto"/>
                <w:sz w:val="22"/>
                <w:szCs w:val="22"/>
              </w:rPr>
            </w:pPr>
            <w:r>
              <w:rPr>
                <w:noProof/>
                <w:color w:val="auto"/>
                <w:sz w:val="22"/>
                <w:szCs w:val="22"/>
              </w:rPr>
              <w:t>192</w:t>
            </w:r>
          </w:p>
        </w:tc>
        <w:tc>
          <w:tcPr>
            <w:tcW w:w="0" w:type="auto"/>
          </w:tcPr>
          <w:p w14:paraId="5CF9085A" w14:textId="77777777" w:rsidR="008C4DD4" w:rsidRPr="000653A9" w:rsidRDefault="008C4DD4" w:rsidP="00253145">
            <w:pPr>
              <w:spacing w:before="40" w:after="0"/>
              <w:jc w:val="center"/>
              <w:rPr>
                <w:noProof/>
                <w:color w:val="auto"/>
                <w:sz w:val="22"/>
                <w:szCs w:val="22"/>
              </w:rPr>
            </w:pPr>
            <w:r>
              <w:rPr>
                <w:noProof/>
                <w:color w:val="auto"/>
                <w:sz w:val="22"/>
                <w:szCs w:val="22"/>
              </w:rPr>
              <w:t>159</w:t>
            </w:r>
          </w:p>
        </w:tc>
        <w:tc>
          <w:tcPr>
            <w:tcW w:w="0" w:type="auto"/>
          </w:tcPr>
          <w:p w14:paraId="58C257DC" w14:textId="77777777" w:rsidR="008C4DD4" w:rsidRPr="000653A9" w:rsidRDefault="008C4DD4" w:rsidP="00253145">
            <w:pPr>
              <w:spacing w:before="40" w:after="0"/>
              <w:jc w:val="center"/>
              <w:rPr>
                <w:noProof/>
                <w:color w:val="auto"/>
                <w:sz w:val="22"/>
                <w:szCs w:val="22"/>
              </w:rPr>
            </w:pPr>
            <w:r>
              <w:rPr>
                <w:noProof/>
                <w:color w:val="auto"/>
                <w:sz w:val="22"/>
                <w:szCs w:val="22"/>
              </w:rPr>
              <w:t>124</w:t>
            </w:r>
          </w:p>
        </w:tc>
        <w:tc>
          <w:tcPr>
            <w:tcW w:w="0" w:type="auto"/>
          </w:tcPr>
          <w:p w14:paraId="32B173BB" w14:textId="77777777" w:rsidR="008C4DD4" w:rsidRPr="000653A9" w:rsidRDefault="008C4DD4" w:rsidP="00253145">
            <w:pPr>
              <w:spacing w:before="40" w:after="0"/>
              <w:jc w:val="center"/>
              <w:rPr>
                <w:noProof/>
                <w:color w:val="auto"/>
                <w:sz w:val="22"/>
                <w:szCs w:val="22"/>
              </w:rPr>
            </w:pPr>
            <w:r>
              <w:rPr>
                <w:noProof/>
                <w:color w:val="auto"/>
                <w:sz w:val="22"/>
                <w:szCs w:val="22"/>
              </w:rPr>
              <w:t>110</w:t>
            </w:r>
          </w:p>
        </w:tc>
        <w:tc>
          <w:tcPr>
            <w:tcW w:w="0" w:type="auto"/>
          </w:tcPr>
          <w:p w14:paraId="5CB19A7C" w14:textId="77777777" w:rsidR="008C4DD4" w:rsidRPr="000653A9" w:rsidRDefault="008C4DD4" w:rsidP="00253145">
            <w:pPr>
              <w:spacing w:before="40" w:after="0"/>
              <w:jc w:val="center"/>
              <w:rPr>
                <w:noProof/>
                <w:color w:val="auto"/>
                <w:sz w:val="22"/>
                <w:szCs w:val="22"/>
              </w:rPr>
            </w:pPr>
            <w:r>
              <w:rPr>
                <w:noProof/>
                <w:color w:val="auto"/>
                <w:sz w:val="22"/>
                <w:szCs w:val="22"/>
              </w:rPr>
              <w:t>89</w:t>
            </w:r>
          </w:p>
        </w:tc>
        <w:tc>
          <w:tcPr>
            <w:tcW w:w="0" w:type="auto"/>
          </w:tcPr>
          <w:p w14:paraId="248060D0" w14:textId="77777777" w:rsidR="008C4DD4" w:rsidRPr="000653A9" w:rsidRDefault="008C4DD4" w:rsidP="00253145">
            <w:pPr>
              <w:spacing w:before="40" w:after="0"/>
              <w:jc w:val="center"/>
              <w:rPr>
                <w:noProof/>
                <w:color w:val="auto"/>
                <w:sz w:val="22"/>
                <w:szCs w:val="22"/>
              </w:rPr>
            </w:pPr>
            <w:r>
              <w:rPr>
                <w:noProof/>
                <w:color w:val="auto"/>
                <w:sz w:val="22"/>
                <w:szCs w:val="22"/>
              </w:rPr>
              <w:t>78</w:t>
            </w:r>
          </w:p>
        </w:tc>
        <w:tc>
          <w:tcPr>
            <w:tcW w:w="0" w:type="auto"/>
          </w:tcPr>
          <w:p w14:paraId="6C0ED643" w14:textId="77777777" w:rsidR="008C4DD4" w:rsidRPr="000653A9" w:rsidRDefault="008C4DD4" w:rsidP="00253145">
            <w:pPr>
              <w:spacing w:before="40" w:after="0"/>
              <w:jc w:val="center"/>
              <w:rPr>
                <w:noProof/>
                <w:color w:val="auto"/>
                <w:sz w:val="22"/>
                <w:szCs w:val="22"/>
              </w:rPr>
            </w:pPr>
            <w:r>
              <w:rPr>
                <w:noProof/>
                <w:color w:val="auto"/>
                <w:sz w:val="22"/>
                <w:szCs w:val="22"/>
              </w:rPr>
              <w:t>66</w:t>
            </w:r>
          </w:p>
        </w:tc>
        <w:tc>
          <w:tcPr>
            <w:tcW w:w="0" w:type="auto"/>
          </w:tcPr>
          <w:p w14:paraId="103ECC38" w14:textId="77777777" w:rsidR="008C4DD4" w:rsidRPr="000653A9" w:rsidRDefault="008C4DD4" w:rsidP="00253145">
            <w:pPr>
              <w:spacing w:before="40" w:after="0"/>
              <w:jc w:val="center"/>
              <w:rPr>
                <w:noProof/>
                <w:color w:val="auto"/>
                <w:sz w:val="22"/>
                <w:szCs w:val="22"/>
              </w:rPr>
            </w:pPr>
            <w:r>
              <w:rPr>
                <w:noProof/>
                <w:color w:val="auto"/>
                <w:sz w:val="22"/>
                <w:szCs w:val="22"/>
              </w:rPr>
              <w:t>54</w:t>
            </w:r>
          </w:p>
        </w:tc>
        <w:tc>
          <w:tcPr>
            <w:tcW w:w="0" w:type="auto"/>
          </w:tcPr>
          <w:p w14:paraId="542D27D4" w14:textId="77777777" w:rsidR="008C4DD4" w:rsidRPr="000653A9" w:rsidRDefault="008C4DD4" w:rsidP="00253145">
            <w:pPr>
              <w:spacing w:before="40" w:after="0"/>
              <w:jc w:val="center"/>
              <w:rPr>
                <w:noProof/>
                <w:color w:val="auto"/>
                <w:sz w:val="22"/>
                <w:szCs w:val="22"/>
              </w:rPr>
            </w:pPr>
            <w:r>
              <w:rPr>
                <w:noProof/>
                <w:color w:val="auto"/>
                <w:sz w:val="22"/>
                <w:szCs w:val="22"/>
              </w:rPr>
              <w:t>43</w:t>
            </w:r>
          </w:p>
        </w:tc>
      </w:tr>
    </w:tbl>
    <w:p w14:paraId="4D8CE098" w14:textId="576DD7F0" w:rsidR="00A24B35" w:rsidRPr="00FD6CC0" w:rsidRDefault="00A24B35" w:rsidP="00A24B35">
      <w:pPr>
        <w:spacing w:after="240"/>
        <w:rPr>
          <w:i/>
          <w:iCs/>
          <w:noProof/>
          <w:color w:val="auto"/>
          <w:sz w:val="20"/>
          <w:szCs w:val="20"/>
        </w:rPr>
      </w:pPr>
      <w:r w:rsidRPr="00FD6CC0">
        <w:rPr>
          <w:i/>
          <w:iCs/>
          <w:noProof/>
          <w:color w:val="auto"/>
          <w:sz w:val="20"/>
          <w:szCs w:val="20"/>
        </w:rPr>
        <w:t>Source:</w:t>
      </w:r>
      <w:r w:rsidRPr="00FD6CC0">
        <w:rPr>
          <w:i/>
          <w:iCs/>
          <w:noProof/>
          <w:color w:val="auto"/>
          <w:sz w:val="20"/>
          <w:szCs w:val="20"/>
        </w:rPr>
        <w:tab/>
      </w:r>
      <w:r w:rsidRPr="00FD6CC0">
        <w:rPr>
          <w:i/>
          <w:iCs/>
          <w:noProof/>
          <w:color w:val="auto"/>
          <w:sz w:val="20"/>
          <w:szCs w:val="20"/>
        </w:rPr>
        <w:tab/>
        <w:t>Own calculation based upon preliminary NIMs data for 2019-23</w:t>
      </w:r>
    </w:p>
    <w:p w14:paraId="30910FF8" w14:textId="6EE34F8D" w:rsidR="00A24B35" w:rsidRPr="000653A9" w:rsidRDefault="00106A0D" w:rsidP="00A24B35">
      <w:pPr>
        <w:spacing w:after="240"/>
        <w:rPr>
          <w:noProof/>
        </w:rPr>
      </w:pPr>
      <w:r w:rsidRPr="000653A9">
        <w:rPr>
          <w:noProof/>
        </w:rPr>
        <w:t>U</w:t>
      </w:r>
      <w:r w:rsidR="00A24B35" w:rsidRPr="000653A9">
        <w:rPr>
          <w:noProof/>
        </w:rPr>
        <w:t>nder the CL2_90 CBAM variant scenario</w:t>
      </w:r>
      <w:r w:rsidRPr="000653A9">
        <w:rPr>
          <w:noProof/>
        </w:rPr>
        <w:t>, t</w:t>
      </w:r>
      <w:r w:rsidR="00A24B35" w:rsidRPr="000653A9">
        <w:rPr>
          <w:noProof/>
        </w:rPr>
        <w:t xml:space="preserve">he manufacture of basic iron and steel and of ferro alloys (NACE code 24.10) receives </w:t>
      </w:r>
      <w:r>
        <w:rPr>
          <w:noProof/>
        </w:rPr>
        <w:t>161</w:t>
      </w:r>
      <w:r w:rsidR="00A24B35" w:rsidRPr="000653A9">
        <w:rPr>
          <w:noProof/>
        </w:rPr>
        <w:t xml:space="preserve"> million EUAs for free and the manufacture of cement (NACE code 23.51) receives </w:t>
      </w:r>
      <w:r>
        <w:rPr>
          <w:noProof/>
        </w:rPr>
        <w:t>100</w:t>
      </w:r>
      <w:r w:rsidR="00A24B35" w:rsidRPr="000653A9">
        <w:rPr>
          <w:noProof/>
        </w:rPr>
        <w:t xml:space="preserve"> million EUAs for free, </w:t>
      </w:r>
      <w:r w:rsidR="00210828" w:rsidRPr="000653A9">
        <w:rPr>
          <w:noProof/>
        </w:rPr>
        <w:t>most of</w:t>
      </w:r>
      <w:r w:rsidR="00A24B35" w:rsidRPr="000653A9">
        <w:rPr>
          <w:noProof/>
        </w:rPr>
        <w:t xml:space="preserve"> these free allowances were distributed only up until 2034. These values are higher in the CL2_90 CBAM variant than in the CL2_90 scenario due to the return of 15% of the allowances that were initially taken away from both sectors due to the application of the CBAM factor.</w:t>
      </w:r>
    </w:p>
    <w:p w14:paraId="22AEF31F" w14:textId="1F71FFFF" w:rsidR="00FD6CC0" w:rsidRPr="000653A9" w:rsidRDefault="00A24B35" w:rsidP="004C0691">
      <w:pPr>
        <w:pStyle w:val="Figuretitle"/>
        <w:rPr>
          <w:noProof/>
        </w:rPr>
      </w:pPr>
      <w:bookmarkStart w:id="331" w:name="_Toc224659140"/>
      <w:r w:rsidRPr="000653A9">
        <w:rPr>
          <w:noProof/>
        </w:rPr>
        <w:t>Distribution of free allocation under CL2_90 (CBAM variant) for 2031-40</w:t>
      </w:r>
      <w:bookmarkEnd w:id="331"/>
    </w:p>
    <w:p w14:paraId="216FB987" w14:textId="77777777" w:rsidR="00CC4F87" w:rsidRDefault="00FD6CC0" w:rsidP="00C92FA9">
      <w:pPr>
        <w:jc w:val="center"/>
        <w:rPr>
          <w:noProof/>
        </w:rPr>
      </w:pPr>
      <w:r>
        <w:rPr>
          <w:noProof/>
          <w:lang w:eastAsia="en-GB"/>
        </w:rPr>
        <w:drawing>
          <wp:inline distT="0" distB="0" distL="0" distR="0" wp14:anchorId="7134B6AA" wp14:editId="0E50895A">
            <wp:extent cx="5135270" cy="3358332"/>
            <wp:effectExtent l="0" t="0" r="8255" b="0"/>
            <wp:docPr id="1466019993"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19993" name="Picture 1" descr="A graph of different colored bars&#10;&#10;AI-generated content may be incorrect."/>
                    <pic:cNvPicPr/>
                  </pic:nvPicPr>
                  <pic:blipFill>
                    <a:blip r:embed="rId20"/>
                    <a:stretch>
                      <a:fillRect/>
                    </a:stretch>
                  </pic:blipFill>
                  <pic:spPr>
                    <a:xfrm>
                      <a:off x="0" y="0"/>
                      <a:ext cx="5157814" cy="3373075"/>
                    </a:xfrm>
                    <a:prstGeom prst="rect">
                      <a:avLst/>
                    </a:prstGeom>
                  </pic:spPr>
                </pic:pic>
              </a:graphicData>
            </a:graphic>
          </wp:inline>
        </w:drawing>
      </w:r>
    </w:p>
    <w:p w14:paraId="3585513F" w14:textId="544CFD43" w:rsidR="00A24B35" w:rsidRPr="00FD6CC0" w:rsidRDefault="00A24B35" w:rsidP="00A24B35">
      <w:pPr>
        <w:spacing w:after="240"/>
        <w:rPr>
          <w:i/>
          <w:iCs/>
          <w:noProof/>
          <w:color w:val="auto"/>
          <w:sz w:val="20"/>
          <w:szCs w:val="20"/>
        </w:rPr>
      </w:pPr>
      <w:r w:rsidRPr="00FD6CC0">
        <w:rPr>
          <w:i/>
          <w:iCs/>
          <w:noProof/>
          <w:color w:val="auto"/>
          <w:sz w:val="20"/>
          <w:szCs w:val="20"/>
        </w:rPr>
        <w:t>Source:</w:t>
      </w:r>
      <w:r w:rsidRPr="00FD6CC0">
        <w:rPr>
          <w:i/>
          <w:iCs/>
          <w:noProof/>
          <w:color w:val="auto"/>
          <w:sz w:val="20"/>
          <w:szCs w:val="20"/>
        </w:rPr>
        <w:tab/>
      </w:r>
      <w:r w:rsidRPr="00FD6CC0">
        <w:rPr>
          <w:i/>
          <w:iCs/>
          <w:noProof/>
          <w:color w:val="auto"/>
          <w:sz w:val="20"/>
          <w:szCs w:val="20"/>
        </w:rPr>
        <w:tab/>
        <w:t>Own calculation based upon preliminary NIMs data for 2019-23</w:t>
      </w:r>
    </w:p>
    <w:p w14:paraId="568A9F5F" w14:textId="045712FF" w:rsidR="00A24B35" w:rsidRPr="000653A9" w:rsidRDefault="00A24B35" w:rsidP="00A24B35">
      <w:pPr>
        <w:spacing w:before="240"/>
        <w:rPr>
          <w:noProof/>
          <w:u w:val="single"/>
        </w:rPr>
      </w:pPr>
      <w:r w:rsidRPr="000653A9">
        <w:rPr>
          <w:noProof/>
          <w:u w:val="single"/>
        </w:rPr>
        <w:t>CL2_50</w:t>
      </w:r>
      <w:r w:rsidR="00106A0D" w:rsidRPr="000653A9">
        <w:rPr>
          <w:noProof/>
          <w:u w:val="single"/>
        </w:rPr>
        <w:t xml:space="preserve"> (PO2)</w:t>
      </w:r>
    </w:p>
    <w:p w14:paraId="1F10F647" w14:textId="7AA8E143" w:rsidR="00FE1040" w:rsidRPr="000653A9" w:rsidRDefault="00BC36A9" w:rsidP="00A24B35">
      <w:pPr>
        <w:rPr>
          <w:noProof/>
        </w:rPr>
      </w:pPr>
      <w:r w:rsidRPr="000653A9">
        <w:rPr>
          <w:noProof/>
          <w:color w:val="auto"/>
        </w:rPr>
        <w:t xml:space="preserve">Table </w:t>
      </w:r>
      <w:r w:rsidR="00192A26">
        <w:rPr>
          <w:noProof/>
          <w:color w:val="auto"/>
        </w:rPr>
        <w:t>9</w:t>
      </w:r>
      <w:r w:rsidRPr="000653A9">
        <w:rPr>
          <w:noProof/>
          <w:color w:val="auto"/>
        </w:rPr>
        <w:t xml:space="preserve"> </w:t>
      </w:r>
      <w:r w:rsidR="00A24B35" w:rsidRPr="000653A9">
        <w:rPr>
          <w:noProof/>
        </w:rPr>
        <w:t xml:space="preserve">shows that the overall budget for free allocation between 2031-40 in the CL2_50 scenario, which is assumed to be </w:t>
      </w:r>
      <w:r>
        <w:rPr>
          <w:noProof/>
        </w:rPr>
        <w:t>2,206</w:t>
      </w:r>
      <w:r w:rsidR="00A24B35" w:rsidRPr="000653A9">
        <w:rPr>
          <w:noProof/>
        </w:rPr>
        <w:t xml:space="preserve"> M EUAs over 2031-40. The preliminary free allocation was then calculated following a bottom-up approach and this resulted in a total of </w:t>
      </w:r>
      <w:r>
        <w:rPr>
          <w:noProof/>
        </w:rPr>
        <w:t>2,829</w:t>
      </w:r>
      <w:r w:rsidR="00A24B35" w:rsidRPr="000653A9">
        <w:rPr>
          <w:noProof/>
        </w:rPr>
        <w:t xml:space="preserve"> M EUAs over 2031-40. The preliminary allocation is lower than under the CL2_90 scenario as the CL2_50 scenario assumes that in the 2031-40 </w:t>
      </w:r>
      <w:r w:rsidR="0072490E" w:rsidRPr="000653A9">
        <w:rPr>
          <w:noProof/>
        </w:rPr>
        <w:t>period</w:t>
      </w:r>
      <w:r w:rsidR="00A24B35" w:rsidRPr="000653A9">
        <w:rPr>
          <w:noProof/>
        </w:rPr>
        <w:t xml:space="preserve"> that an increasing share of the free allocation will be conditional but that the compliance rate falls of 50%. As the preliminary allocation exceeded the free allocation budget, the CSCF was progressively applied over the </w:t>
      </w:r>
      <w:r w:rsidR="0072490E" w:rsidRPr="000653A9">
        <w:rPr>
          <w:noProof/>
        </w:rPr>
        <w:t>period</w:t>
      </w:r>
      <w:r w:rsidR="00A24B35" w:rsidRPr="000653A9">
        <w:rPr>
          <w:noProof/>
        </w:rPr>
        <w:t xml:space="preserve"> with the value declining from </w:t>
      </w:r>
      <w:r>
        <w:rPr>
          <w:noProof/>
        </w:rPr>
        <w:t>0.92</w:t>
      </w:r>
      <w:r w:rsidR="00EE5888" w:rsidRPr="000653A9">
        <w:rPr>
          <w:noProof/>
        </w:rPr>
        <w:t xml:space="preserve"> </w:t>
      </w:r>
      <w:r w:rsidR="00A24B35" w:rsidRPr="000653A9">
        <w:rPr>
          <w:noProof/>
        </w:rPr>
        <w:t xml:space="preserve">in 2031 to </w:t>
      </w:r>
      <w:r>
        <w:rPr>
          <w:noProof/>
        </w:rPr>
        <w:t>0.36</w:t>
      </w:r>
      <w:r w:rsidR="00E1282B">
        <w:rPr>
          <w:noProof/>
        </w:rPr>
        <w:t xml:space="preserve"> </w:t>
      </w:r>
      <w:r>
        <w:rPr>
          <w:noProof/>
        </w:rPr>
        <w:t>by</w:t>
      </w:r>
      <w:r w:rsidR="00A24B35" w:rsidRPr="000653A9">
        <w:rPr>
          <w:noProof/>
        </w:rPr>
        <w:t xml:space="preserve"> 2040. The lower preliminary free allocation under the CL2_50 scenario compared to the CL2_90 scenario results in the application of a higher CSCF across the </w:t>
      </w:r>
      <w:r w:rsidR="0072490E" w:rsidRPr="000653A9">
        <w:rPr>
          <w:noProof/>
        </w:rPr>
        <w:t>period</w:t>
      </w:r>
      <w:r w:rsidR="00A24B35" w:rsidRPr="000653A9">
        <w:rPr>
          <w:noProof/>
        </w:rPr>
        <w:t xml:space="preserve">. The application of the CSCF allows the final free allocation budget to not exceed the free allocation budget for the 2031-40 </w:t>
      </w:r>
      <w:r w:rsidR="0072490E" w:rsidRPr="000653A9">
        <w:rPr>
          <w:noProof/>
        </w:rPr>
        <w:t>period</w:t>
      </w:r>
      <w:r w:rsidR="00A24B35" w:rsidRPr="000653A9">
        <w:rPr>
          <w:noProof/>
        </w:rPr>
        <w:t xml:space="preserve">. In a final step, the CBAM discount factor was applied over Phase V for sub-installations covered by the CBAM and this reduced the total free allocation over 2031-40 to </w:t>
      </w:r>
      <w:r>
        <w:rPr>
          <w:noProof/>
        </w:rPr>
        <w:t>811</w:t>
      </w:r>
      <w:r w:rsidR="00A24B35" w:rsidRPr="000653A9">
        <w:rPr>
          <w:noProof/>
        </w:rPr>
        <w:t xml:space="preserve"> M EUAs.</w:t>
      </w:r>
    </w:p>
    <w:p w14:paraId="581A5E67" w14:textId="384F7CD6" w:rsidR="00CF7E9D" w:rsidRPr="000653A9" w:rsidRDefault="00A24B35" w:rsidP="00A45B63">
      <w:pPr>
        <w:pStyle w:val="Tabletitle"/>
        <w:rPr>
          <w:noProof/>
        </w:rPr>
      </w:pPr>
      <w:bookmarkStart w:id="332" w:name="_Toc234435112"/>
      <w:bookmarkStart w:id="333" w:name="_Toc232003577"/>
      <w:r w:rsidRPr="000653A9">
        <w:rPr>
          <w:noProof/>
        </w:rPr>
        <w:t>Estimation of the total volume of free allowances available under CL2_50 for 2031-40</w:t>
      </w:r>
      <w:bookmarkEnd w:id="332"/>
      <w:bookmarkEnd w:id="333"/>
    </w:p>
    <w:p w14:paraId="72C41798" w14:textId="77777777" w:rsidR="00CC4F87" w:rsidRDefault="00CC4F87" w:rsidP="00C92FA9">
      <w:pPr>
        <w:rPr>
          <w:noProof/>
        </w:rPr>
      </w:pPr>
    </w:p>
    <w:tbl>
      <w:tblPr>
        <w:tblStyle w:val="Ricardo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56"/>
        <w:gridCol w:w="656"/>
        <w:gridCol w:w="656"/>
        <w:gridCol w:w="656"/>
        <w:gridCol w:w="656"/>
        <w:gridCol w:w="656"/>
        <w:gridCol w:w="656"/>
        <w:gridCol w:w="656"/>
        <w:gridCol w:w="656"/>
        <w:gridCol w:w="656"/>
      </w:tblGrid>
      <w:tr w:rsidR="00CF7E9D" w:rsidRPr="000653A9" w14:paraId="5835A87A" w14:textId="77777777" w:rsidTr="00253145">
        <w:trPr>
          <w:cnfStyle w:val="100000000000" w:firstRow="1" w:lastRow="0" w:firstColumn="0" w:lastColumn="0" w:oddVBand="0" w:evenVBand="0" w:oddHBand="0" w:evenHBand="0" w:firstRowFirstColumn="0" w:firstRowLastColumn="0" w:lastRowFirstColumn="0" w:lastRowLastColumn="0"/>
        </w:trPr>
        <w:tc>
          <w:tcPr>
            <w:tcW w:w="0" w:type="auto"/>
          </w:tcPr>
          <w:p w14:paraId="6F059818" w14:textId="77777777" w:rsidR="00CF7E9D" w:rsidRPr="000653A9" w:rsidRDefault="00CF7E9D" w:rsidP="00253145">
            <w:pPr>
              <w:spacing w:before="40" w:after="0"/>
              <w:rPr>
                <w:noProof/>
                <w:color w:val="auto"/>
                <w:sz w:val="22"/>
                <w:szCs w:val="22"/>
              </w:rPr>
            </w:pPr>
          </w:p>
        </w:tc>
        <w:tc>
          <w:tcPr>
            <w:tcW w:w="0" w:type="auto"/>
          </w:tcPr>
          <w:p w14:paraId="44A8D56B" w14:textId="77777777" w:rsidR="00CF7E9D" w:rsidRPr="000653A9" w:rsidRDefault="00CF7E9D" w:rsidP="00253145">
            <w:pPr>
              <w:spacing w:before="40" w:after="0"/>
              <w:rPr>
                <w:noProof/>
                <w:color w:val="auto"/>
                <w:sz w:val="22"/>
                <w:szCs w:val="22"/>
              </w:rPr>
            </w:pPr>
            <w:r>
              <w:rPr>
                <w:noProof/>
                <w:color w:val="auto"/>
                <w:sz w:val="22"/>
                <w:szCs w:val="22"/>
              </w:rPr>
              <w:t>2031</w:t>
            </w:r>
          </w:p>
        </w:tc>
        <w:tc>
          <w:tcPr>
            <w:tcW w:w="0" w:type="auto"/>
          </w:tcPr>
          <w:p w14:paraId="1C1037B9" w14:textId="77777777" w:rsidR="00CF7E9D" w:rsidRPr="000653A9" w:rsidRDefault="00CF7E9D" w:rsidP="00253145">
            <w:pPr>
              <w:spacing w:before="40" w:after="0"/>
              <w:rPr>
                <w:noProof/>
                <w:color w:val="auto"/>
                <w:sz w:val="22"/>
                <w:szCs w:val="22"/>
              </w:rPr>
            </w:pPr>
            <w:r>
              <w:rPr>
                <w:noProof/>
                <w:color w:val="auto"/>
                <w:sz w:val="22"/>
                <w:szCs w:val="22"/>
              </w:rPr>
              <w:t>2032</w:t>
            </w:r>
          </w:p>
        </w:tc>
        <w:tc>
          <w:tcPr>
            <w:tcW w:w="0" w:type="auto"/>
          </w:tcPr>
          <w:p w14:paraId="3536837B" w14:textId="77777777" w:rsidR="00CF7E9D" w:rsidRPr="000653A9" w:rsidRDefault="00CF7E9D" w:rsidP="00253145">
            <w:pPr>
              <w:spacing w:before="40" w:after="0"/>
              <w:rPr>
                <w:noProof/>
                <w:color w:val="auto"/>
                <w:sz w:val="22"/>
                <w:szCs w:val="22"/>
              </w:rPr>
            </w:pPr>
            <w:r>
              <w:rPr>
                <w:noProof/>
                <w:color w:val="auto"/>
                <w:sz w:val="22"/>
                <w:szCs w:val="22"/>
              </w:rPr>
              <w:t>2033</w:t>
            </w:r>
          </w:p>
        </w:tc>
        <w:tc>
          <w:tcPr>
            <w:tcW w:w="0" w:type="auto"/>
          </w:tcPr>
          <w:p w14:paraId="075EE645" w14:textId="77777777" w:rsidR="00CF7E9D" w:rsidRPr="000653A9" w:rsidRDefault="00CF7E9D" w:rsidP="00253145">
            <w:pPr>
              <w:spacing w:before="40" w:after="0"/>
              <w:rPr>
                <w:noProof/>
                <w:color w:val="auto"/>
                <w:sz w:val="22"/>
                <w:szCs w:val="22"/>
              </w:rPr>
            </w:pPr>
            <w:r>
              <w:rPr>
                <w:noProof/>
                <w:color w:val="auto"/>
                <w:sz w:val="22"/>
                <w:szCs w:val="22"/>
              </w:rPr>
              <w:t>2034</w:t>
            </w:r>
          </w:p>
        </w:tc>
        <w:tc>
          <w:tcPr>
            <w:tcW w:w="0" w:type="auto"/>
          </w:tcPr>
          <w:p w14:paraId="5EB49DB6" w14:textId="77777777" w:rsidR="00CF7E9D" w:rsidRPr="000653A9" w:rsidRDefault="00CF7E9D" w:rsidP="00253145">
            <w:pPr>
              <w:spacing w:before="40" w:after="0"/>
              <w:rPr>
                <w:noProof/>
                <w:color w:val="auto"/>
                <w:sz w:val="22"/>
                <w:szCs w:val="22"/>
              </w:rPr>
            </w:pPr>
            <w:r>
              <w:rPr>
                <w:noProof/>
                <w:color w:val="auto"/>
                <w:sz w:val="22"/>
                <w:szCs w:val="22"/>
              </w:rPr>
              <w:t>2035</w:t>
            </w:r>
          </w:p>
        </w:tc>
        <w:tc>
          <w:tcPr>
            <w:tcW w:w="0" w:type="auto"/>
          </w:tcPr>
          <w:p w14:paraId="5213353E" w14:textId="77777777" w:rsidR="00CF7E9D" w:rsidRPr="000653A9" w:rsidRDefault="00CF7E9D" w:rsidP="00253145">
            <w:pPr>
              <w:spacing w:before="40" w:after="0"/>
              <w:rPr>
                <w:noProof/>
                <w:color w:val="auto"/>
                <w:sz w:val="22"/>
                <w:szCs w:val="22"/>
              </w:rPr>
            </w:pPr>
            <w:r>
              <w:rPr>
                <w:noProof/>
                <w:color w:val="auto"/>
                <w:sz w:val="22"/>
                <w:szCs w:val="22"/>
              </w:rPr>
              <w:t>2036</w:t>
            </w:r>
          </w:p>
        </w:tc>
        <w:tc>
          <w:tcPr>
            <w:tcW w:w="0" w:type="auto"/>
          </w:tcPr>
          <w:p w14:paraId="45EE7B77" w14:textId="77777777" w:rsidR="00CF7E9D" w:rsidRPr="000653A9" w:rsidRDefault="00CF7E9D" w:rsidP="00253145">
            <w:pPr>
              <w:spacing w:before="40" w:after="0"/>
              <w:rPr>
                <w:noProof/>
                <w:color w:val="auto"/>
                <w:sz w:val="22"/>
                <w:szCs w:val="22"/>
              </w:rPr>
            </w:pPr>
            <w:r>
              <w:rPr>
                <w:noProof/>
                <w:color w:val="auto"/>
                <w:sz w:val="22"/>
                <w:szCs w:val="22"/>
              </w:rPr>
              <w:t>2037</w:t>
            </w:r>
          </w:p>
        </w:tc>
        <w:tc>
          <w:tcPr>
            <w:tcW w:w="0" w:type="auto"/>
          </w:tcPr>
          <w:p w14:paraId="69036C4E" w14:textId="77777777" w:rsidR="00CF7E9D" w:rsidRPr="000653A9" w:rsidRDefault="00CF7E9D" w:rsidP="00253145">
            <w:pPr>
              <w:spacing w:before="40" w:after="0"/>
              <w:rPr>
                <w:noProof/>
                <w:color w:val="auto"/>
                <w:sz w:val="22"/>
                <w:szCs w:val="22"/>
              </w:rPr>
            </w:pPr>
            <w:r>
              <w:rPr>
                <w:noProof/>
                <w:color w:val="auto"/>
                <w:sz w:val="22"/>
                <w:szCs w:val="22"/>
              </w:rPr>
              <w:t>2038</w:t>
            </w:r>
          </w:p>
        </w:tc>
        <w:tc>
          <w:tcPr>
            <w:tcW w:w="0" w:type="auto"/>
          </w:tcPr>
          <w:p w14:paraId="435ED1A4" w14:textId="77777777" w:rsidR="00CF7E9D" w:rsidRPr="000653A9" w:rsidRDefault="00CF7E9D" w:rsidP="00253145">
            <w:pPr>
              <w:spacing w:before="40" w:after="0"/>
              <w:rPr>
                <w:noProof/>
                <w:color w:val="auto"/>
                <w:sz w:val="22"/>
                <w:szCs w:val="22"/>
              </w:rPr>
            </w:pPr>
            <w:r>
              <w:rPr>
                <w:noProof/>
                <w:color w:val="auto"/>
                <w:sz w:val="22"/>
                <w:szCs w:val="22"/>
              </w:rPr>
              <w:t>2039</w:t>
            </w:r>
          </w:p>
        </w:tc>
        <w:tc>
          <w:tcPr>
            <w:tcW w:w="0" w:type="auto"/>
          </w:tcPr>
          <w:p w14:paraId="279D4A3C" w14:textId="77777777" w:rsidR="00CF7E9D" w:rsidRPr="000653A9" w:rsidRDefault="00CF7E9D" w:rsidP="00253145">
            <w:pPr>
              <w:spacing w:before="40" w:after="0"/>
              <w:rPr>
                <w:noProof/>
                <w:color w:val="auto"/>
                <w:sz w:val="22"/>
                <w:szCs w:val="22"/>
              </w:rPr>
            </w:pPr>
            <w:r>
              <w:rPr>
                <w:noProof/>
                <w:color w:val="auto"/>
                <w:sz w:val="22"/>
                <w:szCs w:val="22"/>
              </w:rPr>
              <w:t>2040</w:t>
            </w:r>
          </w:p>
        </w:tc>
      </w:tr>
      <w:tr w:rsidR="00CF7E9D" w:rsidRPr="000653A9" w14:paraId="264CA7C7" w14:textId="77777777" w:rsidTr="00253145">
        <w:tc>
          <w:tcPr>
            <w:tcW w:w="0" w:type="auto"/>
          </w:tcPr>
          <w:p w14:paraId="1D8D3181" w14:textId="77777777" w:rsidR="00CF7E9D" w:rsidRPr="000653A9" w:rsidRDefault="00CF7E9D" w:rsidP="00253145">
            <w:pPr>
              <w:spacing w:before="40" w:after="0"/>
              <w:jc w:val="left"/>
              <w:rPr>
                <w:noProof/>
                <w:color w:val="auto"/>
                <w:sz w:val="22"/>
                <w:szCs w:val="22"/>
              </w:rPr>
            </w:pPr>
            <w:r>
              <w:rPr>
                <w:noProof/>
                <w:color w:val="auto"/>
                <w:sz w:val="22"/>
                <w:szCs w:val="22"/>
              </w:rPr>
              <w:t>FA Budget</w:t>
            </w:r>
          </w:p>
        </w:tc>
        <w:tc>
          <w:tcPr>
            <w:tcW w:w="0" w:type="auto"/>
          </w:tcPr>
          <w:p w14:paraId="4CB0EBE4" w14:textId="77777777" w:rsidR="00CF7E9D" w:rsidRPr="000653A9" w:rsidRDefault="00CF7E9D" w:rsidP="00253145">
            <w:pPr>
              <w:spacing w:before="40" w:after="0"/>
              <w:jc w:val="center"/>
              <w:rPr>
                <w:noProof/>
                <w:color w:val="auto"/>
                <w:sz w:val="22"/>
                <w:szCs w:val="22"/>
              </w:rPr>
            </w:pPr>
            <w:r>
              <w:rPr>
                <w:noProof/>
                <w:color w:val="auto"/>
                <w:sz w:val="22"/>
                <w:szCs w:val="22"/>
              </w:rPr>
              <w:t>320</w:t>
            </w:r>
          </w:p>
        </w:tc>
        <w:tc>
          <w:tcPr>
            <w:tcW w:w="0" w:type="auto"/>
          </w:tcPr>
          <w:p w14:paraId="3A56755A" w14:textId="77777777" w:rsidR="00CF7E9D" w:rsidRPr="000653A9" w:rsidRDefault="00CF7E9D" w:rsidP="00253145">
            <w:pPr>
              <w:spacing w:before="40" w:after="0"/>
              <w:jc w:val="center"/>
              <w:rPr>
                <w:noProof/>
                <w:color w:val="auto"/>
                <w:sz w:val="22"/>
                <w:szCs w:val="22"/>
              </w:rPr>
            </w:pPr>
            <w:r>
              <w:rPr>
                <w:noProof/>
                <w:color w:val="auto"/>
                <w:sz w:val="22"/>
                <w:szCs w:val="22"/>
              </w:rPr>
              <w:t>293</w:t>
            </w:r>
          </w:p>
        </w:tc>
        <w:tc>
          <w:tcPr>
            <w:tcW w:w="0" w:type="auto"/>
          </w:tcPr>
          <w:p w14:paraId="21E0CA46" w14:textId="77777777" w:rsidR="00CF7E9D" w:rsidRPr="000653A9" w:rsidRDefault="00CF7E9D" w:rsidP="00253145">
            <w:pPr>
              <w:spacing w:before="40" w:after="0"/>
              <w:jc w:val="center"/>
              <w:rPr>
                <w:noProof/>
                <w:color w:val="auto"/>
                <w:sz w:val="22"/>
                <w:szCs w:val="22"/>
              </w:rPr>
            </w:pPr>
            <w:r>
              <w:rPr>
                <w:noProof/>
                <w:color w:val="auto"/>
                <w:sz w:val="22"/>
                <w:szCs w:val="22"/>
              </w:rPr>
              <w:t>267</w:t>
            </w:r>
          </w:p>
        </w:tc>
        <w:tc>
          <w:tcPr>
            <w:tcW w:w="0" w:type="auto"/>
          </w:tcPr>
          <w:p w14:paraId="47BCAB55" w14:textId="77777777" w:rsidR="00CF7E9D" w:rsidRPr="000653A9" w:rsidRDefault="00CF7E9D" w:rsidP="00253145">
            <w:pPr>
              <w:spacing w:before="40" w:after="0"/>
              <w:jc w:val="center"/>
              <w:rPr>
                <w:noProof/>
                <w:color w:val="auto"/>
                <w:sz w:val="22"/>
                <w:szCs w:val="22"/>
              </w:rPr>
            </w:pPr>
            <w:r>
              <w:rPr>
                <w:noProof/>
                <w:color w:val="auto"/>
                <w:sz w:val="22"/>
                <w:szCs w:val="22"/>
              </w:rPr>
              <w:t>240</w:t>
            </w:r>
          </w:p>
        </w:tc>
        <w:tc>
          <w:tcPr>
            <w:tcW w:w="0" w:type="auto"/>
          </w:tcPr>
          <w:p w14:paraId="2C05B5CB" w14:textId="77777777" w:rsidR="00CF7E9D" w:rsidRPr="000653A9" w:rsidRDefault="00CF7E9D" w:rsidP="00253145">
            <w:pPr>
              <w:spacing w:before="40" w:after="0"/>
              <w:jc w:val="center"/>
              <w:rPr>
                <w:noProof/>
                <w:color w:val="auto"/>
                <w:sz w:val="22"/>
                <w:szCs w:val="22"/>
              </w:rPr>
            </w:pPr>
            <w:r>
              <w:rPr>
                <w:noProof/>
                <w:color w:val="auto"/>
                <w:sz w:val="22"/>
                <w:szCs w:val="22"/>
              </w:rPr>
              <w:t>212</w:t>
            </w:r>
          </w:p>
        </w:tc>
        <w:tc>
          <w:tcPr>
            <w:tcW w:w="0" w:type="auto"/>
          </w:tcPr>
          <w:p w14:paraId="721C0562" w14:textId="77777777" w:rsidR="00CF7E9D" w:rsidRPr="000653A9" w:rsidRDefault="00CF7E9D" w:rsidP="00253145">
            <w:pPr>
              <w:spacing w:before="40" w:after="0"/>
              <w:jc w:val="center"/>
              <w:rPr>
                <w:noProof/>
                <w:color w:val="auto"/>
                <w:sz w:val="22"/>
                <w:szCs w:val="22"/>
              </w:rPr>
            </w:pPr>
            <w:r>
              <w:rPr>
                <w:noProof/>
                <w:color w:val="auto"/>
                <w:sz w:val="22"/>
                <w:szCs w:val="22"/>
              </w:rPr>
              <w:t>187</w:t>
            </w:r>
          </w:p>
        </w:tc>
        <w:tc>
          <w:tcPr>
            <w:tcW w:w="0" w:type="auto"/>
          </w:tcPr>
          <w:p w14:paraId="38077C3C" w14:textId="77777777" w:rsidR="00CF7E9D" w:rsidRPr="000653A9" w:rsidRDefault="00CF7E9D" w:rsidP="00253145">
            <w:pPr>
              <w:spacing w:before="40" w:after="0"/>
              <w:jc w:val="center"/>
              <w:rPr>
                <w:noProof/>
                <w:color w:val="auto"/>
                <w:sz w:val="22"/>
                <w:szCs w:val="22"/>
              </w:rPr>
            </w:pPr>
            <w:r>
              <w:rPr>
                <w:noProof/>
                <w:color w:val="auto"/>
                <w:sz w:val="22"/>
                <w:szCs w:val="22"/>
              </w:rPr>
              <w:t>163</w:t>
            </w:r>
          </w:p>
        </w:tc>
        <w:tc>
          <w:tcPr>
            <w:tcW w:w="0" w:type="auto"/>
          </w:tcPr>
          <w:p w14:paraId="1235D88D" w14:textId="77777777" w:rsidR="00CF7E9D" w:rsidRPr="000653A9" w:rsidRDefault="00CF7E9D" w:rsidP="00253145">
            <w:pPr>
              <w:spacing w:before="40" w:after="0"/>
              <w:jc w:val="center"/>
              <w:rPr>
                <w:noProof/>
                <w:color w:val="auto"/>
                <w:sz w:val="22"/>
                <w:szCs w:val="22"/>
              </w:rPr>
            </w:pPr>
            <w:r>
              <w:rPr>
                <w:noProof/>
                <w:color w:val="auto"/>
                <w:sz w:val="22"/>
                <w:szCs w:val="22"/>
              </w:rPr>
              <w:t>139</w:t>
            </w:r>
          </w:p>
        </w:tc>
        <w:tc>
          <w:tcPr>
            <w:tcW w:w="0" w:type="auto"/>
          </w:tcPr>
          <w:p w14:paraId="36C14907" w14:textId="77777777" w:rsidR="00CF7E9D" w:rsidRPr="000653A9" w:rsidRDefault="00CF7E9D" w:rsidP="00253145">
            <w:pPr>
              <w:spacing w:before="40" w:after="0"/>
              <w:jc w:val="center"/>
              <w:rPr>
                <w:noProof/>
                <w:color w:val="auto"/>
                <w:sz w:val="22"/>
                <w:szCs w:val="22"/>
              </w:rPr>
            </w:pPr>
            <w:r>
              <w:rPr>
                <w:noProof/>
                <w:color w:val="auto"/>
                <w:sz w:val="22"/>
                <w:szCs w:val="22"/>
              </w:rPr>
              <w:t>114</w:t>
            </w:r>
          </w:p>
        </w:tc>
        <w:tc>
          <w:tcPr>
            <w:tcW w:w="0" w:type="auto"/>
          </w:tcPr>
          <w:p w14:paraId="301B670A" w14:textId="77777777" w:rsidR="00CF7E9D" w:rsidRPr="000653A9" w:rsidRDefault="00CF7E9D" w:rsidP="00253145">
            <w:pPr>
              <w:spacing w:before="40" w:after="0"/>
              <w:jc w:val="center"/>
              <w:rPr>
                <w:noProof/>
                <w:color w:val="auto"/>
                <w:sz w:val="22"/>
                <w:szCs w:val="22"/>
              </w:rPr>
            </w:pPr>
            <w:r>
              <w:rPr>
                <w:noProof/>
                <w:color w:val="auto"/>
                <w:sz w:val="22"/>
                <w:szCs w:val="22"/>
              </w:rPr>
              <w:t>90</w:t>
            </w:r>
          </w:p>
        </w:tc>
      </w:tr>
      <w:tr w:rsidR="00CF7E9D" w:rsidRPr="000653A9" w14:paraId="50960899" w14:textId="77777777" w:rsidTr="00253145">
        <w:tc>
          <w:tcPr>
            <w:tcW w:w="0" w:type="auto"/>
          </w:tcPr>
          <w:p w14:paraId="65CD3929" w14:textId="77777777" w:rsidR="00CF7E9D" w:rsidRPr="000653A9" w:rsidRDefault="00CF7E9D" w:rsidP="00253145">
            <w:pPr>
              <w:spacing w:before="40" w:after="0"/>
              <w:jc w:val="left"/>
              <w:rPr>
                <w:noProof/>
                <w:color w:val="auto"/>
                <w:sz w:val="22"/>
                <w:szCs w:val="22"/>
              </w:rPr>
            </w:pPr>
            <w:r>
              <w:rPr>
                <w:noProof/>
                <w:color w:val="auto"/>
                <w:sz w:val="22"/>
                <w:szCs w:val="22"/>
              </w:rPr>
              <w:t>FA (Preliminary)</w:t>
            </w:r>
          </w:p>
        </w:tc>
        <w:tc>
          <w:tcPr>
            <w:tcW w:w="0" w:type="auto"/>
          </w:tcPr>
          <w:p w14:paraId="0D16B8C2" w14:textId="77777777" w:rsidR="00CF7E9D" w:rsidRPr="000653A9" w:rsidRDefault="00CF7E9D" w:rsidP="00253145">
            <w:pPr>
              <w:spacing w:before="40" w:after="0"/>
              <w:jc w:val="center"/>
              <w:rPr>
                <w:noProof/>
                <w:color w:val="auto"/>
                <w:sz w:val="22"/>
                <w:szCs w:val="22"/>
              </w:rPr>
            </w:pPr>
            <w:r>
              <w:rPr>
                <w:noProof/>
                <w:color w:val="auto"/>
                <w:sz w:val="22"/>
                <w:szCs w:val="22"/>
              </w:rPr>
              <w:t>350</w:t>
            </w:r>
          </w:p>
        </w:tc>
        <w:tc>
          <w:tcPr>
            <w:tcW w:w="0" w:type="auto"/>
          </w:tcPr>
          <w:p w14:paraId="3BBA9C4E" w14:textId="77777777" w:rsidR="00CF7E9D" w:rsidRPr="000653A9" w:rsidRDefault="00CF7E9D" w:rsidP="00253145">
            <w:pPr>
              <w:spacing w:before="40" w:after="0"/>
              <w:jc w:val="center"/>
              <w:rPr>
                <w:noProof/>
                <w:color w:val="auto"/>
                <w:sz w:val="22"/>
                <w:szCs w:val="22"/>
              </w:rPr>
            </w:pPr>
            <w:r>
              <w:rPr>
                <w:noProof/>
                <w:color w:val="auto"/>
                <w:sz w:val="22"/>
                <w:szCs w:val="22"/>
              </w:rPr>
              <w:t>333</w:t>
            </w:r>
          </w:p>
        </w:tc>
        <w:tc>
          <w:tcPr>
            <w:tcW w:w="0" w:type="auto"/>
          </w:tcPr>
          <w:p w14:paraId="010B2E29" w14:textId="77777777" w:rsidR="00CF7E9D" w:rsidRPr="000653A9" w:rsidRDefault="00CF7E9D" w:rsidP="00253145">
            <w:pPr>
              <w:spacing w:before="40" w:after="0"/>
              <w:jc w:val="center"/>
              <w:rPr>
                <w:noProof/>
                <w:color w:val="auto"/>
                <w:sz w:val="22"/>
                <w:szCs w:val="22"/>
              </w:rPr>
            </w:pPr>
            <w:r>
              <w:rPr>
                <w:noProof/>
                <w:color w:val="auto"/>
                <w:sz w:val="22"/>
                <w:szCs w:val="22"/>
              </w:rPr>
              <w:t>316</w:t>
            </w:r>
          </w:p>
        </w:tc>
        <w:tc>
          <w:tcPr>
            <w:tcW w:w="0" w:type="auto"/>
          </w:tcPr>
          <w:p w14:paraId="24F69BDC" w14:textId="77777777" w:rsidR="00CF7E9D" w:rsidRPr="000653A9" w:rsidRDefault="00CF7E9D" w:rsidP="00253145">
            <w:pPr>
              <w:spacing w:before="40" w:after="0"/>
              <w:jc w:val="center"/>
              <w:rPr>
                <w:noProof/>
                <w:color w:val="auto"/>
                <w:sz w:val="22"/>
                <w:szCs w:val="22"/>
              </w:rPr>
            </w:pPr>
            <w:r>
              <w:rPr>
                <w:noProof/>
                <w:color w:val="auto"/>
                <w:sz w:val="22"/>
                <w:szCs w:val="22"/>
              </w:rPr>
              <w:t>282</w:t>
            </w:r>
          </w:p>
        </w:tc>
        <w:tc>
          <w:tcPr>
            <w:tcW w:w="0" w:type="auto"/>
          </w:tcPr>
          <w:p w14:paraId="23C60CE8" w14:textId="77777777" w:rsidR="00CF7E9D" w:rsidRPr="000653A9" w:rsidRDefault="00CF7E9D" w:rsidP="00253145">
            <w:pPr>
              <w:spacing w:before="40" w:after="0"/>
              <w:jc w:val="center"/>
              <w:rPr>
                <w:noProof/>
                <w:color w:val="auto"/>
                <w:sz w:val="22"/>
                <w:szCs w:val="22"/>
              </w:rPr>
            </w:pPr>
            <w:r>
              <w:rPr>
                <w:noProof/>
                <w:color w:val="auto"/>
                <w:sz w:val="22"/>
                <w:szCs w:val="22"/>
              </w:rPr>
              <w:t>282</w:t>
            </w:r>
          </w:p>
        </w:tc>
        <w:tc>
          <w:tcPr>
            <w:tcW w:w="0" w:type="auto"/>
          </w:tcPr>
          <w:p w14:paraId="7FE9F848" w14:textId="77777777" w:rsidR="00CF7E9D" w:rsidRPr="000653A9" w:rsidRDefault="00CF7E9D" w:rsidP="00253145">
            <w:pPr>
              <w:spacing w:before="40" w:after="0"/>
              <w:jc w:val="center"/>
              <w:rPr>
                <w:noProof/>
                <w:color w:val="auto"/>
                <w:sz w:val="22"/>
                <w:szCs w:val="22"/>
              </w:rPr>
            </w:pPr>
            <w:r>
              <w:rPr>
                <w:noProof/>
                <w:color w:val="auto"/>
                <w:sz w:val="22"/>
                <w:szCs w:val="22"/>
              </w:rPr>
              <w:t>254</w:t>
            </w:r>
          </w:p>
        </w:tc>
        <w:tc>
          <w:tcPr>
            <w:tcW w:w="0" w:type="auto"/>
          </w:tcPr>
          <w:p w14:paraId="4DE6DC1A" w14:textId="77777777" w:rsidR="00CF7E9D" w:rsidRPr="000653A9" w:rsidRDefault="00CF7E9D" w:rsidP="00253145">
            <w:pPr>
              <w:spacing w:before="40" w:after="0"/>
              <w:jc w:val="center"/>
              <w:rPr>
                <w:noProof/>
                <w:color w:val="auto"/>
                <w:sz w:val="22"/>
                <w:szCs w:val="22"/>
              </w:rPr>
            </w:pPr>
            <w:r>
              <w:rPr>
                <w:noProof/>
                <w:color w:val="auto"/>
                <w:sz w:val="22"/>
                <w:szCs w:val="22"/>
              </w:rPr>
              <w:t>254</w:t>
            </w:r>
          </w:p>
        </w:tc>
        <w:tc>
          <w:tcPr>
            <w:tcW w:w="0" w:type="auto"/>
          </w:tcPr>
          <w:p w14:paraId="2C96AFEE" w14:textId="77777777" w:rsidR="00CF7E9D" w:rsidRPr="000653A9" w:rsidRDefault="00CF7E9D" w:rsidP="00253145">
            <w:pPr>
              <w:spacing w:before="40" w:after="0"/>
              <w:jc w:val="center"/>
              <w:rPr>
                <w:noProof/>
                <w:color w:val="auto"/>
                <w:sz w:val="22"/>
                <w:szCs w:val="22"/>
              </w:rPr>
            </w:pPr>
            <w:r>
              <w:rPr>
                <w:noProof/>
                <w:color w:val="auto"/>
                <w:sz w:val="22"/>
                <w:szCs w:val="22"/>
              </w:rPr>
              <w:t>254</w:t>
            </w:r>
          </w:p>
        </w:tc>
        <w:tc>
          <w:tcPr>
            <w:tcW w:w="0" w:type="auto"/>
          </w:tcPr>
          <w:p w14:paraId="2BE8192D" w14:textId="77777777" w:rsidR="00CF7E9D" w:rsidRPr="000653A9" w:rsidRDefault="00CF7E9D" w:rsidP="00253145">
            <w:pPr>
              <w:spacing w:before="40" w:after="0"/>
              <w:jc w:val="center"/>
              <w:rPr>
                <w:noProof/>
                <w:color w:val="auto"/>
                <w:sz w:val="22"/>
                <w:szCs w:val="22"/>
              </w:rPr>
            </w:pPr>
            <w:r>
              <w:rPr>
                <w:noProof/>
                <w:color w:val="auto"/>
                <w:sz w:val="22"/>
                <w:szCs w:val="22"/>
              </w:rPr>
              <w:t>253</w:t>
            </w:r>
          </w:p>
        </w:tc>
        <w:tc>
          <w:tcPr>
            <w:tcW w:w="0" w:type="auto"/>
          </w:tcPr>
          <w:p w14:paraId="021A936A" w14:textId="77777777" w:rsidR="00CF7E9D" w:rsidRPr="000653A9" w:rsidRDefault="00CF7E9D" w:rsidP="00253145">
            <w:pPr>
              <w:spacing w:before="40" w:after="0"/>
              <w:jc w:val="center"/>
              <w:rPr>
                <w:noProof/>
                <w:color w:val="auto"/>
                <w:sz w:val="22"/>
                <w:szCs w:val="22"/>
              </w:rPr>
            </w:pPr>
            <w:r>
              <w:rPr>
                <w:noProof/>
                <w:color w:val="auto"/>
                <w:sz w:val="22"/>
                <w:szCs w:val="22"/>
              </w:rPr>
              <w:t>253</w:t>
            </w:r>
          </w:p>
        </w:tc>
      </w:tr>
      <w:tr w:rsidR="00CF7E9D" w:rsidRPr="000653A9" w14:paraId="75513E23" w14:textId="77777777" w:rsidTr="00253145">
        <w:tc>
          <w:tcPr>
            <w:tcW w:w="0" w:type="auto"/>
          </w:tcPr>
          <w:p w14:paraId="26D4AD2D" w14:textId="77777777" w:rsidR="00CF7E9D" w:rsidRPr="000653A9" w:rsidRDefault="00CF7E9D" w:rsidP="00253145">
            <w:pPr>
              <w:spacing w:before="40" w:after="0"/>
              <w:jc w:val="left"/>
              <w:rPr>
                <w:noProof/>
                <w:color w:val="auto"/>
                <w:sz w:val="22"/>
                <w:szCs w:val="22"/>
              </w:rPr>
            </w:pPr>
            <w:r>
              <w:rPr>
                <w:noProof/>
                <w:color w:val="auto"/>
                <w:sz w:val="22"/>
                <w:szCs w:val="22"/>
              </w:rPr>
              <w:t>CSCF</w:t>
            </w:r>
          </w:p>
        </w:tc>
        <w:tc>
          <w:tcPr>
            <w:tcW w:w="0" w:type="auto"/>
          </w:tcPr>
          <w:p w14:paraId="48046ECA" w14:textId="77777777" w:rsidR="00CF7E9D" w:rsidRPr="000653A9" w:rsidRDefault="00CF7E9D" w:rsidP="00253145">
            <w:pPr>
              <w:spacing w:before="40" w:after="0"/>
              <w:jc w:val="center"/>
              <w:rPr>
                <w:noProof/>
                <w:color w:val="auto"/>
                <w:sz w:val="22"/>
                <w:szCs w:val="22"/>
              </w:rPr>
            </w:pPr>
            <w:r>
              <w:rPr>
                <w:noProof/>
                <w:color w:val="auto"/>
                <w:sz w:val="22"/>
                <w:szCs w:val="22"/>
              </w:rPr>
              <w:t>0.92</w:t>
            </w:r>
          </w:p>
        </w:tc>
        <w:tc>
          <w:tcPr>
            <w:tcW w:w="0" w:type="auto"/>
          </w:tcPr>
          <w:p w14:paraId="6D1B143F" w14:textId="77777777" w:rsidR="00CF7E9D" w:rsidRPr="000653A9" w:rsidRDefault="00CF7E9D" w:rsidP="00253145">
            <w:pPr>
              <w:spacing w:before="40" w:after="0"/>
              <w:jc w:val="center"/>
              <w:rPr>
                <w:noProof/>
                <w:color w:val="auto"/>
                <w:sz w:val="22"/>
                <w:szCs w:val="22"/>
              </w:rPr>
            </w:pPr>
            <w:r>
              <w:rPr>
                <w:noProof/>
                <w:color w:val="auto"/>
                <w:sz w:val="22"/>
                <w:szCs w:val="22"/>
              </w:rPr>
              <w:t>0.88</w:t>
            </w:r>
          </w:p>
        </w:tc>
        <w:tc>
          <w:tcPr>
            <w:tcW w:w="0" w:type="auto"/>
          </w:tcPr>
          <w:p w14:paraId="42E49F0F" w14:textId="77777777" w:rsidR="00CF7E9D" w:rsidRPr="000653A9" w:rsidRDefault="00CF7E9D" w:rsidP="00253145">
            <w:pPr>
              <w:spacing w:before="40" w:after="0"/>
              <w:jc w:val="center"/>
              <w:rPr>
                <w:noProof/>
                <w:color w:val="auto"/>
                <w:sz w:val="22"/>
                <w:szCs w:val="22"/>
              </w:rPr>
            </w:pPr>
            <w:r>
              <w:rPr>
                <w:noProof/>
                <w:color w:val="auto"/>
                <w:sz w:val="22"/>
                <w:szCs w:val="22"/>
              </w:rPr>
              <w:t>0.85</w:t>
            </w:r>
          </w:p>
        </w:tc>
        <w:tc>
          <w:tcPr>
            <w:tcW w:w="0" w:type="auto"/>
          </w:tcPr>
          <w:p w14:paraId="57B6EB1F" w14:textId="77777777" w:rsidR="00CF7E9D" w:rsidRPr="000653A9" w:rsidRDefault="00CF7E9D" w:rsidP="00253145">
            <w:pPr>
              <w:spacing w:before="40" w:after="0"/>
              <w:jc w:val="center"/>
              <w:rPr>
                <w:noProof/>
                <w:color w:val="auto"/>
                <w:sz w:val="22"/>
                <w:szCs w:val="22"/>
              </w:rPr>
            </w:pPr>
            <w:r>
              <w:rPr>
                <w:noProof/>
                <w:color w:val="auto"/>
                <w:sz w:val="22"/>
                <w:szCs w:val="22"/>
              </w:rPr>
              <w:t>0.85</w:t>
            </w:r>
          </w:p>
        </w:tc>
        <w:tc>
          <w:tcPr>
            <w:tcW w:w="0" w:type="auto"/>
          </w:tcPr>
          <w:p w14:paraId="1F66FAF3" w14:textId="77777777" w:rsidR="00CF7E9D" w:rsidRPr="000653A9" w:rsidRDefault="00CF7E9D" w:rsidP="00253145">
            <w:pPr>
              <w:spacing w:before="40" w:after="0"/>
              <w:jc w:val="center"/>
              <w:rPr>
                <w:noProof/>
                <w:color w:val="auto"/>
                <w:sz w:val="22"/>
                <w:szCs w:val="22"/>
              </w:rPr>
            </w:pPr>
            <w:r>
              <w:rPr>
                <w:noProof/>
                <w:color w:val="auto"/>
                <w:sz w:val="22"/>
                <w:szCs w:val="22"/>
              </w:rPr>
              <w:t>0.75</w:t>
            </w:r>
          </w:p>
        </w:tc>
        <w:tc>
          <w:tcPr>
            <w:tcW w:w="0" w:type="auto"/>
          </w:tcPr>
          <w:p w14:paraId="4CB60B54" w14:textId="77777777" w:rsidR="00CF7E9D" w:rsidRPr="000653A9" w:rsidRDefault="00CF7E9D" w:rsidP="00253145">
            <w:pPr>
              <w:spacing w:before="40" w:after="0"/>
              <w:jc w:val="center"/>
              <w:rPr>
                <w:noProof/>
                <w:color w:val="auto"/>
                <w:sz w:val="22"/>
                <w:szCs w:val="22"/>
              </w:rPr>
            </w:pPr>
            <w:r>
              <w:rPr>
                <w:noProof/>
                <w:color w:val="auto"/>
                <w:sz w:val="22"/>
                <w:szCs w:val="22"/>
              </w:rPr>
              <w:t>0.74</w:t>
            </w:r>
          </w:p>
        </w:tc>
        <w:tc>
          <w:tcPr>
            <w:tcW w:w="0" w:type="auto"/>
          </w:tcPr>
          <w:p w14:paraId="7EDD6131" w14:textId="77777777" w:rsidR="00CF7E9D" w:rsidRPr="000653A9" w:rsidRDefault="00CF7E9D" w:rsidP="00253145">
            <w:pPr>
              <w:spacing w:before="40" w:after="0"/>
              <w:jc w:val="center"/>
              <w:rPr>
                <w:noProof/>
                <w:color w:val="auto"/>
                <w:sz w:val="22"/>
                <w:szCs w:val="22"/>
              </w:rPr>
            </w:pPr>
            <w:r>
              <w:rPr>
                <w:noProof/>
                <w:color w:val="auto"/>
                <w:sz w:val="22"/>
                <w:szCs w:val="22"/>
              </w:rPr>
              <w:t>0.64</w:t>
            </w:r>
          </w:p>
        </w:tc>
        <w:tc>
          <w:tcPr>
            <w:tcW w:w="0" w:type="auto"/>
          </w:tcPr>
          <w:p w14:paraId="0DE6802D" w14:textId="77777777" w:rsidR="00CF7E9D" w:rsidRPr="000653A9" w:rsidRDefault="00CF7E9D" w:rsidP="00253145">
            <w:pPr>
              <w:spacing w:before="40" w:after="0"/>
              <w:jc w:val="center"/>
              <w:rPr>
                <w:noProof/>
                <w:color w:val="auto"/>
                <w:sz w:val="22"/>
                <w:szCs w:val="22"/>
              </w:rPr>
            </w:pPr>
            <w:r>
              <w:rPr>
                <w:noProof/>
                <w:color w:val="auto"/>
                <w:sz w:val="22"/>
                <w:szCs w:val="22"/>
              </w:rPr>
              <w:t>0.55</w:t>
            </w:r>
          </w:p>
        </w:tc>
        <w:tc>
          <w:tcPr>
            <w:tcW w:w="0" w:type="auto"/>
          </w:tcPr>
          <w:p w14:paraId="5ECFFD10" w14:textId="77777777" w:rsidR="00CF7E9D" w:rsidRPr="000653A9" w:rsidRDefault="00CF7E9D" w:rsidP="00253145">
            <w:pPr>
              <w:spacing w:before="40" w:after="0"/>
              <w:jc w:val="center"/>
              <w:rPr>
                <w:noProof/>
                <w:color w:val="auto"/>
                <w:sz w:val="22"/>
                <w:szCs w:val="22"/>
              </w:rPr>
            </w:pPr>
            <w:r>
              <w:rPr>
                <w:noProof/>
                <w:color w:val="auto"/>
                <w:sz w:val="22"/>
                <w:szCs w:val="22"/>
              </w:rPr>
              <w:t>0.45</w:t>
            </w:r>
          </w:p>
        </w:tc>
        <w:tc>
          <w:tcPr>
            <w:tcW w:w="0" w:type="auto"/>
          </w:tcPr>
          <w:p w14:paraId="6C2C29EC" w14:textId="77777777" w:rsidR="00CF7E9D" w:rsidRPr="000653A9" w:rsidRDefault="00CF7E9D" w:rsidP="00253145">
            <w:pPr>
              <w:spacing w:before="40" w:after="0"/>
              <w:jc w:val="center"/>
              <w:rPr>
                <w:noProof/>
                <w:color w:val="auto"/>
                <w:sz w:val="22"/>
                <w:szCs w:val="22"/>
              </w:rPr>
            </w:pPr>
            <w:r>
              <w:rPr>
                <w:noProof/>
                <w:color w:val="auto"/>
                <w:sz w:val="22"/>
                <w:szCs w:val="22"/>
              </w:rPr>
              <w:t>0.36</w:t>
            </w:r>
          </w:p>
        </w:tc>
      </w:tr>
      <w:tr w:rsidR="00CF7E9D" w:rsidRPr="000653A9" w14:paraId="139BE198" w14:textId="77777777" w:rsidTr="00253145">
        <w:tc>
          <w:tcPr>
            <w:tcW w:w="0" w:type="auto"/>
            <w:vAlign w:val="center"/>
          </w:tcPr>
          <w:p w14:paraId="48C9CB36" w14:textId="77777777" w:rsidR="00CF7E9D" w:rsidRPr="000653A9" w:rsidRDefault="00CF7E9D" w:rsidP="00253145">
            <w:pPr>
              <w:spacing w:before="40" w:after="0"/>
              <w:jc w:val="left"/>
              <w:rPr>
                <w:noProof/>
                <w:color w:val="auto"/>
                <w:sz w:val="22"/>
                <w:szCs w:val="22"/>
              </w:rPr>
            </w:pPr>
            <w:r>
              <w:rPr>
                <w:noProof/>
                <w:color w:val="auto"/>
                <w:sz w:val="20"/>
                <w:szCs w:val="20"/>
              </w:rPr>
              <w:t>FA (before CBAM phase out)</w:t>
            </w:r>
          </w:p>
        </w:tc>
        <w:tc>
          <w:tcPr>
            <w:tcW w:w="0" w:type="auto"/>
          </w:tcPr>
          <w:p w14:paraId="0085B242" w14:textId="77777777" w:rsidR="00CF7E9D" w:rsidRPr="000653A9" w:rsidRDefault="00CF7E9D" w:rsidP="00253145">
            <w:pPr>
              <w:spacing w:before="40" w:after="0"/>
              <w:jc w:val="center"/>
              <w:rPr>
                <w:noProof/>
                <w:color w:val="auto"/>
                <w:sz w:val="22"/>
                <w:szCs w:val="22"/>
              </w:rPr>
            </w:pPr>
            <w:r>
              <w:rPr>
                <w:noProof/>
                <w:color w:val="auto"/>
                <w:sz w:val="22"/>
                <w:szCs w:val="22"/>
              </w:rPr>
              <w:t>320</w:t>
            </w:r>
          </w:p>
        </w:tc>
        <w:tc>
          <w:tcPr>
            <w:tcW w:w="0" w:type="auto"/>
          </w:tcPr>
          <w:p w14:paraId="24144713" w14:textId="77777777" w:rsidR="00CF7E9D" w:rsidRPr="000653A9" w:rsidRDefault="00CF7E9D" w:rsidP="00253145">
            <w:pPr>
              <w:spacing w:before="40" w:after="0"/>
              <w:jc w:val="center"/>
              <w:rPr>
                <w:noProof/>
                <w:color w:val="auto"/>
                <w:sz w:val="22"/>
                <w:szCs w:val="22"/>
              </w:rPr>
            </w:pPr>
            <w:r>
              <w:rPr>
                <w:noProof/>
                <w:color w:val="auto"/>
                <w:sz w:val="22"/>
                <w:szCs w:val="22"/>
              </w:rPr>
              <w:t>293</w:t>
            </w:r>
          </w:p>
        </w:tc>
        <w:tc>
          <w:tcPr>
            <w:tcW w:w="0" w:type="auto"/>
          </w:tcPr>
          <w:p w14:paraId="38F7671D" w14:textId="77777777" w:rsidR="00CF7E9D" w:rsidRPr="000653A9" w:rsidRDefault="00CF7E9D" w:rsidP="00253145">
            <w:pPr>
              <w:spacing w:before="40" w:after="0"/>
              <w:jc w:val="center"/>
              <w:rPr>
                <w:noProof/>
                <w:color w:val="auto"/>
                <w:sz w:val="22"/>
                <w:szCs w:val="22"/>
              </w:rPr>
            </w:pPr>
            <w:r>
              <w:rPr>
                <w:noProof/>
                <w:color w:val="auto"/>
                <w:sz w:val="22"/>
                <w:szCs w:val="22"/>
              </w:rPr>
              <w:t>267</w:t>
            </w:r>
          </w:p>
        </w:tc>
        <w:tc>
          <w:tcPr>
            <w:tcW w:w="0" w:type="auto"/>
          </w:tcPr>
          <w:p w14:paraId="063BA642" w14:textId="77777777" w:rsidR="00CF7E9D" w:rsidRPr="000653A9" w:rsidRDefault="00CF7E9D" w:rsidP="00253145">
            <w:pPr>
              <w:spacing w:before="40" w:after="0"/>
              <w:jc w:val="center"/>
              <w:rPr>
                <w:noProof/>
                <w:color w:val="auto"/>
                <w:sz w:val="22"/>
                <w:szCs w:val="22"/>
              </w:rPr>
            </w:pPr>
            <w:r>
              <w:rPr>
                <w:noProof/>
                <w:color w:val="auto"/>
                <w:sz w:val="22"/>
                <w:szCs w:val="22"/>
              </w:rPr>
              <w:t>240</w:t>
            </w:r>
          </w:p>
        </w:tc>
        <w:tc>
          <w:tcPr>
            <w:tcW w:w="0" w:type="auto"/>
          </w:tcPr>
          <w:p w14:paraId="3965DE2F" w14:textId="77777777" w:rsidR="00CF7E9D" w:rsidRPr="000653A9" w:rsidRDefault="00CF7E9D" w:rsidP="00253145">
            <w:pPr>
              <w:spacing w:before="40" w:after="0"/>
              <w:jc w:val="center"/>
              <w:rPr>
                <w:noProof/>
                <w:color w:val="auto"/>
                <w:sz w:val="22"/>
                <w:szCs w:val="22"/>
              </w:rPr>
            </w:pPr>
            <w:r>
              <w:rPr>
                <w:noProof/>
                <w:color w:val="auto"/>
                <w:sz w:val="22"/>
                <w:szCs w:val="22"/>
              </w:rPr>
              <w:t>212</w:t>
            </w:r>
          </w:p>
        </w:tc>
        <w:tc>
          <w:tcPr>
            <w:tcW w:w="0" w:type="auto"/>
          </w:tcPr>
          <w:p w14:paraId="1409915C" w14:textId="77777777" w:rsidR="00CF7E9D" w:rsidRPr="000653A9" w:rsidRDefault="00CF7E9D" w:rsidP="00253145">
            <w:pPr>
              <w:spacing w:before="40" w:after="0"/>
              <w:jc w:val="center"/>
              <w:rPr>
                <w:noProof/>
                <w:color w:val="auto"/>
                <w:sz w:val="22"/>
                <w:szCs w:val="22"/>
              </w:rPr>
            </w:pPr>
            <w:r>
              <w:rPr>
                <w:noProof/>
                <w:color w:val="auto"/>
                <w:sz w:val="22"/>
                <w:szCs w:val="22"/>
              </w:rPr>
              <w:t>187</w:t>
            </w:r>
          </w:p>
        </w:tc>
        <w:tc>
          <w:tcPr>
            <w:tcW w:w="0" w:type="auto"/>
          </w:tcPr>
          <w:p w14:paraId="4E1A398F" w14:textId="77777777" w:rsidR="00CF7E9D" w:rsidRPr="000653A9" w:rsidRDefault="00CF7E9D" w:rsidP="00253145">
            <w:pPr>
              <w:spacing w:before="40" w:after="0"/>
              <w:jc w:val="center"/>
              <w:rPr>
                <w:noProof/>
                <w:color w:val="auto"/>
                <w:sz w:val="22"/>
                <w:szCs w:val="22"/>
              </w:rPr>
            </w:pPr>
            <w:r>
              <w:rPr>
                <w:noProof/>
                <w:color w:val="auto"/>
                <w:sz w:val="22"/>
                <w:szCs w:val="22"/>
              </w:rPr>
              <w:t>163</w:t>
            </w:r>
          </w:p>
        </w:tc>
        <w:tc>
          <w:tcPr>
            <w:tcW w:w="0" w:type="auto"/>
          </w:tcPr>
          <w:p w14:paraId="5F1EF332" w14:textId="77777777" w:rsidR="00CF7E9D" w:rsidRPr="000653A9" w:rsidRDefault="00CF7E9D" w:rsidP="00253145">
            <w:pPr>
              <w:spacing w:before="40" w:after="0"/>
              <w:jc w:val="center"/>
              <w:rPr>
                <w:noProof/>
                <w:color w:val="auto"/>
                <w:sz w:val="22"/>
                <w:szCs w:val="22"/>
              </w:rPr>
            </w:pPr>
            <w:r>
              <w:rPr>
                <w:noProof/>
                <w:color w:val="auto"/>
                <w:sz w:val="22"/>
                <w:szCs w:val="22"/>
              </w:rPr>
              <w:t>139</w:t>
            </w:r>
          </w:p>
        </w:tc>
        <w:tc>
          <w:tcPr>
            <w:tcW w:w="0" w:type="auto"/>
          </w:tcPr>
          <w:p w14:paraId="4164B39C" w14:textId="77777777" w:rsidR="00CF7E9D" w:rsidRPr="000653A9" w:rsidRDefault="00CF7E9D" w:rsidP="00253145">
            <w:pPr>
              <w:spacing w:before="40" w:after="0"/>
              <w:jc w:val="center"/>
              <w:rPr>
                <w:noProof/>
                <w:color w:val="auto"/>
                <w:sz w:val="22"/>
                <w:szCs w:val="22"/>
              </w:rPr>
            </w:pPr>
            <w:r>
              <w:rPr>
                <w:noProof/>
                <w:color w:val="auto"/>
                <w:sz w:val="22"/>
                <w:szCs w:val="22"/>
              </w:rPr>
              <w:t>114</w:t>
            </w:r>
          </w:p>
        </w:tc>
        <w:tc>
          <w:tcPr>
            <w:tcW w:w="0" w:type="auto"/>
          </w:tcPr>
          <w:p w14:paraId="4F4B3778" w14:textId="77777777" w:rsidR="00CF7E9D" w:rsidRPr="000653A9" w:rsidRDefault="00CF7E9D" w:rsidP="00253145">
            <w:pPr>
              <w:spacing w:before="40" w:after="0"/>
              <w:jc w:val="center"/>
              <w:rPr>
                <w:noProof/>
                <w:color w:val="auto"/>
                <w:sz w:val="22"/>
                <w:szCs w:val="22"/>
              </w:rPr>
            </w:pPr>
            <w:r>
              <w:rPr>
                <w:noProof/>
                <w:color w:val="auto"/>
                <w:sz w:val="22"/>
                <w:szCs w:val="22"/>
              </w:rPr>
              <w:t>90</w:t>
            </w:r>
          </w:p>
        </w:tc>
      </w:tr>
      <w:tr w:rsidR="00CF7E9D" w:rsidRPr="000653A9" w14:paraId="54B7F86B" w14:textId="77777777" w:rsidTr="00253145">
        <w:tc>
          <w:tcPr>
            <w:tcW w:w="0" w:type="auto"/>
            <w:vAlign w:val="center"/>
          </w:tcPr>
          <w:p w14:paraId="5E2A4661" w14:textId="77777777" w:rsidR="00CF7E9D" w:rsidRPr="000653A9" w:rsidRDefault="00CF7E9D" w:rsidP="00253145">
            <w:pPr>
              <w:spacing w:before="40" w:after="0"/>
              <w:jc w:val="left"/>
              <w:rPr>
                <w:noProof/>
                <w:color w:val="auto"/>
                <w:sz w:val="22"/>
                <w:szCs w:val="22"/>
              </w:rPr>
            </w:pPr>
            <w:r>
              <w:rPr>
                <w:noProof/>
                <w:color w:val="auto"/>
                <w:sz w:val="20"/>
                <w:szCs w:val="20"/>
              </w:rPr>
              <w:t>FA (after CBAM phase out)</w:t>
            </w:r>
          </w:p>
        </w:tc>
        <w:tc>
          <w:tcPr>
            <w:tcW w:w="0" w:type="auto"/>
          </w:tcPr>
          <w:p w14:paraId="16DADFFE" w14:textId="77777777" w:rsidR="00CF7E9D" w:rsidRPr="000653A9" w:rsidRDefault="00CF7E9D" w:rsidP="00253145">
            <w:pPr>
              <w:spacing w:before="40" w:after="0"/>
              <w:jc w:val="center"/>
              <w:rPr>
                <w:noProof/>
                <w:color w:val="auto"/>
                <w:sz w:val="22"/>
                <w:szCs w:val="22"/>
              </w:rPr>
            </w:pPr>
            <w:r>
              <w:rPr>
                <w:noProof/>
                <w:color w:val="auto"/>
                <w:sz w:val="22"/>
                <w:szCs w:val="22"/>
              </w:rPr>
              <w:t>210</w:t>
            </w:r>
          </w:p>
        </w:tc>
        <w:tc>
          <w:tcPr>
            <w:tcW w:w="0" w:type="auto"/>
          </w:tcPr>
          <w:p w14:paraId="65CFC433" w14:textId="77777777" w:rsidR="00CF7E9D" w:rsidRPr="000653A9" w:rsidRDefault="00CF7E9D" w:rsidP="00253145">
            <w:pPr>
              <w:spacing w:before="40" w:after="0"/>
              <w:jc w:val="center"/>
              <w:rPr>
                <w:noProof/>
                <w:color w:val="auto"/>
                <w:sz w:val="22"/>
                <w:szCs w:val="22"/>
              </w:rPr>
            </w:pPr>
            <w:r>
              <w:rPr>
                <w:noProof/>
                <w:color w:val="auto"/>
                <w:sz w:val="22"/>
                <w:szCs w:val="22"/>
              </w:rPr>
              <w:t>165</w:t>
            </w:r>
          </w:p>
        </w:tc>
        <w:tc>
          <w:tcPr>
            <w:tcW w:w="0" w:type="auto"/>
          </w:tcPr>
          <w:p w14:paraId="6EA6C9D1" w14:textId="77777777" w:rsidR="00CF7E9D" w:rsidRPr="000653A9" w:rsidRDefault="00CF7E9D" w:rsidP="00253145">
            <w:pPr>
              <w:spacing w:before="40" w:after="0"/>
              <w:jc w:val="center"/>
              <w:rPr>
                <w:noProof/>
                <w:color w:val="auto"/>
                <w:sz w:val="22"/>
                <w:szCs w:val="22"/>
              </w:rPr>
            </w:pPr>
            <w:r>
              <w:rPr>
                <w:noProof/>
                <w:color w:val="auto"/>
                <w:sz w:val="22"/>
                <w:szCs w:val="22"/>
              </w:rPr>
              <w:t>123</w:t>
            </w:r>
          </w:p>
        </w:tc>
        <w:tc>
          <w:tcPr>
            <w:tcW w:w="0" w:type="auto"/>
          </w:tcPr>
          <w:p w14:paraId="0F994958" w14:textId="77777777" w:rsidR="00CF7E9D" w:rsidRPr="000653A9" w:rsidRDefault="00CF7E9D" w:rsidP="00253145">
            <w:pPr>
              <w:spacing w:before="40" w:after="0"/>
              <w:jc w:val="center"/>
              <w:rPr>
                <w:noProof/>
                <w:color w:val="auto"/>
                <w:sz w:val="22"/>
                <w:szCs w:val="22"/>
              </w:rPr>
            </w:pPr>
            <w:r>
              <w:rPr>
                <w:noProof/>
                <w:color w:val="auto"/>
                <w:sz w:val="22"/>
                <w:szCs w:val="22"/>
              </w:rPr>
              <w:t>71</w:t>
            </w:r>
          </w:p>
        </w:tc>
        <w:tc>
          <w:tcPr>
            <w:tcW w:w="0" w:type="auto"/>
          </w:tcPr>
          <w:p w14:paraId="069F7689" w14:textId="77777777" w:rsidR="00CF7E9D" w:rsidRPr="000653A9" w:rsidRDefault="00CF7E9D" w:rsidP="00253145">
            <w:pPr>
              <w:spacing w:before="40" w:after="0"/>
              <w:jc w:val="center"/>
              <w:rPr>
                <w:noProof/>
                <w:color w:val="auto"/>
                <w:sz w:val="22"/>
                <w:szCs w:val="22"/>
              </w:rPr>
            </w:pPr>
            <w:r>
              <w:rPr>
                <w:noProof/>
                <w:color w:val="auto"/>
                <w:sz w:val="22"/>
                <w:szCs w:val="22"/>
              </w:rPr>
              <w:t>63</w:t>
            </w:r>
          </w:p>
        </w:tc>
        <w:tc>
          <w:tcPr>
            <w:tcW w:w="0" w:type="auto"/>
          </w:tcPr>
          <w:p w14:paraId="2E9316C6" w14:textId="77777777" w:rsidR="00CF7E9D" w:rsidRPr="000653A9" w:rsidRDefault="00CF7E9D" w:rsidP="00253145">
            <w:pPr>
              <w:spacing w:before="40" w:after="0"/>
              <w:jc w:val="center"/>
              <w:rPr>
                <w:noProof/>
                <w:color w:val="auto"/>
                <w:sz w:val="22"/>
                <w:szCs w:val="22"/>
              </w:rPr>
            </w:pPr>
            <w:r>
              <w:rPr>
                <w:noProof/>
                <w:color w:val="auto"/>
                <w:sz w:val="22"/>
                <w:szCs w:val="22"/>
              </w:rPr>
              <w:t>48</w:t>
            </w:r>
          </w:p>
        </w:tc>
        <w:tc>
          <w:tcPr>
            <w:tcW w:w="0" w:type="auto"/>
          </w:tcPr>
          <w:p w14:paraId="5BDD7BD3" w14:textId="77777777" w:rsidR="00CF7E9D" w:rsidRPr="000653A9" w:rsidRDefault="00CF7E9D" w:rsidP="00253145">
            <w:pPr>
              <w:spacing w:before="40" w:after="0"/>
              <w:jc w:val="center"/>
              <w:rPr>
                <w:noProof/>
                <w:color w:val="auto"/>
                <w:sz w:val="22"/>
                <w:szCs w:val="22"/>
              </w:rPr>
            </w:pPr>
            <w:r>
              <w:rPr>
                <w:noProof/>
                <w:color w:val="auto"/>
                <w:sz w:val="22"/>
                <w:szCs w:val="22"/>
              </w:rPr>
              <w:t>42</w:t>
            </w:r>
          </w:p>
        </w:tc>
        <w:tc>
          <w:tcPr>
            <w:tcW w:w="0" w:type="auto"/>
          </w:tcPr>
          <w:p w14:paraId="5AE43BF2" w14:textId="77777777" w:rsidR="00CF7E9D" w:rsidRPr="000653A9" w:rsidRDefault="00CF7E9D" w:rsidP="00253145">
            <w:pPr>
              <w:spacing w:before="40" w:after="0"/>
              <w:jc w:val="center"/>
              <w:rPr>
                <w:noProof/>
                <w:color w:val="auto"/>
                <w:sz w:val="22"/>
                <w:szCs w:val="22"/>
              </w:rPr>
            </w:pPr>
            <w:r>
              <w:rPr>
                <w:noProof/>
                <w:color w:val="auto"/>
                <w:sz w:val="22"/>
                <w:szCs w:val="22"/>
              </w:rPr>
              <w:t>36</w:t>
            </w:r>
          </w:p>
        </w:tc>
        <w:tc>
          <w:tcPr>
            <w:tcW w:w="0" w:type="auto"/>
          </w:tcPr>
          <w:p w14:paraId="00DC9B25" w14:textId="77777777" w:rsidR="00CF7E9D" w:rsidRPr="000653A9" w:rsidRDefault="00CF7E9D" w:rsidP="00253145">
            <w:pPr>
              <w:spacing w:before="40" w:after="0"/>
              <w:jc w:val="center"/>
              <w:rPr>
                <w:noProof/>
                <w:color w:val="auto"/>
                <w:sz w:val="22"/>
                <w:szCs w:val="22"/>
              </w:rPr>
            </w:pPr>
            <w:r>
              <w:rPr>
                <w:noProof/>
                <w:color w:val="auto"/>
                <w:sz w:val="22"/>
                <w:szCs w:val="22"/>
              </w:rPr>
              <w:t>29</w:t>
            </w:r>
          </w:p>
        </w:tc>
        <w:tc>
          <w:tcPr>
            <w:tcW w:w="0" w:type="auto"/>
          </w:tcPr>
          <w:p w14:paraId="2A3880F5" w14:textId="77777777" w:rsidR="00CF7E9D" w:rsidRPr="000653A9" w:rsidRDefault="00CF7E9D" w:rsidP="00253145">
            <w:pPr>
              <w:spacing w:before="40" w:after="0"/>
              <w:jc w:val="center"/>
              <w:rPr>
                <w:noProof/>
                <w:color w:val="auto"/>
                <w:sz w:val="22"/>
                <w:szCs w:val="22"/>
              </w:rPr>
            </w:pPr>
            <w:r>
              <w:rPr>
                <w:noProof/>
                <w:color w:val="auto"/>
                <w:sz w:val="22"/>
                <w:szCs w:val="22"/>
              </w:rPr>
              <w:t>23</w:t>
            </w:r>
          </w:p>
        </w:tc>
      </w:tr>
    </w:tbl>
    <w:p w14:paraId="15CC434A" w14:textId="30DFEC01" w:rsidR="00A24B35" w:rsidRPr="000653A9" w:rsidRDefault="00A24B35" w:rsidP="00A24B35">
      <w:pPr>
        <w:spacing w:after="240"/>
        <w:rPr>
          <w:i/>
          <w:iCs/>
          <w:noProof/>
          <w:color w:val="auto"/>
          <w:sz w:val="20"/>
          <w:szCs w:val="20"/>
        </w:rPr>
      </w:pPr>
      <w:r w:rsidRPr="000653A9">
        <w:rPr>
          <w:i/>
          <w:iCs/>
          <w:noProof/>
          <w:color w:val="auto"/>
          <w:sz w:val="20"/>
          <w:szCs w:val="20"/>
        </w:rPr>
        <w:t>Source:</w:t>
      </w:r>
      <w:r w:rsidRPr="000653A9">
        <w:rPr>
          <w:i/>
          <w:iCs/>
          <w:noProof/>
          <w:sz w:val="22"/>
          <w:szCs w:val="22"/>
        </w:rPr>
        <w:tab/>
      </w:r>
      <w:r w:rsidRPr="000653A9">
        <w:rPr>
          <w:i/>
          <w:iCs/>
          <w:noProof/>
          <w:color w:val="auto"/>
          <w:sz w:val="20"/>
          <w:szCs w:val="20"/>
        </w:rPr>
        <w:t>Own calculation based upon preliminary NIMs data for 2019-23</w:t>
      </w:r>
    </w:p>
    <w:p w14:paraId="583E1C6A" w14:textId="053CEB1A" w:rsidR="00A24B35" w:rsidRPr="000653A9" w:rsidRDefault="00BC36A9" w:rsidP="00A24B35">
      <w:pPr>
        <w:rPr>
          <w:noProof/>
        </w:rPr>
      </w:pPr>
      <w:r w:rsidRPr="000653A9">
        <w:rPr>
          <w:noProof/>
        </w:rPr>
        <w:t xml:space="preserve">Figure </w:t>
      </w:r>
      <w:r w:rsidR="009B3B0F" w:rsidRPr="000653A9">
        <w:rPr>
          <w:noProof/>
        </w:rPr>
        <w:t>7</w:t>
      </w:r>
      <w:r w:rsidRPr="000653A9">
        <w:rPr>
          <w:noProof/>
        </w:rPr>
        <w:t xml:space="preserve"> </w:t>
      </w:r>
      <w:r w:rsidR="00A24B35" w:rsidRPr="000653A9">
        <w:rPr>
          <w:noProof/>
        </w:rPr>
        <w:t xml:space="preserve">shows how the distribution of free allocation to sectors develops over time under the CL2_50 scenario. The manufacture of refined petroleum products (NACE code 19.20) would receive around </w:t>
      </w:r>
      <w:r>
        <w:rPr>
          <w:noProof/>
        </w:rPr>
        <w:t>208</w:t>
      </w:r>
      <w:r w:rsidR="00A24B35" w:rsidRPr="000653A9">
        <w:rPr>
          <w:noProof/>
        </w:rPr>
        <w:t xml:space="preserve"> million EUAs for free over 2031-40 and this is followed by the manufacture of other organic basic chemicals (NACE code 20.14), the manufacture of basic iron and steel and of ferro alloys (NACE code 24.10) and the manufacture of cement (NACE code 23.51) that receive </w:t>
      </w:r>
      <w:r>
        <w:rPr>
          <w:noProof/>
        </w:rPr>
        <w:t xml:space="preserve">85 </w:t>
      </w:r>
      <w:r w:rsidR="00A24B35" w:rsidRPr="000653A9">
        <w:rPr>
          <w:noProof/>
        </w:rPr>
        <w:t xml:space="preserve"> M EUAs, </w:t>
      </w:r>
      <w:r>
        <w:rPr>
          <w:noProof/>
        </w:rPr>
        <w:t>84</w:t>
      </w:r>
      <w:r w:rsidR="00A24B35" w:rsidRPr="000653A9">
        <w:rPr>
          <w:noProof/>
        </w:rPr>
        <w:t xml:space="preserve"> million EUAs and </w:t>
      </w:r>
      <w:r>
        <w:rPr>
          <w:noProof/>
        </w:rPr>
        <w:t>52</w:t>
      </w:r>
      <w:r w:rsidR="00376A96" w:rsidRPr="000653A9">
        <w:rPr>
          <w:noProof/>
        </w:rPr>
        <w:t xml:space="preserve"> </w:t>
      </w:r>
      <w:r w:rsidR="00A24B35" w:rsidRPr="000653A9">
        <w:rPr>
          <w:noProof/>
        </w:rPr>
        <w:t>million EUAs respectively over 2031-40. In contrast to the CL2_90 scenario, the preliminary free allocation is lower in the CL2_50 scenario due to the implementation of conditionalities for non-CBAM sectors with a compliance rate of only 50%. However, the preliminary allocation still exceeds the free allocation budget under CL2_</w:t>
      </w:r>
      <w:r w:rsidR="00DC581A" w:rsidRPr="000653A9">
        <w:rPr>
          <w:noProof/>
        </w:rPr>
        <w:t>50,</w:t>
      </w:r>
      <w:r w:rsidR="00A24B35" w:rsidRPr="000653A9">
        <w:rPr>
          <w:noProof/>
        </w:rPr>
        <w:t xml:space="preserve"> so a CSCF remains necessary, albeit the CSCF values are higher than under the CL2_90 scenario. As the conditionalities do not apply to CBAM sectors, the preliminary allocation is higher for these sectors and with the use of a higher CSCF throughout the 2031-40 period this means that the final allocation is also higher than the CL2_90 scenario after the application of the CBAM factor to phase out their free allocation up until 2034.</w:t>
      </w:r>
    </w:p>
    <w:p w14:paraId="086BB55B" w14:textId="4A76129E" w:rsidR="005D3D1D" w:rsidRPr="000653A9" w:rsidRDefault="00A24B35" w:rsidP="00A45B63">
      <w:pPr>
        <w:pStyle w:val="Figuretitle"/>
        <w:rPr>
          <w:noProof/>
        </w:rPr>
      </w:pPr>
      <w:bookmarkStart w:id="334" w:name="_Toc224659141"/>
      <w:r w:rsidRPr="000653A9">
        <w:rPr>
          <w:noProof/>
        </w:rPr>
        <w:t>Distribution of free allocation under CL2_50 for 2031-40</w:t>
      </w:r>
      <w:bookmarkEnd w:id="334"/>
    </w:p>
    <w:p w14:paraId="0D140842" w14:textId="77777777" w:rsidR="00CC4F87" w:rsidRDefault="005D3D1D" w:rsidP="00C92FA9">
      <w:pPr>
        <w:jc w:val="center"/>
        <w:rPr>
          <w:noProof/>
        </w:rPr>
      </w:pPr>
      <w:r>
        <w:rPr>
          <w:noProof/>
          <w:lang w:eastAsia="en-GB"/>
        </w:rPr>
        <w:drawing>
          <wp:inline distT="0" distB="0" distL="0" distR="0" wp14:anchorId="4444555A" wp14:editId="0C8B3D62">
            <wp:extent cx="5281574" cy="3454012"/>
            <wp:effectExtent l="0" t="0" r="0" b="0"/>
            <wp:docPr id="1053915112"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15112" name="Picture 1" descr="A graph of different colored bars&#10;&#10;AI-generated content may be incorrect."/>
                    <pic:cNvPicPr/>
                  </pic:nvPicPr>
                  <pic:blipFill>
                    <a:blip r:embed="rId21"/>
                    <a:stretch>
                      <a:fillRect/>
                    </a:stretch>
                  </pic:blipFill>
                  <pic:spPr>
                    <a:xfrm>
                      <a:off x="0" y="0"/>
                      <a:ext cx="5330214" cy="3485821"/>
                    </a:xfrm>
                    <a:prstGeom prst="rect">
                      <a:avLst/>
                    </a:prstGeom>
                  </pic:spPr>
                </pic:pic>
              </a:graphicData>
            </a:graphic>
          </wp:inline>
        </w:drawing>
      </w:r>
    </w:p>
    <w:p w14:paraId="0E9B1505" w14:textId="7E650AB3" w:rsidR="00A24B35" w:rsidRPr="000653A9" w:rsidRDefault="00A24B35" w:rsidP="00A24B35">
      <w:pPr>
        <w:spacing w:after="240"/>
        <w:rPr>
          <w:i/>
          <w:iCs/>
          <w:noProof/>
          <w:sz w:val="20"/>
          <w:szCs w:val="20"/>
        </w:rPr>
      </w:pPr>
      <w:r w:rsidRPr="000653A9">
        <w:rPr>
          <w:i/>
          <w:iCs/>
          <w:noProof/>
          <w:sz w:val="20"/>
          <w:szCs w:val="20"/>
        </w:rPr>
        <w:t>Source:</w:t>
      </w:r>
      <w:r w:rsidRPr="000653A9">
        <w:rPr>
          <w:i/>
          <w:iCs/>
          <w:noProof/>
          <w:sz w:val="22"/>
          <w:szCs w:val="22"/>
        </w:rPr>
        <w:tab/>
      </w:r>
      <w:r w:rsidRPr="000653A9">
        <w:rPr>
          <w:i/>
          <w:iCs/>
          <w:noProof/>
          <w:sz w:val="20"/>
          <w:szCs w:val="20"/>
        </w:rPr>
        <w:t>Own calculation based upon preliminary NIMs data for 2019-23</w:t>
      </w:r>
    </w:p>
    <w:p w14:paraId="6E820873" w14:textId="14F41402" w:rsidR="00A24B35" w:rsidRPr="000653A9" w:rsidRDefault="00A24B35" w:rsidP="00A24B35">
      <w:pPr>
        <w:rPr>
          <w:noProof/>
        </w:rPr>
      </w:pPr>
      <w:r>
        <w:rPr>
          <w:noProof/>
        </w:rPr>
        <w:t>The value of the free allocation that is subject to further conditionalities under CL2_50 is estimated by multiplying the volume of the preliminary free allocation that is subject to conditionality each year for non-CBAM sectors by the CSCF for the CL2_50 scenario, assuming an average price of EUR150 over the period. The expected level of investment because of the introduction of further conditionalities under CL2_50 for non-CBAM sectors only is estimated to be around EUR 50 billion over the 2031-40 period.</w:t>
      </w:r>
    </w:p>
    <w:p w14:paraId="691AA9B1" w14:textId="5E5E73DF" w:rsidR="00A24B35" w:rsidRPr="000653A9" w:rsidRDefault="00A24B35" w:rsidP="00A24B35">
      <w:pPr>
        <w:rPr>
          <w:i/>
          <w:iCs/>
          <w:noProof/>
          <w:u w:val="single"/>
        </w:rPr>
      </w:pPr>
      <w:r w:rsidRPr="000653A9">
        <w:rPr>
          <w:i/>
          <w:iCs/>
          <w:noProof/>
          <w:u w:val="single"/>
        </w:rPr>
        <w:t>CBAM variant</w:t>
      </w:r>
    </w:p>
    <w:p w14:paraId="3EECDED7" w14:textId="23E3E90D" w:rsidR="00A24B35" w:rsidRPr="000653A9" w:rsidRDefault="00BC36A9" w:rsidP="00A24B35">
      <w:pPr>
        <w:shd w:val="clear" w:color="auto" w:fill="FFFFFF" w:themeFill="background1"/>
        <w:rPr>
          <w:noProof/>
        </w:rPr>
      </w:pPr>
      <w:r w:rsidRPr="000653A9">
        <w:rPr>
          <w:noProof/>
        </w:rPr>
        <w:t xml:space="preserve">Table </w:t>
      </w:r>
      <w:r w:rsidR="0045781B">
        <w:rPr>
          <w:noProof/>
        </w:rPr>
        <w:t>10</w:t>
      </w:r>
      <w:r w:rsidRPr="000653A9">
        <w:rPr>
          <w:noProof/>
        </w:rPr>
        <w:t xml:space="preserve"> </w:t>
      </w:r>
      <w:r w:rsidR="00A24B35" w:rsidRPr="000653A9">
        <w:rPr>
          <w:noProof/>
        </w:rPr>
        <w:t xml:space="preserve">shows that the overall budget for free allocation between 2031-40 in the CL2_50 (CBAM variant), which returns 15% of the allowances initially taken away by the application of the CBAM factor from the sectors covered under the CBAM. The starting point for the estimation is the free allocation budget, which is set based upon the ETS cap and the share of it reserved for free allocation. In the CL2_50 (CBAM variant) scenario, the total free allocation budget is assumed to be </w:t>
      </w:r>
      <w:r>
        <w:rPr>
          <w:noProof/>
        </w:rPr>
        <w:t>2,206</w:t>
      </w:r>
      <w:r w:rsidR="00A24B35" w:rsidRPr="000653A9">
        <w:rPr>
          <w:noProof/>
        </w:rPr>
        <w:t xml:space="preserve"> M EUAs over 2031-40. The preliminary free allocation was then calculated following a bottom-up approach and this resulted in a total of </w:t>
      </w:r>
      <w:r>
        <w:rPr>
          <w:noProof/>
        </w:rPr>
        <w:t>2,829</w:t>
      </w:r>
      <w:r w:rsidR="00A24B35" w:rsidRPr="000653A9">
        <w:rPr>
          <w:noProof/>
        </w:rPr>
        <w:t xml:space="preserve"> M EUAs over 2031-40. As the preliminary allocation exceeded the free allocation budget, the CSCF was progressively applied over the </w:t>
      </w:r>
      <w:r w:rsidR="0072490E" w:rsidRPr="000653A9">
        <w:rPr>
          <w:noProof/>
        </w:rPr>
        <w:t>period</w:t>
      </w:r>
      <w:r w:rsidR="00A24B35" w:rsidRPr="000653A9">
        <w:rPr>
          <w:noProof/>
        </w:rPr>
        <w:t xml:space="preserve"> with the value declining rapidly from </w:t>
      </w:r>
      <w:r>
        <w:rPr>
          <w:noProof/>
        </w:rPr>
        <w:t>0.85</w:t>
      </w:r>
      <w:r w:rsidR="00464E49" w:rsidRPr="000653A9">
        <w:rPr>
          <w:noProof/>
        </w:rPr>
        <w:t xml:space="preserve"> </w:t>
      </w:r>
      <w:r w:rsidR="00A24B35" w:rsidRPr="000653A9">
        <w:rPr>
          <w:noProof/>
        </w:rPr>
        <w:t xml:space="preserve">in 2034 to </w:t>
      </w:r>
      <w:r>
        <w:rPr>
          <w:noProof/>
        </w:rPr>
        <w:t>0.36</w:t>
      </w:r>
      <w:r w:rsidR="00A24B35" w:rsidRPr="000653A9">
        <w:rPr>
          <w:noProof/>
        </w:rPr>
        <w:t xml:space="preserve"> by 2040. The application of the CSCF allows the final free allocation budget to not exceed the free allocation budget for the 2031-40 </w:t>
      </w:r>
      <w:r w:rsidR="0072490E" w:rsidRPr="000653A9">
        <w:rPr>
          <w:noProof/>
        </w:rPr>
        <w:t>period</w:t>
      </w:r>
      <w:r w:rsidR="00A24B35" w:rsidRPr="000653A9">
        <w:rPr>
          <w:noProof/>
        </w:rPr>
        <w:t xml:space="preserve">. In a final step, the CBAM discount factor was applied over Phase V for sub-installations covered by the CBAM but with 15% of the allowances initially removed each year subsequently returned to these installations under the CL2_90 (CBAM variant) scenario and this therefore increased (compared to the CL2_50 scenario) the total final free allocation over 2031-40 to </w:t>
      </w:r>
      <w:r>
        <w:rPr>
          <w:noProof/>
        </w:rPr>
        <w:t>993</w:t>
      </w:r>
      <w:r w:rsidR="00464E49" w:rsidRPr="000653A9">
        <w:rPr>
          <w:noProof/>
        </w:rPr>
        <w:t xml:space="preserve"> </w:t>
      </w:r>
      <w:r w:rsidR="00A24B35" w:rsidRPr="000653A9">
        <w:rPr>
          <w:noProof/>
        </w:rPr>
        <w:t xml:space="preserve">M EUAs. </w:t>
      </w:r>
    </w:p>
    <w:p w14:paraId="1F10743F" w14:textId="6CEB7B1B" w:rsidR="2B7FB05A" w:rsidRPr="000653A9" w:rsidRDefault="00A24B35" w:rsidP="00A45B63">
      <w:pPr>
        <w:pStyle w:val="Tabletitle"/>
        <w:rPr>
          <w:noProof/>
        </w:rPr>
      </w:pPr>
      <w:bookmarkStart w:id="335" w:name="_Toc234435113"/>
      <w:bookmarkStart w:id="336" w:name="_Toc232003579"/>
      <w:r w:rsidRPr="000653A9">
        <w:rPr>
          <w:noProof/>
        </w:rPr>
        <w:t>Estimation of the total volume of free allowances available under CL2_50 (CBAM variant) for 2031-40</w:t>
      </w:r>
      <w:bookmarkEnd w:id="335"/>
      <w:bookmarkEnd w:id="336"/>
    </w:p>
    <w:p w14:paraId="797069C4" w14:textId="77777777" w:rsidR="00CC4F87" w:rsidRDefault="00CC4F87">
      <w:pPr>
        <w:rPr>
          <w:noProof/>
        </w:rPr>
      </w:pPr>
    </w:p>
    <w:tbl>
      <w:tblPr>
        <w:tblStyle w:val="Ricardo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656"/>
        <w:gridCol w:w="656"/>
        <w:gridCol w:w="656"/>
        <w:gridCol w:w="656"/>
        <w:gridCol w:w="656"/>
        <w:gridCol w:w="656"/>
        <w:gridCol w:w="656"/>
        <w:gridCol w:w="656"/>
        <w:gridCol w:w="656"/>
        <w:gridCol w:w="656"/>
      </w:tblGrid>
      <w:tr w:rsidR="00251BEB" w:rsidRPr="000653A9" w14:paraId="4396852B" w14:textId="77777777" w:rsidTr="00253145">
        <w:trPr>
          <w:cnfStyle w:val="100000000000" w:firstRow="1" w:lastRow="0" w:firstColumn="0" w:lastColumn="0" w:oddVBand="0" w:evenVBand="0" w:oddHBand="0" w:evenHBand="0" w:firstRowFirstColumn="0" w:firstRowLastColumn="0" w:lastRowFirstColumn="0" w:lastRowLastColumn="0"/>
        </w:trPr>
        <w:tc>
          <w:tcPr>
            <w:tcW w:w="0" w:type="auto"/>
          </w:tcPr>
          <w:p w14:paraId="11C372C5" w14:textId="77777777" w:rsidR="00251BEB" w:rsidRPr="000653A9" w:rsidRDefault="00251BEB" w:rsidP="00253145">
            <w:pPr>
              <w:spacing w:before="40" w:after="0"/>
              <w:rPr>
                <w:noProof/>
                <w:color w:val="auto"/>
                <w:sz w:val="22"/>
                <w:szCs w:val="22"/>
              </w:rPr>
            </w:pPr>
          </w:p>
        </w:tc>
        <w:tc>
          <w:tcPr>
            <w:tcW w:w="0" w:type="auto"/>
          </w:tcPr>
          <w:p w14:paraId="1216B939" w14:textId="77777777" w:rsidR="00251BEB" w:rsidRPr="000653A9" w:rsidRDefault="00251BEB" w:rsidP="00253145">
            <w:pPr>
              <w:spacing w:before="40" w:after="0"/>
              <w:rPr>
                <w:noProof/>
                <w:color w:val="auto"/>
                <w:sz w:val="22"/>
                <w:szCs w:val="22"/>
              </w:rPr>
            </w:pPr>
            <w:r>
              <w:rPr>
                <w:noProof/>
                <w:color w:val="auto"/>
                <w:sz w:val="22"/>
                <w:szCs w:val="22"/>
              </w:rPr>
              <w:t>2031</w:t>
            </w:r>
          </w:p>
        </w:tc>
        <w:tc>
          <w:tcPr>
            <w:tcW w:w="0" w:type="auto"/>
          </w:tcPr>
          <w:p w14:paraId="0CCC8864" w14:textId="77777777" w:rsidR="00251BEB" w:rsidRPr="000653A9" w:rsidRDefault="00251BEB" w:rsidP="00253145">
            <w:pPr>
              <w:spacing w:before="40" w:after="0"/>
              <w:rPr>
                <w:noProof/>
                <w:color w:val="auto"/>
                <w:sz w:val="22"/>
                <w:szCs w:val="22"/>
              </w:rPr>
            </w:pPr>
            <w:r>
              <w:rPr>
                <w:noProof/>
                <w:color w:val="auto"/>
                <w:sz w:val="22"/>
                <w:szCs w:val="22"/>
              </w:rPr>
              <w:t>2032</w:t>
            </w:r>
          </w:p>
        </w:tc>
        <w:tc>
          <w:tcPr>
            <w:tcW w:w="0" w:type="auto"/>
          </w:tcPr>
          <w:p w14:paraId="1D991F26" w14:textId="77777777" w:rsidR="00251BEB" w:rsidRPr="000653A9" w:rsidRDefault="00251BEB" w:rsidP="00253145">
            <w:pPr>
              <w:spacing w:before="40" w:after="0"/>
              <w:rPr>
                <w:noProof/>
                <w:color w:val="auto"/>
                <w:sz w:val="22"/>
                <w:szCs w:val="22"/>
              </w:rPr>
            </w:pPr>
            <w:r>
              <w:rPr>
                <w:noProof/>
                <w:color w:val="auto"/>
                <w:sz w:val="22"/>
                <w:szCs w:val="22"/>
              </w:rPr>
              <w:t>2033</w:t>
            </w:r>
          </w:p>
        </w:tc>
        <w:tc>
          <w:tcPr>
            <w:tcW w:w="0" w:type="auto"/>
          </w:tcPr>
          <w:p w14:paraId="164CBED6" w14:textId="77777777" w:rsidR="00251BEB" w:rsidRPr="000653A9" w:rsidRDefault="00251BEB" w:rsidP="00253145">
            <w:pPr>
              <w:spacing w:before="40" w:after="0"/>
              <w:rPr>
                <w:noProof/>
                <w:color w:val="auto"/>
                <w:sz w:val="22"/>
                <w:szCs w:val="22"/>
              </w:rPr>
            </w:pPr>
            <w:r>
              <w:rPr>
                <w:noProof/>
                <w:color w:val="auto"/>
                <w:sz w:val="22"/>
                <w:szCs w:val="22"/>
              </w:rPr>
              <w:t>2034</w:t>
            </w:r>
          </w:p>
        </w:tc>
        <w:tc>
          <w:tcPr>
            <w:tcW w:w="0" w:type="auto"/>
          </w:tcPr>
          <w:p w14:paraId="1941DCE7" w14:textId="77777777" w:rsidR="00251BEB" w:rsidRPr="000653A9" w:rsidRDefault="00251BEB" w:rsidP="00253145">
            <w:pPr>
              <w:spacing w:before="40" w:after="0"/>
              <w:rPr>
                <w:noProof/>
                <w:color w:val="auto"/>
                <w:sz w:val="22"/>
                <w:szCs w:val="22"/>
              </w:rPr>
            </w:pPr>
            <w:r>
              <w:rPr>
                <w:noProof/>
                <w:color w:val="auto"/>
                <w:sz w:val="22"/>
                <w:szCs w:val="22"/>
              </w:rPr>
              <w:t>2035</w:t>
            </w:r>
          </w:p>
        </w:tc>
        <w:tc>
          <w:tcPr>
            <w:tcW w:w="0" w:type="auto"/>
          </w:tcPr>
          <w:p w14:paraId="0EC4567F" w14:textId="77777777" w:rsidR="00251BEB" w:rsidRPr="000653A9" w:rsidRDefault="00251BEB" w:rsidP="00253145">
            <w:pPr>
              <w:spacing w:before="40" w:after="0"/>
              <w:rPr>
                <w:noProof/>
                <w:color w:val="auto"/>
                <w:sz w:val="22"/>
                <w:szCs w:val="22"/>
              </w:rPr>
            </w:pPr>
            <w:r>
              <w:rPr>
                <w:noProof/>
                <w:color w:val="auto"/>
                <w:sz w:val="22"/>
                <w:szCs w:val="22"/>
              </w:rPr>
              <w:t>2036</w:t>
            </w:r>
          </w:p>
        </w:tc>
        <w:tc>
          <w:tcPr>
            <w:tcW w:w="0" w:type="auto"/>
          </w:tcPr>
          <w:p w14:paraId="1D37120B" w14:textId="77777777" w:rsidR="00251BEB" w:rsidRPr="000653A9" w:rsidRDefault="00251BEB" w:rsidP="00253145">
            <w:pPr>
              <w:spacing w:before="40" w:after="0"/>
              <w:rPr>
                <w:noProof/>
                <w:color w:val="auto"/>
                <w:sz w:val="22"/>
                <w:szCs w:val="22"/>
              </w:rPr>
            </w:pPr>
            <w:r>
              <w:rPr>
                <w:noProof/>
                <w:color w:val="auto"/>
                <w:sz w:val="22"/>
                <w:szCs w:val="22"/>
              </w:rPr>
              <w:t>2037</w:t>
            </w:r>
          </w:p>
        </w:tc>
        <w:tc>
          <w:tcPr>
            <w:tcW w:w="0" w:type="auto"/>
          </w:tcPr>
          <w:p w14:paraId="64BBE38B" w14:textId="77777777" w:rsidR="00251BEB" w:rsidRPr="000653A9" w:rsidRDefault="00251BEB" w:rsidP="00253145">
            <w:pPr>
              <w:spacing w:before="40" w:after="0"/>
              <w:rPr>
                <w:noProof/>
                <w:color w:val="auto"/>
                <w:sz w:val="22"/>
                <w:szCs w:val="22"/>
              </w:rPr>
            </w:pPr>
            <w:r>
              <w:rPr>
                <w:noProof/>
                <w:color w:val="auto"/>
                <w:sz w:val="22"/>
                <w:szCs w:val="22"/>
              </w:rPr>
              <w:t>2038</w:t>
            </w:r>
          </w:p>
        </w:tc>
        <w:tc>
          <w:tcPr>
            <w:tcW w:w="0" w:type="auto"/>
          </w:tcPr>
          <w:p w14:paraId="17154A81" w14:textId="77777777" w:rsidR="00251BEB" w:rsidRPr="000653A9" w:rsidRDefault="00251BEB" w:rsidP="00253145">
            <w:pPr>
              <w:spacing w:before="40" w:after="0"/>
              <w:rPr>
                <w:noProof/>
                <w:color w:val="auto"/>
                <w:sz w:val="22"/>
                <w:szCs w:val="22"/>
              </w:rPr>
            </w:pPr>
            <w:r>
              <w:rPr>
                <w:noProof/>
                <w:color w:val="auto"/>
                <w:sz w:val="22"/>
                <w:szCs w:val="22"/>
              </w:rPr>
              <w:t>2039</w:t>
            </w:r>
          </w:p>
        </w:tc>
        <w:tc>
          <w:tcPr>
            <w:tcW w:w="0" w:type="auto"/>
          </w:tcPr>
          <w:p w14:paraId="26D7E5C5" w14:textId="77777777" w:rsidR="00251BEB" w:rsidRPr="000653A9" w:rsidRDefault="00251BEB" w:rsidP="00253145">
            <w:pPr>
              <w:spacing w:before="40" w:after="0"/>
              <w:rPr>
                <w:noProof/>
                <w:color w:val="auto"/>
                <w:sz w:val="22"/>
                <w:szCs w:val="22"/>
              </w:rPr>
            </w:pPr>
            <w:r>
              <w:rPr>
                <w:noProof/>
                <w:color w:val="auto"/>
                <w:sz w:val="22"/>
                <w:szCs w:val="22"/>
              </w:rPr>
              <w:t>2040</w:t>
            </w:r>
          </w:p>
        </w:tc>
      </w:tr>
      <w:tr w:rsidR="00251BEB" w:rsidRPr="000653A9" w14:paraId="09D6B7A2" w14:textId="77777777" w:rsidTr="00253145">
        <w:tc>
          <w:tcPr>
            <w:tcW w:w="0" w:type="auto"/>
          </w:tcPr>
          <w:p w14:paraId="007F8ADB" w14:textId="77777777" w:rsidR="00251BEB" w:rsidRPr="000653A9" w:rsidRDefault="00251BEB" w:rsidP="00253145">
            <w:pPr>
              <w:spacing w:before="40" w:after="0"/>
              <w:jc w:val="left"/>
              <w:rPr>
                <w:noProof/>
                <w:color w:val="auto"/>
                <w:sz w:val="22"/>
                <w:szCs w:val="22"/>
              </w:rPr>
            </w:pPr>
            <w:r>
              <w:rPr>
                <w:noProof/>
                <w:color w:val="auto"/>
                <w:sz w:val="22"/>
                <w:szCs w:val="22"/>
              </w:rPr>
              <w:t>FA Budget</w:t>
            </w:r>
          </w:p>
        </w:tc>
        <w:tc>
          <w:tcPr>
            <w:tcW w:w="0" w:type="auto"/>
          </w:tcPr>
          <w:p w14:paraId="37FEAAEE" w14:textId="77777777" w:rsidR="00251BEB" w:rsidRPr="000653A9" w:rsidRDefault="00251BEB" w:rsidP="00253145">
            <w:pPr>
              <w:spacing w:before="40" w:after="0"/>
              <w:jc w:val="center"/>
              <w:rPr>
                <w:noProof/>
                <w:color w:val="auto"/>
                <w:sz w:val="22"/>
                <w:szCs w:val="22"/>
              </w:rPr>
            </w:pPr>
            <w:r>
              <w:rPr>
                <w:noProof/>
                <w:color w:val="auto"/>
                <w:sz w:val="22"/>
                <w:szCs w:val="22"/>
              </w:rPr>
              <w:t>320</w:t>
            </w:r>
          </w:p>
        </w:tc>
        <w:tc>
          <w:tcPr>
            <w:tcW w:w="0" w:type="auto"/>
          </w:tcPr>
          <w:p w14:paraId="3FF04F38" w14:textId="77777777" w:rsidR="00251BEB" w:rsidRPr="000653A9" w:rsidRDefault="00251BEB" w:rsidP="00253145">
            <w:pPr>
              <w:spacing w:before="40" w:after="0"/>
              <w:jc w:val="center"/>
              <w:rPr>
                <w:noProof/>
                <w:color w:val="auto"/>
                <w:sz w:val="22"/>
                <w:szCs w:val="22"/>
              </w:rPr>
            </w:pPr>
            <w:r>
              <w:rPr>
                <w:noProof/>
                <w:color w:val="auto"/>
                <w:sz w:val="22"/>
                <w:szCs w:val="22"/>
              </w:rPr>
              <w:t>293</w:t>
            </w:r>
          </w:p>
        </w:tc>
        <w:tc>
          <w:tcPr>
            <w:tcW w:w="0" w:type="auto"/>
          </w:tcPr>
          <w:p w14:paraId="011BE5B9" w14:textId="77777777" w:rsidR="00251BEB" w:rsidRPr="000653A9" w:rsidRDefault="00251BEB" w:rsidP="00253145">
            <w:pPr>
              <w:spacing w:before="40" w:after="0"/>
              <w:jc w:val="center"/>
              <w:rPr>
                <w:noProof/>
                <w:color w:val="auto"/>
                <w:sz w:val="22"/>
                <w:szCs w:val="22"/>
              </w:rPr>
            </w:pPr>
            <w:r>
              <w:rPr>
                <w:noProof/>
                <w:color w:val="auto"/>
                <w:sz w:val="22"/>
                <w:szCs w:val="22"/>
              </w:rPr>
              <w:t>267</w:t>
            </w:r>
          </w:p>
        </w:tc>
        <w:tc>
          <w:tcPr>
            <w:tcW w:w="0" w:type="auto"/>
          </w:tcPr>
          <w:p w14:paraId="26489D89" w14:textId="77777777" w:rsidR="00251BEB" w:rsidRPr="000653A9" w:rsidRDefault="00251BEB" w:rsidP="00253145">
            <w:pPr>
              <w:spacing w:before="40" w:after="0"/>
              <w:jc w:val="center"/>
              <w:rPr>
                <w:noProof/>
                <w:color w:val="auto"/>
                <w:sz w:val="22"/>
                <w:szCs w:val="22"/>
              </w:rPr>
            </w:pPr>
            <w:r>
              <w:rPr>
                <w:noProof/>
                <w:color w:val="auto"/>
                <w:sz w:val="22"/>
                <w:szCs w:val="22"/>
              </w:rPr>
              <w:t>240</w:t>
            </w:r>
          </w:p>
        </w:tc>
        <w:tc>
          <w:tcPr>
            <w:tcW w:w="0" w:type="auto"/>
          </w:tcPr>
          <w:p w14:paraId="4AD05481" w14:textId="77777777" w:rsidR="00251BEB" w:rsidRPr="000653A9" w:rsidRDefault="00251BEB" w:rsidP="00253145">
            <w:pPr>
              <w:spacing w:before="40" w:after="0"/>
              <w:jc w:val="center"/>
              <w:rPr>
                <w:noProof/>
                <w:color w:val="auto"/>
                <w:sz w:val="22"/>
                <w:szCs w:val="22"/>
              </w:rPr>
            </w:pPr>
            <w:r>
              <w:rPr>
                <w:noProof/>
                <w:color w:val="auto"/>
                <w:sz w:val="22"/>
                <w:szCs w:val="22"/>
              </w:rPr>
              <w:t>212</w:t>
            </w:r>
          </w:p>
        </w:tc>
        <w:tc>
          <w:tcPr>
            <w:tcW w:w="0" w:type="auto"/>
          </w:tcPr>
          <w:p w14:paraId="3546C5FF" w14:textId="77777777" w:rsidR="00251BEB" w:rsidRPr="000653A9" w:rsidRDefault="00251BEB" w:rsidP="00253145">
            <w:pPr>
              <w:spacing w:before="40" w:after="0"/>
              <w:jc w:val="center"/>
              <w:rPr>
                <w:noProof/>
                <w:color w:val="auto"/>
                <w:sz w:val="22"/>
                <w:szCs w:val="22"/>
              </w:rPr>
            </w:pPr>
            <w:r>
              <w:rPr>
                <w:noProof/>
                <w:color w:val="auto"/>
                <w:sz w:val="22"/>
                <w:szCs w:val="22"/>
              </w:rPr>
              <w:t>187</w:t>
            </w:r>
          </w:p>
        </w:tc>
        <w:tc>
          <w:tcPr>
            <w:tcW w:w="0" w:type="auto"/>
          </w:tcPr>
          <w:p w14:paraId="7726A3CC" w14:textId="77777777" w:rsidR="00251BEB" w:rsidRPr="000653A9" w:rsidRDefault="00251BEB" w:rsidP="00253145">
            <w:pPr>
              <w:spacing w:before="40" w:after="0"/>
              <w:jc w:val="center"/>
              <w:rPr>
                <w:noProof/>
                <w:color w:val="auto"/>
                <w:sz w:val="22"/>
                <w:szCs w:val="22"/>
              </w:rPr>
            </w:pPr>
            <w:r>
              <w:rPr>
                <w:noProof/>
                <w:color w:val="auto"/>
                <w:sz w:val="22"/>
                <w:szCs w:val="22"/>
              </w:rPr>
              <w:t>163</w:t>
            </w:r>
          </w:p>
        </w:tc>
        <w:tc>
          <w:tcPr>
            <w:tcW w:w="0" w:type="auto"/>
          </w:tcPr>
          <w:p w14:paraId="2066B2FC" w14:textId="77777777" w:rsidR="00251BEB" w:rsidRPr="000653A9" w:rsidRDefault="00251BEB" w:rsidP="00253145">
            <w:pPr>
              <w:spacing w:before="40" w:after="0"/>
              <w:jc w:val="center"/>
              <w:rPr>
                <w:noProof/>
                <w:color w:val="auto"/>
                <w:sz w:val="22"/>
                <w:szCs w:val="22"/>
              </w:rPr>
            </w:pPr>
            <w:r>
              <w:rPr>
                <w:noProof/>
                <w:color w:val="auto"/>
                <w:sz w:val="22"/>
                <w:szCs w:val="22"/>
              </w:rPr>
              <w:t>139</w:t>
            </w:r>
          </w:p>
        </w:tc>
        <w:tc>
          <w:tcPr>
            <w:tcW w:w="0" w:type="auto"/>
          </w:tcPr>
          <w:p w14:paraId="1EED3A5A" w14:textId="77777777" w:rsidR="00251BEB" w:rsidRPr="000653A9" w:rsidRDefault="00251BEB" w:rsidP="00253145">
            <w:pPr>
              <w:spacing w:before="40" w:after="0"/>
              <w:jc w:val="center"/>
              <w:rPr>
                <w:noProof/>
                <w:color w:val="auto"/>
                <w:sz w:val="22"/>
                <w:szCs w:val="22"/>
              </w:rPr>
            </w:pPr>
            <w:r>
              <w:rPr>
                <w:noProof/>
                <w:color w:val="auto"/>
                <w:sz w:val="22"/>
                <w:szCs w:val="22"/>
              </w:rPr>
              <w:t>114</w:t>
            </w:r>
          </w:p>
        </w:tc>
        <w:tc>
          <w:tcPr>
            <w:tcW w:w="0" w:type="auto"/>
          </w:tcPr>
          <w:p w14:paraId="0DE44925" w14:textId="77777777" w:rsidR="00251BEB" w:rsidRPr="000653A9" w:rsidRDefault="00251BEB" w:rsidP="00253145">
            <w:pPr>
              <w:spacing w:before="40" w:after="0"/>
              <w:jc w:val="center"/>
              <w:rPr>
                <w:noProof/>
                <w:color w:val="auto"/>
                <w:sz w:val="22"/>
                <w:szCs w:val="22"/>
              </w:rPr>
            </w:pPr>
            <w:r>
              <w:rPr>
                <w:noProof/>
                <w:color w:val="auto"/>
                <w:sz w:val="22"/>
                <w:szCs w:val="22"/>
              </w:rPr>
              <w:t>90</w:t>
            </w:r>
          </w:p>
        </w:tc>
      </w:tr>
      <w:tr w:rsidR="00251BEB" w:rsidRPr="000653A9" w14:paraId="0D2D8375" w14:textId="77777777" w:rsidTr="00253145">
        <w:tc>
          <w:tcPr>
            <w:tcW w:w="0" w:type="auto"/>
          </w:tcPr>
          <w:p w14:paraId="0D4F7541" w14:textId="77777777" w:rsidR="00251BEB" w:rsidRPr="000653A9" w:rsidRDefault="00251BEB" w:rsidP="00253145">
            <w:pPr>
              <w:spacing w:before="40" w:after="0"/>
              <w:jc w:val="left"/>
              <w:rPr>
                <w:noProof/>
                <w:color w:val="auto"/>
                <w:sz w:val="22"/>
                <w:szCs w:val="22"/>
              </w:rPr>
            </w:pPr>
            <w:r>
              <w:rPr>
                <w:noProof/>
                <w:color w:val="auto"/>
                <w:sz w:val="22"/>
                <w:szCs w:val="22"/>
              </w:rPr>
              <w:t>FA (Preliminary)</w:t>
            </w:r>
          </w:p>
        </w:tc>
        <w:tc>
          <w:tcPr>
            <w:tcW w:w="0" w:type="auto"/>
          </w:tcPr>
          <w:p w14:paraId="3C520951" w14:textId="77777777" w:rsidR="00251BEB" w:rsidRPr="000653A9" w:rsidRDefault="00251BEB" w:rsidP="00253145">
            <w:pPr>
              <w:spacing w:before="40" w:after="0"/>
              <w:jc w:val="center"/>
              <w:rPr>
                <w:noProof/>
                <w:color w:val="auto"/>
                <w:sz w:val="22"/>
                <w:szCs w:val="22"/>
              </w:rPr>
            </w:pPr>
            <w:r>
              <w:rPr>
                <w:noProof/>
                <w:color w:val="auto"/>
                <w:sz w:val="22"/>
                <w:szCs w:val="22"/>
              </w:rPr>
              <w:t>350</w:t>
            </w:r>
          </w:p>
        </w:tc>
        <w:tc>
          <w:tcPr>
            <w:tcW w:w="0" w:type="auto"/>
          </w:tcPr>
          <w:p w14:paraId="323C45F0" w14:textId="77777777" w:rsidR="00251BEB" w:rsidRPr="000653A9" w:rsidRDefault="00251BEB" w:rsidP="00253145">
            <w:pPr>
              <w:spacing w:before="40" w:after="0"/>
              <w:jc w:val="center"/>
              <w:rPr>
                <w:noProof/>
                <w:color w:val="auto"/>
                <w:sz w:val="22"/>
                <w:szCs w:val="22"/>
              </w:rPr>
            </w:pPr>
            <w:r>
              <w:rPr>
                <w:noProof/>
                <w:color w:val="auto"/>
                <w:sz w:val="22"/>
                <w:szCs w:val="22"/>
              </w:rPr>
              <w:t>333</w:t>
            </w:r>
          </w:p>
        </w:tc>
        <w:tc>
          <w:tcPr>
            <w:tcW w:w="0" w:type="auto"/>
          </w:tcPr>
          <w:p w14:paraId="4D53D60A" w14:textId="77777777" w:rsidR="00251BEB" w:rsidRPr="000653A9" w:rsidRDefault="00251BEB" w:rsidP="00253145">
            <w:pPr>
              <w:spacing w:before="40" w:after="0"/>
              <w:jc w:val="center"/>
              <w:rPr>
                <w:noProof/>
                <w:color w:val="auto"/>
                <w:sz w:val="22"/>
                <w:szCs w:val="22"/>
              </w:rPr>
            </w:pPr>
            <w:r>
              <w:rPr>
                <w:noProof/>
                <w:color w:val="auto"/>
                <w:sz w:val="22"/>
                <w:szCs w:val="22"/>
              </w:rPr>
              <w:t>316</w:t>
            </w:r>
          </w:p>
        </w:tc>
        <w:tc>
          <w:tcPr>
            <w:tcW w:w="0" w:type="auto"/>
          </w:tcPr>
          <w:p w14:paraId="24470CE9" w14:textId="77777777" w:rsidR="00251BEB" w:rsidRPr="000653A9" w:rsidRDefault="00251BEB" w:rsidP="00253145">
            <w:pPr>
              <w:spacing w:before="40" w:after="0"/>
              <w:jc w:val="center"/>
              <w:rPr>
                <w:noProof/>
                <w:color w:val="auto"/>
                <w:sz w:val="22"/>
                <w:szCs w:val="22"/>
              </w:rPr>
            </w:pPr>
            <w:r>
              <w:rPr>
                <w:noProof/>
                <w:color w:val="auto"/>
                <w:sz w:val="22"/>
                <w:szCs w:val="22"/>
              </w:rPr>
              <w:t>282</w:t>
            </w:r>
          </w:p>
        </w:tc>
        <w:tc>
          <w:tcPr>
            <w:tcW w:w="0" w:type="auto"/>
          </w:tcPr>
          <w:p w14:paraId="54C700DD" w14:textId="77777777" w:rsidR="00251BEB" w:rsidRPr="000653A9" w:rsidRDefault="00251BEB" w:rsidP="00253145">
            <w:pPr>
              <w:spacing w:before="40" w:after="0"/>
              <w:jc w:val="center"/>
              <w:rPr>
                <w:noProof/>
                <w:color w:val="auto"/>
                <w:sz w:val="22"/>
                <w:szCs w:val="22"/>
              </w:rPr>
            </w:pPr>
            <w:r>
              <w:rPr>
                <w:noProof/>
                <w:color w:val="auto"/>
                <w:sz w:val="22"/>
                <w:szCs w:val="22"/>
              </w:rPr>
              <w:t>282</w:t>
            </w:r>
          </w:p>
        </w:tc>
        <w:tc>
          <w:tcPr>
            <w:tcW w:w="0" w:type="auto"/>
          </w:tcPr>
          <w:p w14:paraId="7178FD4B" w14:textId="77777777" w:rsidR="00251BEB" w:rsidRPr="000653A9" w:rsidRDefault="00251BEB" w:rsidP="00253145">
            <w:pPr>
              <w:spacing w:before="40" w:after="0"/>
              <w:jc w:val="center"/>
              <w:rPr>
                <w:noProof/>
                <w:color w:val="auto"/>
                <w:sz w:val="22"/>
                <w:szCs w:val="22"/>
              </w:rPr>
            </w:pPr>
            <w:r>
              <w:rPr>
                <w:noProof/>
                <w:color w:val="auto"/>
                <w:sz w:val="22"/>
                <w:szCs w:val="22"/>
              </w:rPr>
              <w:t>254</w:t>
            </w:r>
          </w:p>
        </w:tc>
        <w:tc>
          <w:tcPr>
            <w:tcW w:w="0" w:type="auto"/>
          </w:tcPr>
          <w:p w14:paraId="499A0C60" w14:textId="77777777" w:rsidR="00251BEB" w:rsidRPr="000653A9" w:rsidRDefault="00251BEB" w:rsidP="00253145">
            <w:pPr>
              <w:spacing w:before="40" w:after="0"/>
              <w:jc w:val="center"/>
              <w:rPr>
                <w:noProof/>
                <w:color w:val="auto"/>
                <w:sz w:val="22"/>
                <w:szCs w:val="22"/>
              </w:rPr>
            </w:pPr>
            <w:r>
              <w:rPr>
                <w:noProof/>
                <w:color w:val="auto"/>
                <w:sz w:val="22"/>
                <w:szCs w:val="22"/>
              </w:rPr>
              <w:t>254</w:t>
            </w:r>
          </w:p>
        </w:tc>
        <w:tc>
          <w:tcPr>
            <w:tcW w:w="0" w:type="auto"/>
          </w:tcPr>
          <w:p w14:paraId="35D98888" w14:textId="77777777" w:rsidR="00251BEB" w:rsidRPr="000653A9" w:rsidRDefault="00251BEB" w:rsidP="00253145">
            <w:pPr>
              <w:spacing w:before="40" w:after="0"/>
              <w:jc w:val="center"/>
              <w:rPr>
                <w:noProof/>
                <w:color w:val="auto"/>
                <w:sz w:val="22"/>
                <w:szCs w:val="22"/>
              </w:rPr>
            </w:pPr>
            <w:r>
              <w:rPr>
                <w:noProof/>
                <w:color w:val="auto"/>
                <w:sz w:val="22"/>
                <w:szCs w:val="22"/>
              </w:rPr>
              <w:t>254</w:t>
            </w:r>
          </w:p>
        </w:tc>
        <w:tc>
          <w:tcPr>
            <w:tcW w:w="0" w:type="auto"/>
          </w:tcPr>
          <w:p w14:paraId="75579215" w14:textId="77777777" w:rsidR="00251BEB" w:rsidRPr="000653A9" w:rsidRDefault="00251BEB" w:rsidP="00253145">
            <w:pPr>
              <w:spacing w:before="40" w:after="0"/>
              <w:jc w:val="center"/>
              <w:rPr>
                <w:noProof/>
                <w:color w:val="auto"/>
                <w:sz w:val="22"/>
                <w:szCs w:val="22"/>
              </w:rPr>
            </w:pPr>
            <w:r>
              <w:rPr>
                <w:noProof/>
                <w:color w:val="auto"/>
                <w:sz w:val="22"/>
                <w:szCs w:val="22"/>
              </w:rPr>
              <w:t>253</w:t>
            </w:r>
          </w:p>
        </w:tc>
        <w:tc>
          <w:tcPr>
            <w:tcW w:w="0" w:type="auto"/>
          </w:tcPr>
          <w:p w14:paraId="3B8C372D" w14:textId="77777777" w:rsidR="00251BEB" w:rsidRPr="000653A9" w:rsidRDefault="00251BEB" w:rsidP="00253145">
            <w:pPr>
              <w:spacing w:before="40" w:after="0"/>
              <w:jc w:val="center"/>
              <w:rPr>
                <w:noProof/>
                <w:color w:val="auto"/>
                <w:sz w:val="22"/>
                <w:szCs w:val="22"/>
              </w:rPr>
            </w:pPr>
            <w:r>
              <w:rPr>
                <w:noProof/>
                <w:color w:val="auto"/>
                <w:sz w:val="22"/>
                <w:szCs w:val="22"/>
              </w:rPr>
              <w:t>253</w:t>
            </w:r>
          </w:p>
        </w:tc>
      </w:tr>
      <w:tr w:rsidR="00251BEB" w:rsidRPr="000653A9" w14:paraId="1DAD6192" w14:textId="77777777" w:rsidTr="00253145">
        <w:tc>
          <w:tcPr>
            <w:tcW w:w="0" w:type="auto"/>
          </w:tcPr>
          <w:p w14:paraId="2618C545" w14:textId="77777777" w:rsidR="00251BEB" w:rsidRPr="000653A9" w:rsidRDefault="00251BEB" w:rsidP="00253145">
            <w:pPr>
              <w:spacing w:before="40" w:after="0"/>
              <w:jc w:val="left"/>
              <w:rPr>
                <w:noProof/>
                <w:color w:val="auto"/>
                <w:sz w:val="22"/>
                <w:szCs w:val="22"/>
              </w:rPr>
            </w:pPr>
            <w:r>
              <w:rPr>
                <w:noProof/>
                <w:color w:val="auto"/>
                <w:sz w:val="22"/>
                <w:szCs w:val="22"/>
              </w:rPr>
              <w:t>CSCF</w:t>
            </w:r>
          </w:p>
        </w:tc>
        <w:tc>
          <w:tcPr>
            <w:tcW w:w="0" w:type="auto"/>
          </w:tcPr>
          <w:p w14:paraId="1F54B086" w14:textId="77777777" w:rsidR="00251BEB" w:rsidRPr="000653A9" w:rsidRDefault="00251BEB" w:rsidP="00253145">
            <w:pPr>
              <w:spacing w:before="40" w:after="0"/>
              <w:jc w:val="center"/>
              <w:rPr>
                <w:noProof/>
                <w:color w:val="auto"/>
                <w:sz w:val="22"/>
                <w:szCs w:val="22"/>
              </w:rPr>
            </w:pPr>
            <w:r>
              <w:rPr>
                <w:noProof/>
                <w:color w:val="auto"/>
                <w:sz w:val="22"/>
                <w:szCs w:val="22"/>
              </w:rPr>
              <w:t>0.92</w:t>
            </w:r>
          </w:p>
        </w:tc>
        <w:tc>
          <w:tcPr>
            <w:tcW w:w="0" w:type="auto"/>
          </w:tcPr>
          <w:p w14:paraId="0F04D0F6" w14:textId="77777777" w:rsidR="00251BEB" w:rsidRPr="000653A9" w:rsidRDefault="00251BEB" w:rsidP="00253145">
            <w:pPr>
              <w:spacing w:before="40" w:after="0"/>
              <w:jc w:val="center"/>
              <w:rPr>
                <w:noProof/>
                <w:color w:val="auto"/>
                <w:sz w:val="22"/>
                <w:szCs w:val="22"/>
              </w:rPr>
            </w:pPr>
            <w:r>
              <w:rPr>
                <w:noProof/>
                <w:color w:val="auto"/>
                <w:sz w:val="22"/>
                <w:szCs w:val="22"/>
              </w:rPr>
              <w:t>0.88</w:t>
            </w:r>
          </w:p>
        </w:tc>
        <w:tc>
          <w:tcPr>
            <w:tcW w:w="0" w:type="auto"/>
          </w:tcPr>
          <w:p w14:paraId="46D11D65" w14:textId="77777777" w:rsidR="00251BEB" w:rsidRPr="000653A9" w:rsidRDefault="00251BEB" w:rsidP="00253145">
            <w:pPr>
              <w:spacing w:before="40" w:after="0"/>
              <w:jc w:val="center"/>
              <w:rPr>
                <w:noProof/>
                <w:color w:val="auto"/>
                <w:sz w:val="22"/>
                <w:szCs w:val="22"/>
              </w:rPr>
            </w:pPr>
            <w:r>
              <w:rPr>
                <w:noProof/>
                <w:color w:val="auto"/>
                <w:sz w:val="22"/>
                <w:szCs w:val="22"/>
              </w:rPr>
              <w:t>0.85</w:t>
            </w:r>
          </w:p>
        </w:tc>
        <w:tc>
          <w:tcPr>
            <w:tcW w:w="0" w:type="auto"/>
          </w:tcPr>
          <w:p w14:paraId="5F619617" w14:textId="77777777" w:rsidR="00251BEB" w:rsidRPr="000653A9" w:rsidRDefault="00251BEB" w:rsidP="00253145">
            <w:pPr>
              <w:spacing w:before="40" w:after="0"/>
              <w:jc w:val="center"/>
              <w:rPr>
                <w:noProof/>
                <w:color w:val="auto"/>
                <w:sz w:val="22"/>
                <w:szCs w:val="22"/>
              </w:rPr>
            </w:pPr>
            <w:r>
              <w:rPr>
                <w:noProof/>
                <w:color w:val="auto"/>
                <w:sz w:val="22"/>
                <w:szCs w:val="22"/>
              </w:rPr>
              <w:t>0.85</w:t>
            </w:r>
          </w:p>
        </w:tc>
        <w:tc>
          <w:tcPr>
            <w:tcW w:w="0" w:type="auto"/>
          </w:tcPr>
          <w:p w14:paraId="3DC7C77F" w14:textId="77777777" w:rsidR="00251BEB" w:rsidRPr="000653A9" w:rsidRDefault="00251BEB" w:rsidP="00253145">
            <w:pPr>
              <w:spacing w:before="40" w:after="0"/>
              <w:jc w:val="center"/>
              <w:rPr>
                <w:noProof/>
                <w:color w:val="auto"/>
                <w:sz w:val="22"/>
                <w:szCs w:val="22"/>
              </w:rPr>
            </w:pPr>
            <w:r>
              <w:rPr>
                <w:noProof/>
                <w:color w:val="auto"/>
                <w:sz w:val="22"/>
                <w:szCs w:val="22"/>
              </w:rPr>
              <w:t>0.75</w:t>
            </w:r>
          </w:p>
        </w:tc>
        <w:tc>
          <w:tcPr>
            <w:tcW w:w="0" w:type="auto"/>
          </w:tcPr>
          <w:p w14:paraId="343D367E" w14:textId="77777777" w:rsidR="00251BEB" w:rsidRPr="000653A9" w:rsidRDefault="00251BEB" w:rsidP="00253145">
            <w:pPr>
              <w:spacing w:before="40" w:after="0"/>
              <w:jc w:val="center"/>
              <w:rPr>
                <w:noProof/>
                <w:color w:val="auto"/>
                <w:sz w:val="22"/>
                <w:szCs w:val="22"/>
              </w:rPr>
            </w:pPr>
            <w:r>
              <w:rPr>
                <w:noProof/>
                <w:color w:val="auto"/>
                <w:sz w:val="22"/>
                <w:szCs w:val="22"/>
              </w:rPr>
              <w:t>0.74</w:t>
            </w:r>
          </w:p>
        </w:tc>
        <w:tc>
          <w:tcPr>
            <w:tcW w:w="0" w:type="auto"/>
          </w:tcPr>
          <w:p w14:paraId="2B605412" w14:textId="77777777" w:rsidR="00251BEB" w:rsidRPr="000653A9" w:rsidRDefault="00251BEB" w:rsidP="00253145">
            <w:pPr>
              <w:spacing w:before="40" w:after="0"/>
              <w:jc w:val="center"/>
              <w:rPr>
                <w:noProof/>
                <w:color w:val="auto"/>
                <w:sz w:val="22"/>
                <w:szCs w:val="22"/>
              </w:rPr>
            </w:pPr>
            <w:r>
              <w:rPr>
                <w:noProof/>
                <w:color w:val="auto"/>
                <w:sz w:val="22"/>
                <w:szCs w:val="22"/>
              </w:rPr>
              <w:t>0.64</w:t>
            </w:r>
          </w:p>
        </w:tc>
        <w:tc>
          <w:tcPr>
            <w:tcW w:w="0" w:type="auto"/>
          </w:tcPr>
          <w:p w14:paraId="2985F747" w14:textId="77777777" w:rsidR="00251BEB" w:rsidRPr="000653A9" w:rsidRDefault="00251BEB" w:rsidP="00253145">
            <w:pPr>
              <w:spacing w:before="40" w:after="0"/>
              <w:jc w:val="center"/>
              <w:rPr>
                <w:noProof/>
                <w:color w:val="auto"/>
                <w:sz w:val="22"/>
                <w:szCs w:val="22"/>
              </w:rPr>
            </w:pPr>
            <w:r>
              <w:rPr>
                <w:noProof/>
                <w:color w:val="auto"/>
                <w:sz w:val="22"/>
                <w:szCs w:val="22"/>
              </w:rPr>
              <w:t>0.55</w:t>
            </w:r>
          </w:p>
        </w:tc>
        <w:tc>
          <w:tcPr>
            <w:tcW w:w="0" w:type="auto"/>
          </w:tcPr>
          <w:p w14:paraId="136C363D" w14:textId="77777777" w:rsidR="00251BEB" w:rsidRPr="000653A9" w:rsidRDefault="00251BEB" w:rsidP="00253145">
            <w:pPr>
              <w:spacing w:before="40" w:after="0"/>
              <w:jc w:val="center"/>
              <w:rPr>
                <w:noProof/>
                <w:color w:val="auto"/>
                <w:sz w:val="22"/>
                <w:szCs w:val="22"/>
              </w:rPr>
            </w:pPr>
            <w:r>
              <w:rPr>
                <w:noProof/>
                <w:color w:val="auto"/>
                <w:sz w:val="22"/>
                <w:szCs w:val="22"/>
              </w:rPr>
              <w:t>0.45</w:t>
            </w:r>
          </w:p>
        </w:tc>
        <w:tc>
          <w:tcPr>
            <w:tcW w:w="0" w:type="auto"/>
          </w:tcPr>
          <w:p w14:paraId="396974AA" w14:textId="77777777" w:rsidR="00251BEB" w:rsidRPr="000653A9" w:rsidRDefault="00251BEB" w:rsidP="00253145">
            <w:pPr>
              <w:spacing w:before="40" w:after="0"/>
              <w:jc w:val="center"/>
              <w:rPr>
                <w:noProof/>
                <w:color w:val="auto"/>
                <w:sz w:val="22"/>
                <w:szCs w:val="22"/>
              </w:rPr>
            </w:pPr>
            <w:r>
              <w:rPr>
                <w:noProof/>
                <w:color w:val="auto"/>
                <w:sz w:val="22"/>
                <w:szCs w:val="22"/>
              </w:rPr>
              <w:t>0.36</w:t>
            </w:r>
          </w:p>
        </w:tc>
      </w:tr>
      <w:tr w:rsidR="00251BEB" w:rsidRPr="000653A9" w14:paraId="586A7AEE" w14:textId="77777777" w:rsidTr="00253145">
        <w:tc>
          <w:tcPr>
            <w:tcW w:w="0" w:type="auto"/>
            <w:vAlign w:val="center"/>
          </w:tcPr>
          <w:p w14:paraId="1F84E047" w14:textId="77777777" w:rsidR="00251BEB" w:rsidRPr="000653A9" w:rsidRDefault="00251BEB" w:rsidP="00253145">
            <w:pPr>
              <w:spacing w:before="40" w:after="0"/>
              <w:jc w:val="left"/>
              <w:rPr>
                <w:noProof/>
                <w:color w:val="auto"/>
                <w:sz w:val="22"/>
                <w:szCs w:val="22"/>
              </w:rPr>
            </w:pPr>
            <w:r>
              <w:rPr>
                <w:noProof/>
                <w:sz w:val="22"/>
                <w:szCs w:val="22"/>
              </w:rPr>
              <w:t>FA (before CBAM phase out)</w:t>
            </w:r>
          </w:p>
        </w:tc>
        <w:tc>
          <w:tcPr>
            <w:tcW w:w="0" w:type="auto"/>
          </w:tcPr>
          <w:p w14:paraId="479CCD26" w14:textId="77777777" w:rsidR="00251BEB" w:rsidRPr="000653A9" w:rsidRDefault="00251BEB" w:rsidP="00253145">
            <w:pPr>
              <w:spacing w:before="40" w:after="0"/>
              <w:jc w:val="center"/>
              <w:rPr>
                <w:noProof/>
                <w:color w:val="auto"/>
                <w:sz w:val="22"/>
                <w:szCs w:val="22"/>
              </w:rPr>
            </w:pPr>
            <w:r>
              <w:rPr>
                <w:noProof/>
                <w:color w:val="auto"/>
                <w:sz w:val="22"/>
                <w:szCs w:val="22"/>
              </w:rPr>
              <w:t>320</w:t>
            </w:r>
          </w:p>
        </w:tc>
        <w:tc>
          <w:tcPr>
            <w:tcW w:w="0" w:type="auto"/>
          </w:tcPr>
          <w:p w14:paraId="6576FDF9" w14:textId="77777777" w:rsidR="00251BEB" w:rsidRPr="000653A9" w:rsidRDefault="00251BEB" w:rsidP="00253145">
            <w:pPr>
              <w:spacing w:before="40" w:after="0"/>
              <w:jc w:val="center"/>
              <w:rPr>
                <w:noProof/>
                <w:color w:val="auto"/>
                <w:sz w:val="22"/>
                <w:szCs w:val="22"/>
              </w:rPr>
            </w:pPr>
            <w:r>
              <w:rPr>
                <w:noProof/>
                <w:color w:val="auto"/>
                <w:sz w:val="22"/>
                <w:szCs w:val="22"/>
              </w:rPr>
              <w:t>293</w:t>
            </w:r>
          </w:p>
        </w:tc>
        <w:tc>
          <w:tcPr>
            <w:tcW w:w="0" w:type="auto"/>
          </w:tcPr>
          <w:p w14:paraId="20FA2B20" w14:textId="77777777" w:rsidR="00251BEB" w:rsidRPr="000653A9" w:rsidRDefault="00251BEB" w:rsidP="00253145">
            <w:pPr>
              <w:spacing w:before="40" w:after="0"/>
              <w:jc w:val="center"/>
              <w:rPr>
                <w:noProof/>
                <w:color w:val="auto"/>
                <w:sz w:val="22"/>
                <w:szCs w:val="22"/>
              </w:rPr>
            </w:pPr>
            <w:r>
              <w:rPr>
                <w:noProof/>
                <w:color w:val="auto"/>
                <w:sz w:val="22"/>
                <w:szCs w:val="22"/>
              </w:rPr>
              <w:t>267</w:t>
            </w:r>
          </w:p>
        </w:tc>
        <w:tc>
          <w:tcPr>
            <w:tcW w:w="0" w:type="auto"/>
          </w:tcPr>
          <w:p w14:paraId="38553328" w14:textId="77777777" w:rsidR="00251BEB" w:rsidRPr="000653A9" w:rsidRDefault="00251BEB" w:rsidP="00253145">
            <w:pPr>
              <w:spacing w:before="40" w:after="0"/>
              <w:jc w:val="center"/>
              <w:rPr>
                <w:noProof/>
                <w:color w:val="auto"/>
                <w:sz w:val="22"/>
                <w:szCs w:val="22"/>
              </w:rPr>
            </w:pPr>
            <w:r>
              <w:rPr>
                <w:noProof/>
                <w:color w:val="auto"/>
                <w:sz w:val="22"/>
                <w:szCs w:val="22"/>
              </w:rPr>
              <w:t>240</w:t>
            </w:r>
          </w:p>
        </w:tc>
        <w:tc>
          <w:tcPr>
            <w:tcW w:w="0" w:type="auto"/>
          </w:tcPr>
          <w:p w14:paraId="379858C7" w14:textId="77777777" w:rsidR="00251BEB" w:rsidRPr="000653A9" w:rsidRDefault="00251BEB" w:rsidP="00253145">
            <w:pPr>
              <w:spacing w:before="40" w:after="0"/>
              <w:jc w:val="center"/>
              <w:rPr>
                <w:noProof/>
                <w:color w:val="auto"/>
                <w:sz w:val="22"/>
                <w:szCs w:val="22"/>
              </w:rPr>
            </w:pPr>
            <w:r>
              <w:rPr>
                <w:noProof/>
                <w:color w:val="auto"/>
                <w:sz w:val="22"/>
                <w:szCs w:val="22"/>
              </w:rPr>
              <w:t>212</w:t>
            </w:r>
          </w:p>
        </w:tc>
        <w:tc>
          <w:tcPr>
            <w:tcW w:w="0" w:type="auto"/>
          </w:tcPr>
          <w:p w14:paraId="6A929C90" w14:textId="77777777" w:rsidR="00251BEB" w:rsidRPr="000653A9" w:rsidRDefault="00251BEB" w:rsidP="00253145">
            <w:pPr>
              <w:spacing w:before="40" w:after="0"/>
              <w:jc w:val="center"/>
              <w:rPr>
                <w:noProof/>
                <w:color w:val="auto"/>
                <w:sz w:val="22"/>
                <w:szCs w:val="22"/>
              </w:rPr>
            </w:pPr>
            <w:r>
              <w:rPr>
                <w:noProof/>
                <w:color w:val="auto"/>
                <w:sz w:val="22"/>
                <w:szCs w:val="22"/>
              </w:rPr>
              <w:t>187</w:t>
            </w:r>
          </w:p>
        </w:tc>
        <w:tc>
          <w:tcPr>
            <w:tcW w:w="0" w:type="auto"/>
          </w:tcPr>
          <w:p w14:paraId="158D2B17" w14:textId="77777777" w:rsidR="00251BEB" w:rsidRPr="000653A9" w:rsidRDefault="00251BEB" w:rsidP="00253145">
            <w:pPr>
              <w:spacing w:before="40" w:after="0"/>
              <w:jc w:val="center"/>
              <w:rPr>
                <w:noProof/>
                <w:color w:val="auto"/>
                <w:sz w:val="22"/>
                <w:szCs w:val="22"/>
              </w:rPr>
            </w:pPr>
            <w:r>
              <w:rPr>
                <w:noProof/>
                <w:color w:val="auto"/>
                <w:sz w:val="22"/>
                <w:szCs w:val="22"/>
              </w:rPr>
              <w:t>163</w:t>
            </w:r>
          </w:p>
        </w:tc>
        <w:tc>
          <w:tcPr>
            <w:tcW w:w="0" w:type="auto"/>
          </w:tcPr>
          <w:p w14:paraId="63BABE9C" w14:textId="77777777" w:rsidR="00251BEB" w:rsidRPr="000653A9" w:rsidRDefault="00251BEB" w:rsidP="00253145">
            <w:pPr>
              <w:spacing w:before="40" w:after="0"/>
              <w:jc w:val="center"/>
              <w:rPr>
                <w:noProof/>
                <w:color w:val="auto"/>
                <w:sz w:val="22"/>
                <w:szCs w:val="22"/>
              </w:rPr>
            </w:pPr>
            <w:r>
              <w:rPr>
                <w:noProof/>
                <w:color w:val="auto"/>
                <w:sz w:val="22"/>
                <w:szCs w:val="22"/>
              </w:rPr>
              <w:t>139</w:t>
            </w:r>
          </w:p>
        </w:tc>
        <w:tc>
          <w:tcPr>
            <w:tcW w:w="0" w:type="auto"/>
          </w:tcPr>
          <w:p w14:paraId="0E2F5BCA" w14:textId="77777777" w:rsidR="00251BEB" w:rsidRPr="000653A9" w:rsidRDefault="00251BEB" w:rsidP="00253145">
            <w:pPr>
              <w:spacing w:before="40" w:after="0"/>
              <w:jc w:val="center"/>
              <w:rPr>
                <w:noProof/>
                <w:color w:val="auto"/>
                <w:sz w:val="22"/>
                <w:szCs w:val="22"/>
              </w:rPr>
            </w:pPr>
            <w:r>
              <w:rPr>
                <w:noProof/>
                <w:color w:val="auto"/>
                <w:sz w:val="22"/>
                <w:szCs w:val="22"/>
              </w:rPr>
              <w:t>114</w:t>
            </w:r>
          </w:p>
        </w:tc>
        <w:tc>
          <w:tcPr>
            <w:tcW w:w="0" w:type="auto"/>
          </w:tcPr>
          <w:p w14:paraId="49E10430" w14:textId="77777777" w:rsidR="00251BEB" w:rsidRPr="000653A9" w:rsidRDefault="00251BEB" w:rsidP="00253145">
            <w:pPr>
              <w:spacing w:before="40" w:after="0"/>
              <w:jc w:val="center"/>
              <w:rPr>
                <w:noProof/>
                <w:color w:val="auto"/>
                <w:sz w:val="22"/>
                <w:szCs w:val="22"/>
              </w:rPr>
            </w:pPr>
            <w:r>
              <w:rPr>
                <w:noProof/>
                <w:color w:val="auto"/>
                <w:sz w:val="22"/>
                <w:szCs w:val="22"/>
              </w:rPr>
              <w:t>90</w:t>
            </w:r>
          </w:p>
        </w:tc>
      </w:tr>
      <w:tr w:rsidR="00251BEB" w:rsidRPr="000653A9" w14:paraId="15BB3D9D" w14:textId="77777777" w:rsidTr="00253145">
        <w:tc>
          <w:tcPr>
            <w:tcW w:w="0" w:type="auto"/>
            <w:vAlign w:val="center"/>
          </w:tcPr>
          <w:p w14:paraId="07FADFF8" w14:textId="77777777" w:rsidR="00251BEB" w:rsidRPr="000653A9" w:rsidRDefault="00251BEB" w:rsidP="00253145">
            <w:pPr>
              <w:spacing w:before="40" w:after="0"/>
              <w:jc w:val="left"/>
              <w:rPr>
                <w:noProof/>
                <w:color w:val="auto"/>
                <w:sz w:val="22"/>
                <w:szCs w:val="22"/>
              </w:rPr>
            </w:pPr>
            <w:r>
              <w:rPr>
                <w:noProof/>
                <w:sz w:val="22"/>
                <w:szCs w:val="22"/>
              </w:rPr>
              <w:t>FA (after CBAM phase out)</w:t>
            </w:r>
          </w:p>
        </w:tc>
        <w:tc>
          <w:tcPr>
            <w:tcW w:w="0" w:type="auto"/>
          </w:tcPr>
          <w:p w14:paraId="3E6EE8F6" w14:textId="77777777" w:rsidR="00251BEB" w:rsidRPr="000653A9" w:rsidRDefault="00251BEB" w:rsidP="00253145">
            <w:pPr>
              <w:spacing w:before="40" w:after="0"/>
              <w:jc w:val="center"/>
              <w:rPr>
                <w:noProof/>
                <w:color w:val="auto"/>
                <w:sz w:val="22"/>
                <w:szCs w:val="22"/>
              </w:rPr>
            </w:pPr>
            <w:r>
              <w:rPr>
                <w:noProof/>
                <w:color w:val="auto"/>
                <w:sz w:val="22"/>
                <w:szCs w:val="22"/>
              </w:rPr>
              <w:t>226</w:t>
            </w:r>
          </w:p>
        </w:tc>
        <w:tc>
          <w:tcPr>
            <w:tcW w:w="0" w:type="auto"/>
          </w:tcPr>
          <w:p w14:paraId="3FEC043A" w14:textId="77777777" w:rsidR="00251BEB" w:rsidRPr="000653A9" w:rsidRDefault="00251BEB" w:rsidP="00253145">
            <w:pPr>
              <w:spacing w:before="40" w:after="0"/>
              <w:jc w:val="center"/>
              <w:rPr>
                <w:noProof/>
                <w:color w:val="auto"/>
                <w:sz w:val="22"/>
                <w:szCs w:val="22"/>
              </w:rPr>
            </w:pPr>
            <w:r>
              <w:rPr>
                <w:noProof/>
                <w:color w:val="auto"/>
                <w:sz w:val="22"/>
                <w:szCs w:val="22"/>
              </w:rPr>
              <w:t>184</w:t>
            </w:r>
          </w:p>
        </w:tc>
        <w:tc>
          <w:tcPr>
            <w:tcW w:w="0" w:type="auto"/>
          </w:tcPr>
          <w:p w14:paraId="5C6AFD42" w14:textId="77777777" w:rsidR="00251BEB" w:rsidRPr="000653A9" w:rsidRDefault="00251BEB" w:rsidP="00253145">
            <w:pPr>
              <w:spacing w:before="40" w:after="0"/>
              <w:jc w:val="center"/>
              <w:rPr>
                <w:noProof/>
                <w:color w:val="auto"/>
                <w:sz w:val="22"/>
                <w:szCs w:val="22"/>
              </w:rPr>
            </w:pPr>
            <w:r>
              <w:rPr>
                <w:noProof/>
                <w:color w:val="auto"/>
                <w:sz w:val="22"/>
                <w:szCs w:val="22"/>
              </w:rPr>
              <w:t>145</w:t>
            </w:r>
          </w:p>
        </w:tc>
        <w:tc>
          <w:tcPr>
            <w:tcW w:w="0" w:type="auto"/>
          </w:tcPr>
          <w:p w14:paraId="0F82C52A" w14:textId="77777777" w:rsidR="00251BEB" w:rsidRPr="000653A9" w:rsidRDefault="00251BEB" w:rsidP="00253145">
            <w:pPr>
              <w:spacing w:before="40" w:after="0"/>
              <w:jc w:val="center"/>
              <w:rPr>
                <w:noProof/>
                <w:color w:val="auto"/>
                <w:sz w:val="22"/>
                <w:szCs w:val="22"/>
              </w:rPr>
            </w:pPr>
            <w:r>
              <w:rPr>
                <w:noProof/>
                <w:color w:val="auto"/>
                <w:sz w:val="22"/>
                <w:szCs w:val="22"/>
              </w:rPr>
              <w:t>97</w:t>
            </w:r>
          </w:p>
        </w:tc>
        <w:tc>
          <w:tcPr>
            <w:tcW w:w="0" w:type="auto"/>
          </w:tcPr>
          <w:p w14:paraId="26D29D39" w14:textId="77777777" w:rsidR="00251BEB" w:rsidRPr="000653A9" w:rsidRDefault="00251BEB" w:rsidP="00253145">
            <w:pPr>
              <w:spacing w:before="40" w:after="0"/>
              <w:jc w:val="center"/>
              <w:rPr>
                <w:noProof/>
                <w:color w:val="auto"/>
                <w:sz w:val="22"/>
                <w:szCs w:val="22"/>
              </w:rPr>
            </w:pPr>
            <w:r>
              <w:rPr>
                <w:noProof/>
                <w:color w:val="auto"/>
                <w:sz w:val="22"/>
                <w:szCs w:val="22"/>
              </w:rPr>
              <w:t>85</w:t>
            </w:r>
          </w:p>
        </w:tc>
        <w:tc>
          <w:tcPr>
            <w:tcW w:w="0" w:type="auto"/>
          </w:tcPr>
          <w:p w14:paraId="78E659B0" w14:textId="77777777" w:rsidR="00251BEB" w:rsidRPr="000653A9" w:rsidRDefault="00251BEB" w:rsidP="00253145">
            <w:pPr>
              <w:spacing w:before="40" w:after="0"/>
              <w:jc w:val="center"/>
              <w:rPr>
                <w:noProof/>
                <w:color w:val="auto"/>
                <w:sz w:val="22"/>
                <w:szCs w:val="22"/>
              </w:rPr>
            </w:pPr>
            <w:r>
              <w:rPr>
                <w:noProof/>
                <w:color w:val="auto"/>
                <w:sz w:val="22"/>
                <w:szCs w:val="22"/>
              </w:rPr>
              <w:t>69</w:t>
            </w:r>
          </w:p>
        </w:tc>
        <w:tc>
          <w:tcPr>
            <w:tcW w:w="0" w:type="auto"/>
          </w:tcPr>
          <w:p w14:paraId="380BA7CE" w14:textId="77777777" w:rsidR="00251BEB" w:rsidRPr="000653A9" w:rsidRDefault="00251BEB" w:rsidP="00253145">
            <w:pPr>
              <w:spacing w:before="40" w:after="0"/>
              <w:jc w:val="center"/>
              <w:rPr>
                <w:noProof/>
                <w:color w:val="auto"/>
                <w:sz w:val="22"/>
                <w:szCs w:val="22"/>
              </w:rPr>
            </w:pPr>
            <w:r>
              <w:rPr>
                <w:noProof/>
                <w:color w:val="auto"/>
                <w:sz w:val="22"/>
                <w:szCs w:val="22"/>
              </w:rPr>
              <w:t>60</w:t>
            </w:r>
          </w:p>
        </w:tc>
        <w:tc>
          <w:tcPr>
            <w:tcW w:w="0" w:type="auto"/>
          </w:tcPr>
          <w:p w14:paraId="32314ED9" w14:textId="77777777" w:rsidR="00251BEB" w:rsidRPr="000653A9" w:rsidRDefault="00251BEB" w:rsidP="00253145">
            <w:pPr>
              <w:spacing w:before="40" w:after="0"/>
              <w:jc w:val="center"/>
              <w:rPr>
                <w:noProof/>
                <w:color w:val="auto"/>
                <w:sz w:val="22"/>
                <w:szCs w:val="22"/>
              </w:rPr>
            </w:pPr>
            <w:r>
              <w:rPr>
                <w:noProof/>
                <w:color w:val="auto"/>
                <w:sz w:val="22"/>
                <w:szCs w:val="22"/>
              </w:rPr>
              <w:t>51</w:t>
            </w:r>
          </w:p>
        </w:tc>
        <w:tc>
          <w:tcPr>
            <w:tcW w:w="0" w:type="auto"/>
          </w:tcPr>
          <w:p w14:paraId="28AA9979" w14:textId="77777777" w:rsidR="00251BEB" w:rsidRPr="000653A9" w:rsidRDefault="00251BEB" w:rsidP="00253145">
            <w:pPr>
              <w:spacing w:before="40" w:after="0"/>
              <w:jc w:val="center"/>
              <w:rPr>
                <w:noProof/>
                <w:color w:val="auto"/>
                <w:sz w:val="22"/>
                <w:szCs w:val="22"/>
              </w:rPr>
            </w:pPr>
            <w:r>
              <w:rPr>
                <w:noProof/>
                <w:color w:val="auto"/>
                <w:sz w:val="22"/>
                <w:szCs w:val="22"/>
              </w:rPr>
              <w:t>42</w:t>
            </w:r>
          </w:p>
        </w:tc>
        <w:tc>
          <w:tcPr>
            <w:tcW w:w="0" w:type="auto"/>
          </w:tcPr>
          <w:p w14:paraId="33CE8B1A" w14:textId="77777777" w:rsidR="00251BEB" w:rsidRPr="000653A9" w:rsidRDefault="00251BEB" w:rsidP="00253145">
            <w:pPr>
              <w:spacing w:before="40" w:after="0"/>
              <w:jc w:val="center"/>
              <w:rPr>
                <w:noProof/>
                <w:color w:val="auto"/>
                <w:sz w:val="22"/>
                <w:szCs w:val="22"/>
              </w:rPr>
            </w:pPr>
            <w:r>
              <w:rPr>
                <w:noProof/>
                <w:color w:val="auto"/>
                <w:sz w:val="22"/>
                <w:szCs w:val="22"/>
              </w:rPr>
              <w:t>33</w:t>
            </w:r>
          </w:p>
        </w:tc>
      </w:tr>
    </w:tbl>
    <w:p w14:paraId="04FB49D8" w14:textId="70E14AF7" w:rsidR="00A24B35" w:rsidRPr="00D267FA" w:rsidRDefault="00A24B35" w:rsidP="00A24B35">
      <w:pPr>
        <w:spacing w:after="240"/>
        <w:rPr>
          <w:i/>
          <w:iCs/>
          <w:noProof/>
          <w:sz w:val="22"/>
          <w:szCs w:val="22"/>
        </w:rPr>
      </w:pPr>
      <w:r w:rsidRPr="00D267FA">
        <w:rPr>
          <w:i/>
          <w:iCs/>
          <w:noProof/>
          <w:sz w:val="20"/>
          <w:szCs w:val="20"/>
        </w:rPr>
        <w:t>Source:</w:t>
      </w:r>
      <w:r w:rsidRPr="00D267FA">
        <w:rPr>
          <w:i/>
          <w:iCs/>
          <w:noProof/>
          <w:sz w:val="22"/>
          <w:szCs w:val="22"/>
        </w:rPr>
        <w:tab/>
      </w:r>
      <w:r w:rsidRPr="00D267FA">
        <w:rPr>
          <w:i/>
          <w:iCs/>
          <w:noProof/>
          <w:sz w:val="22"/>
          <w:szCs w:val="22"/>
        </w:rPr>
        <w:tab/>
      </w:r>
      <w:r w:rsidRPr="00D267FA">
        <w:rPr>
          <w:i/>
          <w:iCs/>
          <w:noProof/>
          <w:sz w:val="20"/>
          <w:szCs w:val="20"/>
        </w:rPr>
        <w:t>Own calculation based upon preliminary NIMs data for 2019-23</w:t>
      </w:r>
    </w:p>
    <w:p w14:paraId="46C72648" w14:textId="288F88A5" w:rsidR="008F4438" w:rsidRPr="000653A9" w:rsidRDefault="008F4438" w:rsidP="00DC581A">
      <w:pPr>
        <w:rPr>
          <w:rFonts w:eastAsiaTheme="minorEastAsia"/>
          <w:bCs/>
          <w:noProof/>
          <w:color w:val="1A4596"/>
          <w:lang w:eastAsia="en-GB"/>
        </w:rPr>
      </w:pPr>
      <w:r w:rsidRPr="000653A9">
        <w:rPr>
          <w:noProof/>
        </w:rPr>
        <w:t>U</w:t>
      </w:r>
      <w:r w:rsidR="00A24B35" w:rsidRPr="000653A9">
        <w:rPr>
          <w:noProof/>
        </w:rPr>
        <w:t>nder the CL2_50 CBAM variant scenario</w:t>
      </w:r>
      <w:r w:rsidR="002E1753" w:rsidRPr="000653A9">
        <w:rPr>
          <w:noProof/>
        </w:rPr>
        <w:t xml:space="preserve">, </w:t>
      </w:r>
      <w:r w:rsidR="00AF6207" w:rsidRPr="000653A9">
        <w:rPr>
          <w:noProof/>
        </w:rPr>
        <w:t>t</w:t>
      </w:r>
      <w:r w:rsidR="00A24B35" w:rsidRPr="000653A9">
        <w:rPr>
          <w:noProof/>
        </w:rPr>
        <w:t xml:space="preserve">he manufacture of basic iron and steel and of ferro alloys (NACE code 24.10) receives </w:t>
      </w:r>
      <w:r>
        <w:rPr>
          <w:noProof/>
        </w:rPr>
        <w:t>174</w:t>
      </w:r>
      <w:r w:rsidR="00376A96" w:rsidRPr="000653A9">
        <w:rPr>
          <w:noProof/>
        </w:rPr>
        <w:t xml:space="preserve"> </w:t>
      </w:r>
      <w:r w:rsidR="00A24B35" w:rsidRPr="000653A9">
        <w:rPr>
          <w:noProof/>
        </w:rPr>
        <w:t xml:space="preserve">million EUAs for free and the manufacture of cement (NACE code 23.51) receives </w:t>
      </w:r>
      <w:r>
        <w:rPr>
          <w:noProof/>
        </w:rPr>
        <w:t>121</w:t>
      </w:r>
      <w:r w:rsidR="00376A96" w:rsidRPr="000653A9">
        <w:rPr>
          <w:noProof/>
        </w:rPr>
        <w:t xml:space="preserve"> </w:t>
      </w:r>
      <w:r w:rsidR="00A24B35" w:rsidRPr="000653A9">
        <w:rPr>
          <w:noProof/>
        </w:rPr>
        <w:t>million EUAs for free, the majority of these free allowances were distributed only up until 2034. These values are higher in the CL2_50 CBAM variant than in the CL2_50 scenario due to the return of 15% of the allowances that were initially taken away from both sectors due to the application of the CBAM factor.</w:t>
      </w:r>
    </w:p>
    <w:p w14:paraId="518B4104" w14:textId="6221D3CC" w:rsidR="00A24B35" w:rsidRPr="000653A9" w:rsidRDefault="008F4438" w:rsidP="008F4438">
      <w:pPr>
        <w:spacing w:after="240"/>
        <w:rPr>
          <w:noProof/>
          <w:u w:val="single"/>
        </w:rPr>
      </w:pPr>
      <w:r w:rsidRPr="000653A9">
        <w:rPr>
          <w:noProof/>
          <w:u w:val="single"/>
        </w:rPr>
        <w:t>CL3 (PO3)</w:t>
      </w:r>
    </w:p>
    <w:p w14:paraId="664A0893" w14:textId="0D4391C4" w:rsidR="00A24B35" w:rsidRPr="000653A9" w:rsidRDefault="0022009C" w:rsidP="00A24B35">
      <w:pPr>
        <w:rPr>
          <w:noProof/>
          <w:color w:val="auto"/>
        </w:rPr>
      </w:pPr>
      <w:r w:rsidRPr="000653A9">
        <w:rPr>
          <w:noProof/>
        </w:rPr>
        <w:t xml:space="preserve">Table </w:t>
      </w:r>
      <w:r w:rsidR="0045781B">
        <w:rPr>
          <w:noProof/>
        </w:rPr>
        <w:t>11</w:t>
      </w:r>
      <w:r w:rsidR="00A24B35" w:rsidRPr="000653A9">
        <w:rPr>
          <w:noProof/>
        </w:rPr>
        <w:t xml:space="preserve"> shows that the overall budget for free allocation between 2031-40 in CL3, which is assumed to be </w:t>
      </w:r>
      <w:r>
        <w:rPr>
          <w:noProof/>
        </w:rPr>
        <w:t>2.367</w:t>
      </w:r>
      <w:r w:rsidR="00A24B35" w:rsidRPr="000653A9">
        <w:rPr>
          <w:noProof/>
        </w:rPr>
        <w:t xml:space="preserve"> M EUAs over 2031-40, which is higher than the free allocation budget under CL1 or CL2. The preliminary free allocation was then calculated following a bottom-up approach and this resulted in a total of </w:t>
      </w:r>
      <w:r>
        <w:rPr>
          <w:noProof/>
        </w:rPr>
        <w:t>2,285</w:t>
      </w:r>
      <w:r w:rsidR="00A24B35" w:rsidRPr="000653A9">
        <w:rPr>
          <w:noProof/>
        </w:rPr>
        <w:t xml:space="preserve"> M EUAs over 2031-40. This preliminary allocation is considerably lower than under CL1 and CL2 as free allocation provision is discontinued from 2034 onwards for non-CBAM as well as CBAM sectors. Under CL3 the CSCF is only applied in 2031 and for the subsequent years the preliminary allocation is lower than the free allocation budget. In a final step, the CBAM discount factor was applied over Phase V for sub-installations covered by the CBAM and </w:t>
      </w:r>
      <w:r w:rsidR="00A24B35" w:rsidRPr="000653A9">
        <w:rPr>
          <w:noProof/>
          <w:color w:val="auto"/>
        </w:rPr>
        <w:t xml:space="preserve">this reduced the total free allocation over 2031-40 to </w:t>
      </w:r>
      <w:r>
        <w:rPr>
          <w:noProof/>
        </w:rPr>
        <w:t>487</w:t>
      </w:r>
      <w:r w:rsidR="00376A96" w:rsidRPr="000653A9">
        <w:rPr>
          <w:noProof/>
        </w:rPr>
        <w:t xml:space="preserve"> </w:t>
      </w:r>
      <w:r w:rsidR="00A24B35" w:rsidRPr="000653A9">
        <w:rPr>
          <w:noProof/>
        </w:rPr>
        <w:t>M</w:t>
      </w:r>
      <w:r w:rsidR="00376A96" w:rsidRPr="000653A9">
        <w:rPr>
          <w:noProof/>
          <w:color w:val="auto"/>
        </w:rPr>
        <w:t xml:space="preserve"> </w:t>
      </w:r>
      <w:r w:rsidR="00A24B35" w:rsidRPr="000653A9">
        <w:rPr>
          <w:noProof/>
          <w:color w:val="auto"/>
        </w:rPr>
        <w:t>EUAs in CL3.</w:t>
      </w:r>
    </w:p>
    <w:p w14:paraId="53A9615E" w14:textId="512B0177" w:rsidR="00984537" w:rsidRPr="000653A9" w:rsidRDefault="00A24B35" w:rsidP="000734FB">
      <w:pPr>
        <w:pStyle w:val="Tabletitle"/>
        <w:rPr>
          <w:noProof/>
        </w:rPr>
      </w:pPr>
      <w:bookmarkStart w:id="337" w:name="_Toc234435114"/>
      <w:bookmarkStart w:id="338" w:name="_Toc232003580"/>
      <w:r w:rsidRPr="000653A9">
        <w:rPr>
          <w:noProof/>
        </w:rPr>
        <w:t>Estimation of the total volume of free allowances available under CL3 for 2031-40</w:t>
      </w:r>
      <w:bookmarkEnd w:id="337"/>
      <w:bookmarkEnd w:id="338"/>
    </w:p>
    <w:p w14:paraId="743BD46E" w14:textId="77777777" w:rsidR="00CC4F87" w:rsidRDefault="00CC4F87" w:rsidP="00C92FA9">
      <w:pPr>
        <w:spacing w:after="240"/>
        <w:rPr>
          <w:i/>
          <w:iCs/>
          <w:noProof/>
          <w:sz w:val="20"/>
          <w:szCs w:val="20"/>
        </w:rPr>
      </w:pPr>
    </w:p>
    <w:tbl>
      <w:tblPr>
        <w:tblStyle w:val="Ricardo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696"/>
        <w:gridCol w:w="696"/>
        <w:gridCol w:w="696"/>
        <w:gridCol w:w="696"/>
        <w:gridCol w:w="696"/>
        <w:gridCol w:w="696"/>
        <w:gridCol w:w="696"/>
        <w:gridCol w:w="696"/>
        <w:gridCol w:w="696"/>
        <w:gridCol w:w="696"/>
      </w:tblGrid>
      <w:tr w:rsidR="00FE5269" w:rsidRPr="000653A9" w14:paraId="6BF5A3B4" w14:textId="77777777" w:rsidTr="00F81849">
        <w:trPr>
          <w:cnfStyle w:val="100000000000" w:firstRow="1" w:lastRow="0" w:firstColumn="0" w:lastColumn="0" w:oddVBand="0" w:evenVBand="0" w:oddHBand="0" w:evenHBand="0" w:firstRowFirstColumn="0" w:firstRowLastColumn="0" w:lastRowFirstColumn="0" w:lastRowLastColumn="0"/>
        </w:trPr>
        <w:tc>
          <w:tcPr>
            <w:tcW w:w="1258" w:type="pct"/>
          </w:tcPr>
          <w:p w14:paraId="23FC8027" w14:textId="77777777" w:rsidR="00FE5269" w:rsidRPr="000653A9" w:rsidRDefault="00FE5269" w:rsidP="00253145">
            <w:pPr>
              <w:spacing w:before="40" w:after="0"/>
              <w:rPr>
                <w:noProof/>
                <w:color w:val="auto"/>
              </w:rPr>
            </w:pPr>
          </w:p>
        </w:tc>
        <w:tc>
          <w:tcPr>
            <w:tcW w:w="374" w:type="pct"/>
          </w:tcPr>
          <w:p w14:paraId="28CD257F" w14:textId="77777777" w:rsidR="00FE5269" w:rsidRPr="000653A9" w:rsidRDefault="00FE5269" w:rsidP="00253145">
            <w:pPr>
              <w:spacing w:before="40" w:after="0"/>
              <w:rPr>
                <w:noProof/>
                <w:color w:val="auto"/>
              </w:rPr>
            </w:pPr>
            <w:r>
              <w:rPr>
                <w:noProof/>
                <w:color w:val="auto"/>
              </w:rPr>
              <w:t>2031</w:t>
            </w:r>
          </w:p>
        </w:tc>
        <w:tc>
          <w:tcPr>
            <w:tcW w:w="374" w:type="pct"/>
          </w:tcPr>
          <w:p w14:paraId="61243DFE" w14:textId="77777777" w:rsidR="00FE5269" w:rsidRPr="000653A9" w:rsidRDefault="00FE5269" w:rsidP="00253145">
            <w:pPr>
              <w:spacing w:before="40" w:after="0"/>
              <w:rPr>
                <w:noProof/>
                <w:color w:val="auto"/>
              </w:rPr>
            </w:pPr>
            <w:r>
              <w:rPr>
                <w:noProof/>
                <w:color w:val="auto"/>
              </w:rPr>
              <w:t>2032</w:t>
            </w:r>
          </w:p>
        </w:tc>
        <w:tc>
          <w:tcPr>
            <w:tcW w:w="374" w:type="pct"/>
          </w:tcPr>
          <w:p w14:paraId="466B36B4" w14:textId="77777777" w:rsidR="00FE5269" w:rsidRPr="000653A9" w:rsidRDefault="00FE5269" w:rsidP="00253145">
            <w:pPr>
              <w:spacing w:before="40" w:after="0"/>
              <w:rPr>
                <w:noProof/>
                <w:color w:val="auto"/>
              </w:rPr>
            </w:pPr>
            <w:r>
              <w:rPr>
                <w:noProof/>
                <w:color w:val="auto"/>
              </w:rPr>
              <w:t>2033</w:t>
            </w:r>
          </w:p>
        </w:tc>
        <w:tc>
          <w:tcPr>
            <w:tcW w:w="374" w:type="pct"/>
          </w:tcPr>
          <w:p w14:paraId="1A1E73C8" w14:textId="77777777" w:rsidR="00FE5269" w:rsidRPr="000653A9" w:rsidRDefault="00FE5269" w:rsidP="00253145">
            <w:pPr>
              <w:spacing w:before="40" w:after="0"/>
              <w:rPr>
                <w:noProof/>
                <w:color w:val="auto"/>
              </w:rPr>
            </w:pPr>
            <w:r>
              <w:rPr>
                <w:noProof/>
                <w:color w:val="auto"/>
              </w:rPr>
              <w:t>2034</w:t>
            </w:r>
          </w:p>
        </w:tc>
        <w:tc>
          <w:tcPr>
            <w:tcW w:w="374" w:type="pct"/>
          </w:tcPr>
          <w:p w14:paraId="1D4C71B6" w14:textId="77777777" w:rsidR="00FE5269" w:rsidRPr="000653A9" w:rsidRDefault="00FE5269" w:rsidP="00253145">
            <w:pPr>
              <w:spacing w:before="40" w:after="0"/>
              <w:rPr>
                <w:noProof/>
                <w:color w:val="auto"/>
              </w:rPr>
            </w:pPr>
            <w:r>
              <w:rPr>
                <w:noProof/>
                <w:color w:val="auto"/>
              </w:rPr>
              <w:t>2035</w:t>
            </w:r>
          </w:p>
        </w:tc>
        <w:tc>
          <w:tcPr>
            <w:tcW w:w="374" w:type="pct"/>
          </w:tcPr>
          <w:p w14:paraId="18B3137C" w14:textId="77777777" w:rsidR="00FE5269" w:rsidRPr="000653A9" w:rsidRDefault="00FE5269" w:rsidP="00253145">
            <w:pPr>
              <w:spacing w:before="40" w:after="0"/>
              <w:rPr>
                <w:noProof/>
                <w:color w:val="auto"/>
              </w:rPr>
            </w:pPr>
            <w:r>
              <w:rPr>
                <w:noProof/>
                <w:color w:val="auto"/>
              </w:rPr>
              <w:t>2036</w:t>
            </w:r>
          </w:p>
        </w:tc>
        <w:tc>
          <w:tcPr>
            <w:tcW w:w="374" w:type="pct"/>
          </w:tcPr>
          <w:p w14:paraId="28FF30A6" w14:textId="77777777" w:rsidR="00FE5269" w:rsidRPr="000653A9" w:rsidRDefault="00FE5269" w:rsidP="00253145">
            <w:pPr>
              <w:spacing w:before="40" w:after="0"/>
              <w:rPr>
                <w:noProof/>
                <w:color w:val="auto"/>
              </w:rPr>
            </w:pPr>
            <w:r>
              <w:rPr>
                <w:noProof/>
                <w:color w:val="auto"/>
              </w:rPr>
              <w:t>2037</w:t>
            </w:r>
          </w:p>
        </w:tc>
        <w:tc>
          <w:tcPr>
            <w:tcW w:w="374" w:type="pct"/>
          </w:tcPr>
          <w:p w14:paraId="60FA1769" w14:textId="77777777" w:rsidR="00FE5269" w:rsidRPr="000653A9" w:rsidRDefault="00FE5269" w:rsidP="00253145">
            <w:pPr>
              <w:spacing w:before="40" w:after="0"/>
              <w:rPr>
                <w:noProof/>
                <w:color w:val="auto"/>
              </w:rPr>
            </w:pPr>
            <w:r>
              <w:rPr>
                <w:noProof/>
                <w:color w:val="auto"/>
              </w:rPr>
              <w:t>2038</w:t>
            </w:r>
          </w:p>
        </w:tc>
        <w:tc>
          <w:tcPr>
            <w:tcW w:w="374" w:type="pct"/>
          </w:tcPr>
          <w:p w14:paraId="7560FF71" w14:textId="77777777" w:rsidR="00FE5269" w:rsidRPr="000653A9" w:rsidRDefault="00FE5269" w:rsidP="00253145">
            <w:pPr>
              <w:spacing w:before="40" w:after="0"/>
              <w:rPr>
                <w:noProof/>
                <w:color w:val="auto"/>
              </w:rPr>
            </w:pPr>
            <w:r>
              <w:rPr>
                <w:noProof/>
                <w:color w:val="auto"/>
              </w:rPr>
              <w:t>2039</w:t>
            </w:r>
          </w:p>
        </w:tc>
        <w:tc>
          <w:tcPr>
            <w:tcW w:w="374" w:type="pct"/>
          </w:tcPr>
          <w:p w14:paraId="25348C43" w14:textId="77777777" w:rsidR="00FE5269" w:rsidRPr="000653A9" w:rsidRDefault="00FE5269" w:rsidP="00253145">
            <w:pPr>
              <w:spacing w:before="40" w:after="0"/>
              <w:rPr>
                <w:noProof/>
                <w:color w:val="auto"/>
              </w:rPr>
            </w:pPr>
            <w:r>
              <w:rPr>
                <w:noProof/>
                <w:color w:val="auto"/>
              </w:rPr>
              <w:t>2040</w:t>
            </w:r>
          </w:p>
        </w:tc>
      </w:tr>
      <w:tr w:rsidR="00FE5269" w:rsidRPr="000653A9" w14:paraId="281EA3F2" w14:textId="77777777" w:rsidTr="00F81849">
        <w:tc>
          <w:tcPr>
            <w:tcW w:w="1258" w:type="pct"/>
            <w:vAlign w:val="center"/>
          </w:tcPr>
          <w:p w14:paraId="49962787" w14:textId="77777777" w:rsidR="00FE5269" w:rsidRPr="000653A9" w:rsidRDefault="00FE5269" w:rsidP="00253145">
            <w:pPr>
              <w:spacing w:before="40" w:after="0"/>
              <w:jc w:val="left"/>
              <w:rPr>
                <w:noProof/>
                <w:sz w:val="22"/>
                <w:szCs w:val="22"/>
              </w:rPr>
            </w:pPr>
            <w:r>
              <w:rPr>
                <w:noProof/>
                <w:sz w:val="22"/>
                <w:szCs w:val="22"/>
              </w:rPr>
              <w:t>FA Budget</w:t>
            </w:r>
          </w:p>
        </w:tc>
        <w:tc>
          <w:tcPr>
            <w:tcW w:w="374" w:type="pct"/>
            <w:vAlign w:val="center"/>
          </w:tcPr>
          <w:p w14:paraId="207738B1" w14:textId="77777777" w:rsidR="00FE5269" w:rsidRPr="000653A9" w:rsidRDefault="00FE5269" w:rsidP="00253145">
            <w:pPr>
              <w:spacing w:before="40" w:after="0"/>
              <w:jc w:val="center"/>
              <w:rPr>
                <w:noProof/>
                <w:sz w:val="22"/>
                <w:szCs w:val="22"/>
              </w:rPr>
            </w:pPr>
            <w:r>
              <w:rPr>
                <w:noProof/>
                <w:sz w:val="22"/>
                <w:szCs w:val="22"/>
              </w:rPr>
              <w:t>354</w:t>
            </w:r>
          </w:p>
        </w:tc>
        <w:tc>
          <w:tcPr>
            <w:tcW w:w="374" w:type="pct"/>
            <w:vAlign w:val="center"/>
          </w:tcPr>
          <w:p w14:paraId="18C69F31" w14:textId="77777777" w:rsidR="00FE5269" w:rsidRPr="000653A9" w:rsidRDefault="00FE5269" w:rsidP="00253145">
            <w:pPr>
              <w:spacing w:before="40" w:after="0"/>
              <w:jc w:val="center"/>
              <w:rPr>
                <w:noProof/>
                <w:sz w:val="22"/>
                <w:szCs w:val="22"/>
              </w:rPr>
            </w:pPr>
            <w:r>
              <w:rPr>
                <w:noProof/>
                <w:sz w:val="22"/>
                <w:szCs w:val="22"/>
              </w:rPr>
              <w:t>326</w:t>
            </w:r>
          </w:p>
        </w:tc>
        <w:tc>
          <w:tcPr>
            <w:tcW w:w="374" w:type="pct"/>
            <w:vAlign w:val="center"/>
          </w:tcPr>
          <w:p w14:paraId="16D5D9D1" w14:textId="77777777" w:rsidR="00FE5269" w:rsidRPr="000653A9" w:rsidRDefault="00FE5269" w:rsidP="00253145">
            <w:pPr>
              <w:spacing w:before="40" w:after="0"/>
              <w:jc w:val="center"/>
              <w:rPr>
                <w:noProof/>
                <w:sz w:val="22"/>
                <w:szCs w:val="22"/>
              </w:rPr>
            </w:pPr>
            <w:r>
              <w:rPr>
                <w:noProof/>
                <w:sz w:val="22"/>
                <w:szCs w:val="22"/>
              </w:rPr>
              <w:t>299</w:t>
            </w:r>
          </w:p>
        </w:tc>
        <w:tc>
          <w:tcPr>
            <w:tcW w:w="374" w:type="pct"/>
            <w:vAlign w:val="center"/>
          </w:tcPr>
          <w:p w14:paraId="2511F78D" w14:textId="77777777" w:rsidR="00FE5269" w:rsidRPr="000653A9" w:rsidRDefault="00FE5269" w:rsidP="00253145">
            <w:pPr>
              <w:spacing w:before="40" w:after="0"/>
              <w:jc w:val="center"/>
              <w:rPr>
                <w:noProof/>
                <w:sz w:val="22"/>
                <w:szCs w:val="22"/>
              </w:rPr>
            </w:pPr>
            <w:r>
              <w:rPr>
                <w:noProof/>
                <w:sz w:val="22"/>
                <w:szCs w:val="22"/>
              </w:rPr>
              <w:t>270</w:t>
            </w:r>
          </w:p>
        </w:tc>
        <w:tc>
          <w:tcPr>
            <w:tcW w:w="374" w:type="pct"/>
            <w:vAlign w:val="center"/>
          </w:tcPr>
          <w:p w14:paraId="3D52A0C8" w14:textId="77777777" w:rsidR="00FE5269" w:rsidRPr="000653A9" w:rsidRDefault="00FE5269" w:rsidP="00253145">
            <w:pPr>
              <w:spacing w:before="40" w:after="0"/>
              <w:jc w:val="center"/>
              <w:rPr>
                <w:noProof/>
                <w:sz w:val="22"/>
                <w:szCs w:val="22"/>
              </w:rPr>
            </w:pPr>
            <w:r>
              <w:rPr>
                <w:noProof/>
                <w:sz w:val="22"/>
                <w:szCs w:val="22"/>
              </w:rPr>
              <w:t>241</w:t>
            </w:r>
          </w:p>
        </w:tc>
        <w:tc>
          <w:tcPr>
            <w:tcW w:w="374" w:type="pct"/>
            <w:vAlign w:val="center"/>
          </w:tcPr>
          <w:p w14:paraId="25EEFA37" w14:textId="77777777" w:rsidR="00FE5269" w:rsidRPr="000653A9" w:rsidRDefault="00FE5269" w:rsidP="00253145">
            <w:pPr>
              <w:spacing w:before="40" w:after="0"/>
              <w:jc w:val="center"/>
              <w:rPr>
                <w:noProof/>
                <w:sz w:val="22"/>
                <w:szCs w:val="22"/>
              </w:rPr>
            </w:pPr>
            <w:r>
              <w:rPr>
                <w:noProof/>
                <w:sz w:val="22"/>
                <w:szCs w:val="22"/>
              </w:rPr>
              <w:t>218</w:t>
            </w:r>
          </w:p>
        </w:tc>
        <w:tc>
          <w:tcPr>
            <w:tcW w:w="374" w:type="pct"/>
            <w:vAlign w:val="center"/>
          </w:tcPr>
          <w:p w14:paraId="5C01D67D" w14:textId="77777777" w:rsidR="00FE5269" w:rsidRPr="000653A9" w:rsidRDefault="00FE5269" w:rsidP="00253145">
            <w:pPr>
              <w:spacing w:before="40" w:after="0"/>
              <w:jc w:val="center"/>
              <w:rPr>
                <w:noProof/>
                <w:sz w:val="22"/>
                <w:szCs w:val="22"/>
              </w:rPr>
            </w:pPr>
            <w:r>
              <w:rPr>
                <w:noProof/>
                <w:sz w:val="22"/>
                <w:szCs w:val="22"/>
              </w:rPr>
              <w:t>198</w:t>
            </w:r>
          </w:p>
        </w:tc>
        <w:tc>
          <w:tcPr>
            <w:tcW w:w="374" w:type="pct"/>
            <w:vAlign w:val="center"/>
          </w:tcPr>
          <w:p w14:paraId="4D8E5054" w14:textId="77777777" w:rsidR="00FE5269" w:rsidRPr="000653A9" w:rsidRDefault="00FE5269" w:rsidP="00253145">
            <w:pPr>
              <w:spacing w:before="40" w:after="0"/>
              <w:jc w:val="center"/>
              <w:rPr>
                <w:noProof/>
                <w:sz w:val="22"/>
                <w:szCs w:val="22"/>
              </w:rPr>
            </w:pPr>
            <w:r>
              <w:rPr>
                <w:noProof/>
                <w:sz w:val="22"/>
                <w:szCs w:val="22"/>
              </w:rPr>
              <w:t>176</w:t>
            </w:r>
          </w:p>
        </w:tc>
        <w:tc>
          <w:tcPr>
            <w:tcW w:w="374" w:type="pct"/>
            <w:vAlign w:val="center"/>
          </w:tcPr>
          <w:p w14:paraId="67AC74F7" w14:textId="77777777" w:rsidR="00FE5269" w:rsidRPr="000653A9" w:rsidRDefault="00FE5269" w:rsidP="00253145">
            <w:pPr>
              <w:spacing w:before="40" w:after="0"/>
              <w:jc w:val="center"/>
              <w:rPr>
                <w:noProof/>
                <w:sz w:val="22"/>
                <w:szCs w:val="22"/>
              </w:rPr>
            </w:pPr>
            <w:r>
              <w:rPr>
                <w:noProof/>
                <w:sz w:val="22"/>
                <w:szCs w:val="22"/>
              </w:rPr>
              <w:t>154</w:t>
            </w:r>
          </w:p>
        </w:tc>
        <w:tc>
          <w:tcPr>
            <w:tcW w:w="374" w:type="pct"/>
            <w:vAlign w:val="center"/>
          </w:tcPr>
          <w:p w14:paraId="5E100863" w14:textId="77777777" w:rsidR="00FE5269" w:rsidRPr="000653A9" w:rsidRDefault="00FE5269" w:rsidP="00253145">
            <w:pPr>
              <w:spacing w:before="40" w:after="0"/>
              <w:jc w:val="center"/>
              <w:rPr>
                <w:noProof/>
                <w:sz w:val="22"/>
                <w:szCs w:val="22"/>
              </w:rPr>
            </w:pPr>
            <w:r>
              <w:rPr>
                <w:noProof/>
                <w:sz w:val="22"/>
                <w:szCs w:val="22"/>
              </w:rPr>
              <w:t>132</w:t>
            </w:r>
          </w:p>
        </w:tc>
      </w:tr>
      <w:tr w:rsidR="00FE5269" w:rsidRPr="000653A9" w14:paraId="74F62D00" w14:textId="77777777" w:rsidTr="00F81849">
        <w:tc>
          <w:tcPr>
            <w:tcW w:w="1258" w:type="pct"/>
            <w:vAlign w:val="center"/>
          </w:tcPr>
          <w:p w14:paraId="3A84368F" w14:textId="77777777" w:rsidR="00FE5269" w:rsidRPr="000653A9" w:rsidRDefault="00FE5269" w:rsidP="00253145">
            <w:pPr>
              <w:spacing w:before="40" w:after="0"/>
              <w:jc w:val="left"/>
              <w:rPr>
                <w:noProof/>
                <w:sz w:val="22"/>
                <w:szCs w:val="22"/>
              </w:rPr>
            </w:pPr>
            <w:r>
              <w:rPr>
                <w:noProof/>
                <w:sz w:val="22"/>
                <w:szCs w:val="22"/>
              </w:rPr>
              <w:t>FA (Preliminary)</w:t>
            </w:r>
          </w:p>
        </w:tc>
        <w:tc>
          <w:tcPr>
            <w:tcW w:w="374" w:type="pct"/>
            <w:vAlign w:val="center"/>
          </w:tcPr>
          <w:p w14:paraId="7D2DD5E6" w14:textId="77777777" w:rsidR="00FE5269" w:rsidRPr="000653A9" w:rsidRDefault="00FE5269" w:rsidP="00253145">
            <w:pPr>
              <w:spacing w:before="40" w:after="0"/>
              <w:jc w:val="center"/>
              <w:rPr>
                <w:noProof/>
                <w:sz w:val="22"/>
                <w:szCs w:val="22"/>
              </w:rPr>
            </w:pPr>
            <w:r>
              <w:rPr>
                <w:noProof/>
                <w:sz w:val="22"/>
                <w:szCs w:val="22"/>
              </w:rPr>
              <w:t>390</w:t>
            </w:r>
          </w:p>
        </w:tc>
        <w:tc>
          <w:tcPr>
            <w:tcW w:w="374" w:type="pct"/>
            <w:vAlign w:val="center"/>
          </w:tcPr>
          <w:p w14:paraId="6273E378" w14:textId="77777777" w:rsidR="00FE5269" w:rsidRPr="000653A9" w:rsidRDefault="00FE5269" w:rsidP="00253145">
            <w:pPr>
              <w:spacing w:before="40" w:after="0"/>
              <w:jc w:val="center"/>
              <w:rPr>
                <w:noProof/>
                <w:sz w:val="22"/>
                <w:szCs w:val="22"/>
              </w:rPr>
            </w:pPr>
            <w:r>
              <w:rPr>
                <w:noProof/>
                <w:sz w:val="22"/>
                <w:szCs w:val="22"/>
              </w:rPr>
              <w:t>315</w:t>
            </w:r>
          </w:p>
        </w:tc>
        <w:tc>
          <w:tcPr>
            <w:tcW w:w="374" w:type="pct"/>
            <w:vAlign w:val="center"/>
          </w:tcPr>
          <w:p w14:paraId="12EA69CF" w14:textId="77777777" w:rsidR="00FE5269" w:rsidRPr="000653A9" w:rsidRDefault="00FE5269" w:rsidP="00253145">
            <w:pPr>
              <w:spacing w:before="40" w:after="0"/>
              <w:jc w:val="center"/>
              <w:rPr>
                <w:noProof/>
                <w:sz w:val="22"/>
                <w:szCs w:val="22"/>
              </w:rPr>
            </w:pPr>
            <w:r>
              <w:rPr>
                <w:noProof/>
                <w:sz w:val="22"/>
                <w:szCs w:val="22"/>
              </w:rPr>
              <w:t>243</w:t>
            </w:r>
          </w:p>
        </w:tc>
        <w:tc>
          <w:tcPr>
            <w:tcW w:w="374" w:type="pct"/>
            <w:vAlign w:val="center"/>
          </w:tcPr>
          <w:p w14:paraId="45E9DD4D" w14:textId="77777777" w:rsidR="00FE5269" w:rsidRPr="000653A9" w:rsidRDefault="00FE5269" w:rsidP="00253145">
            <w:pPr>
              <w:spacing w:before="40" w:after="0"/>
              <w:jc w:val="center"/>
              <w:rPr>
                <w:noProof/>
                <w:sz w:val="22"/>
                <w:szCs w:val="22"/>
              </w:rPr>
            </w:pPr>
            <w:r>
              <w:rPr>
                <w:noProof/>
                <w:sz w:val="22"/>
                <w:szCs w:val="22"/>
              </w:rPr>
              <w:t>198</w:t>
            </w:r>
          </w:p>
        </w:tc>
        <w:tc>
          <w:tcPr>
            <w:tcW w:w="374" w:type="pct"/>
            <w:vAlign w:val="center"/>
          </w:tcPr>
          <w:p w14:paraId="37DBA82B" w14:textId="77777777" w:rsidR="00FE5269" w:rsidRPr="000653A9" w:rsidRDefault="00FE5269" w:rsidP="00253145">
            <w:pPr>
              <w:spacing w:before="40" w:after="0"/>
              <w:jc w:val="center"/>
              <w:rPr>
                <w:noProof/>
                <w:sz w:val="22"/>
                <w:szCs w:val="22"/>
              </w:rPr>
            </w:pPr>
            <w:r>
              <w:rPr>
                <w:noProof/>
                <w:sz w:val="22"/>
                <w:szCs w:val="22"/>
              </w:rPr>
              <w:t>198</w:t>
            </w:r>
          </w:p>
        </w:tc>
        <w:tc>
          <w:tcPr>
            <w:tcW w:w="374" w:type="pct"/>
            <w:vAlign w:val="center"/>
          </w:tcPr>
          <w:p w14:paraId="00CF4142" w14:textId="77777777" w:rsidR="00FE5269" w:rsidRPr="000653A9" w:rsidRDefault="00FE5269" w:rsidP="00253145">
            <w:pPr>
              <w:spacing w:before="40" w:after="0"/>
              <w:jc w:val="center"/>
              <w:rPr>
                <w:noProof/>
                <w:sz w:val="22"/>
                <w:szCs w:val="22"/>
              </w:rPr>
            </w:pPr>
            <w:r>
              <w:rPr>
                <w:noProof/>
                <w:sz w:val="22"/>
                <w:szCs w:val="22"/>
              </w:rPr>
              <w:t>188</w:t>
            </w:r>
          </w:p>
        </w:tc>
        <w:tc>
          <w:tcPr>
            <w:tcW w:w="374" w:type="pct"/>
            <w:vAlign w:val="center"/>
          </w:tcPr>
          <w:p w14:paraId="2A0726F8" w14:textId="77777777" w:rsidR="00FE5269" w:rsidRPr="000653A9" w:rsidRDefault="00FE5269" w:rsidP="00253145">
            <w:pPr>
              <w:spacing w:before="40" w:after="0"/>
              <w:jc w:val="center"/>
              <w:rPr>
                <w:noProof/>
                <w:sz w:val="22"/>
                <w:szCs w:val="22"/>
              </w:rPr>
            </w:pPr>
            <w:r>
              <w:rPr>
                <w:noProof/>
                <w:sz w:val="22"/>
                <w:szCs w:val="22"/>
              </w:rPr>
              <w:t>188</w:t>
            </w:r>
          </w:p>
        </w:tc>
        <w:tc>
          <w:tcPr>
            <w:tcW w:w="374" w:type="pct"/>
            <w:vAlign w:val="center"/>
          </w:tcPr>
          <w:p w14:paraId="6F6EAF17" w14:textId="77777777" w:rsidR="00FE5269" w:rsidRPr="000653A9" w:rsidRDefault="00FE5269" w:rsidP="00253145">
            <w:pPr>
              <w:spacing w:before="40" w:after="0"/>
              <w:jc w:val="center"/>
              <w:rPr>
                <w:noProof/>
                <w:sz w:val="22"/>
                <w:szCs w:val="22"/>
              </w:rPr>
            </w:pPr>
            <w:r>
              <w:rPr>
                <w:noProof/>
                <w:sz w:val="22"/>
                <w:szCs w:val="22"/>
              </w:rPr>
              <w:t>188</w:t>
            </w:r>
          </w:p>
        </w:tc>
        <w:tc>
          <w:tcPr>
            <w:tcW w:w="374" w:type="pct"/>
            <w:vAlign w:val="center"/>
          </w:tcPr>
          <w:p w14:paraId="043FF723" w14:textId="77777777" w:rsidR="00FE5269" w:rsidRPr="000653A9" w:rsidRDefault="00FE5269" w:rsidP="00253145">
            <w:pPr>
              <w:spacing w:before="40" w:after="0"/>
              <w:jc w:val="center"/>
              <w:rPr>
                <w:noProof/>
                <w:sz w:val="22"/>
                <w:szCs w:val="22"/>
              </w:rPr>
            </w:pPr>
            <w:r>
              <w:rPr>
                <w:noProof/>
                <w:sz w:val="22"/>
                <w:szCs w:val="22"/>
              </w:rPr>
              <w:t>188</w:t>
            </w:r>
          </w:p>
        </w:tc>
        <w:tc>
          <w:tcPr>
            <w:tcW w:w="374" w:type="pct"/>
            <w:vAlign w:val="center"/>
          </w:tcPr>
          <w:p w14:paraId="24F8B9A1" w14:textId="77777777" w:rsidR="00FE5269" w:rsidRPr="000653A9" w:rsidRDefault="00FE5269" w:rsidP="00253145">
            <w:pPr>
              <w:spacing w:before="40" w:after="0"/>
              <w:jc w:val="center"/>
              <w:rPr>
                <w:noProof/>
                <w:sz w:val="22"/>
                <w:szCs w:val="22"/>
              </w:rPr>
            </w:pPr>
            <w:r>
              <w:rPr>
                <w:noProof/>
                <w:sz w:val="22"/>
                <w:szCs w:val="22"/>
              </w:rPr>
              <w:t>188</w:t>
            </w:r>
          </w:p>
        </w:tc>
      </w:tr>
      <w:tr w:rsidR="00FE5269" w:rsidRPr="000653A9" w14:paraId="4628C32D" w14:textId="77777777" w:rsidTr="00F81849">
        <w:tc>
          <w:tcPr>
            <w:tcW w:w="1258" w:type="pct"/>
            <w:vAlign w:val="center"/>
          </w:tcPr>
          <w:p w14:paraId="23295F33" w14:textId="77777777" w:rsidR="00FE5269" w:rsidRPr="000653A9" w:rsidRDefault="00FE5269" w:rsidP="00253145">
            <w:pPr>
              <w:spacing w:before="40" w:after="0"/>
              <w:jc w:val="left"/>
              <w:rPr>
                <w:noProof/>
                <w:sz w:val="22"/>
                <w:szCs w:val="22"/>
              </w:rPr>
            </w:pPr>
            <w:r>
              <w:rPr>
                <w:noProof/>
                <w:sz w:val="22"/>
                <w:szCs w:val="22"/>
              </w:rPr>
              <w:t>CSCF</w:t>
            </w:r>
          </w:p>
        </w:tc>
        <w:tc>
          <w:tcPr>
            <w:tcW w:w="374" w:type="pct"/>
            <w:vAlign w:val="center"/>
          </w:tcPr>
          <w:p w14:paraId="0535E74C" w14:textId="77777777" w:rsidR="00FE5269" w:rsidRPr="000653A9" w:rsidRDefault="00FE5269" w:rsidP="00253145">
            <w:pPr>
              <w:spacing w:before="40" w:after="0"/>
              <w:jc w:val="center"/>
              <w:rPr>
                <w:noProof/>
                <w:sz w:val="22"/>
                <w:szCs w:val="22"/>
              </w:rPr>
            </w:pPr>
            <w:r>
              <w:rPr>
                <w:noProof/>
                <w:sz w:val="22"/>
                <w:szCs w:val="22"/>
              </w:rPr>
              <w:t>0.91</w:t>
            </w:r>
          </w:p>
        </w:tc>
        <w:tc>
          <w:tcPr>
            <w:tcW w:w="374" w:type="pct"/>
            <w:vAlign w:val="center"/>
          </w:tcPr>
          <w:p w14:paraId="7FF6F1D2" w14:textId="77777777" w:rsidR="00FE5269" w:rsidRPr="000653A9" w:rsidRDefault="00FE5269" w:rsidP="00253145">
            <w:pPr>
              <w:spacing w:before="40" w:after="0"/>
              <w:jc w:val="center"/>
              <w:rPr>
                <w:noProof/>
                <w:sz w:val="22"/>
                <w:szCs w:val="22"/>
              </w:rPr>
            </w:pPr>
            <w:r>
              <w:rPr>
                <w:noProof/>
                <w:sz w:val="22"/>
                <w:szCs w:val="22"/>
              </w:rPr>
              <w:t>1.00</w:t>
            </w:r>
          </w:p>
        </w:tc>
        <w:tc>
          <w:tcPr>
            <w:tcW w:w="374" w:type="pct"/>
            <w:vAlign w:val="center"/>
          </w:tcPr>
          <w:p w14:paraId="3FA813BA" w14:textId="77777777" w:rsidR="00FE5269" w:rsidRPr="000653A9" w:rsidRDefault="00FE5269" w:rsidP="00253145">
            <w:pPr>
              <w:spacing w:before="40" w:after="0"/>
              <w:jc w:val="center"/>
              <w:rPr>
                <w:noProof/>
                <w:sz w:val="22"/>
                <w:szCs w:val="22"/>
              </w:rPr>
            </w:pPr>
            <w:r>
              <w:rPr>
                <w:noProof/>
                <w:sz w:val="22"/>
                <w:szCs w:val="22"/>
              </w:rPr>
              <w:t>1.00</w:t>
            </w:r>
          </w:p>
        </w:tc>
        <w:tc>
          <w:tcPr>
            <w:tcW w:w="374" w:type="pct"/>
            <w:vAlign w:val="center"/>
          </w:tcPr>
          <w:p w14:paraId="2E09ABF3" w14:textId="77777777" w:rsidR="00FE5269" w:rsidRPr="000653A9" w:rsidRDefault="00FE5269" w:rsidP="00253145">
            <w:pPr>
              <w:spacing w:before="40" w:after="0"/>
              <w:jc w:val="center"/>
              <w:rPr>
                <w:noProof/>
                <w:sz w:val="22"/>
                <w:szCs w:val="22"/>
              </w:rPr>
            </w:pPr>
            <w:r>
              <w:rPr>
                <w:noProof/>
                <w:sz w:val="22"/>
                <w:szCs w:val="22"/>
              </w:rPr>
              <w:t>1.00</w:t>
            </w:r>
          </w:p>
        </w:tc>
        <w:tc>
          <w:tcPr>
            <w:tcW w:w="374" w:type="pct"/>
            <w:vAlign w:val="center"/>
          </w:tcPr>
          <w:p w14:paraId="441659E6" w14:textId="77777777" w:rsidR="00FE5269" w:rsidRPr="000653A9" w:rsidRDefault="00FE5269" w:rsidP="00253145">
            <w:pPr>
              <w:spacing w:before="40" w:after="0"/>
              <w:jc w:val="center"/>
              <w:rPr>
                <w:noProof/>
                <w:sz w:val="22"/>
                <w:szCs w:val="22"/>
              </w:rPr>
            </w:pPr>
            <w:r>
              <w:rPr>
                <w:noProof/>
                <w:sz w:val="22"/>
                <w:szCs w:val="22"/>
              </w:rPr>
              <w:t>1.00</w:t>
            </w:r>
          </w:p>
        </w:tc>
        <w:tc>
          <w:tcPr>
            <w:tcW w:w="374" w:type="pct"/>
            <w:vAlign w:val="center"/>
          </w:tcPr>
          <w:p w14:paraId="2883B77B" w14:textId="77777777" w:rsidR="00FE5269" w:rsidRPr="000653A9" w:rsidRDefault="00FE5269" w:rsidP="00253145">
            <w:pPr>
              <w:spacing w:before="40" w:after="0"/>
              <w:jc w:val="center"/>
              <w:rPr>
                <w:noProof/>
                <w:sz w:val="22"/>
                <w:szCs w:val="22"/>
              </w:rPr>
            </w:pPr>
            <w:r>
              <w:rPr>
                <w:noProof/>
                <w:sz w:val="22"/>
                <w:szCs w:val="22"/>
              </w:rPr>
              <w:t>1.00</w:t>
            </w:r>
          </w:p>
        </w:tc>
        <w:tc>
          <w:tcPr>
            <w:tcW w:w="374" w:type="pct"/>
            <w:vAlign w:val="center"/>
          </w:tcPr>
          <w:p w14:paraId="6022A4E0" w14:textId="77777777" w:rsidR="00FE5269" w:rsidRPr="000653A9" w:rsidRDefault="00FE5269" w:rsidP="00253145">
            <w:pPr>
              <w:spacing w:before="40" w:after="0"/>
              <w:jc w:val="center"/>
              <w:rPr>
                <w:noProof/>
                <w:sz w:val="22"/>
                <w:szCs w:val="22"/>
              </w:rPr>
            </w:pPr>
            <w:r>
              <w:rPr>
                <w:noProof/>
                <w:sz w:val="22"/>
                <w:szCs w:val="22"/>
              </w:rPr>
              <w:t>1.00</w:t>
            </w:r>
          </w:p>
        </w:tc>
        <w:tc>
          <w:tcPr>
            <w:tcW w:w="374" w:type="pct"/>
            <w:vAlign w:val="center"/>
          </w:tcPr>
          <w:p w14:paraId="2C1C123F" w14:textId="77777777" w:rsidR="00FE5269" w:rsidRPr="000653A9" w:rsidRDefault="00FE5269" w:rsidP="00253145">
            <w:pPr>
              <w:spacing w:before="40" w:after="0"/>
              <w:jc w:val="center"/>
              <w:rPr>
                <w:noProof/>
                <w:sz w:val="22"/>
                <w:szCs w:val="22"/>
              </w:rPr>
            </w:pPr>
            <w:r>
              <w:rPr>
                <w:noProof/>
                <w:sz w:val="22"/>
                <w:szCs w:val="22"/>
              </w:rPr>
              <w:t>1.00</w:t>
            </w:r>
          </w:p>
        </w:tc>
        <w:tc>
          <w:tcPr>
            <w:tcW w:w="374" w:type="pct"/>
            <w:vAlign w:val="center"/>
          </w:tcPr>
          <w:p w14:paraId="4BF4D1CE" w14:textId="77777777" w:rsidR="00FE5269" w:rsidRPr="000653A9" w:rsidRDefault="00FE5269" w:rsidP="00253145">
            <w:pPr>
              <w:spacing w:before="40" w:after="0"/>
              <w:jc w:val="center"/>
              <w:rPr>
                <w:noProof/>
                <w:sz w:val="22"/>
                <w:szCs w:val="22"/>
              </w:rPr>
            </w:pPr>
            <w:r>
              <w:rPr>
                <w:noProof/>
                <w:sz w:val="22"/>
                <w:szCs w:val="22"/>
              </w:rPr>
              <w:t>1.00</w:t>
            </w:r>
          </w:p>
        </w:tc>
        <w:tc>
          <w:tcPr>
            <w:tcW w:w="374" w:type="pct"/>
            <w:vAlign w:val="center"/>
          </w:tcPr>
          <w:p w14:paraId="0A219A4A" w14:textId="77777777" w:rsidR="00FE5269" w:rsidRPr="000653A9" w:rsidRDefault="00FE5269" w:rsidP="00253145">
            <w:pPr>
              <w:spacing w:before="40" w:after="0"/>
              <w:jc w:val="center"/>
              <w:rPr>
                <w:noProof/>
                <w:sz w:val="22"/>
                <w:szCs w:val="22"/>
              </w:rPr>
            </w:pPr>
            <w:r>
              <w:rPr>
                <w:noProof/>
                <w:sz w:val="22"/>
                <w:szCs w:val="22"/>
              </w:rPr>
              <w:t>1.00</w:t>
            </w:r>
          </w:p>
        </w:tc>
      </w:tr>
      <w:tr w:rsidR="00FE5269" w:rsidRPr="000653A9" w14:paraId="7BC5FBA8" w14:textId="77777777" w:rsidTr="00F81849">
        <w:tc>
          <w:tcPr>
            <w:tcW w:w="1258" w:type="pct"/>
            <w:vAlign w:val="center"/>
          </w:tcPr>
          <w:p w14:paraId="24D47B54" w14:textId="77777777" w:rsidR="00FE5269" w:rsidRPr="000653A9" w:rsidRDefault="00FE5269" w:rsidP="00253145">
            <w:pPr>
              <w:spacing w:before="40" w:after="0"/>
              <w:jc w:val="left"/>
              <w:rPr>
                <w:noProof/>
                <w:sz w:val="22"/>
                <w:szCs w:val="22"/>
              </w:rPr>
            </w:pPr>
            <w:r>
              <w:rPr>
                <w:noProof/>
                <w:sz w:val="22"/>
                <w:szCs w:val="22"/>
              </w:rPr>
              <w:t>FA (before CBAM phase out)</w:t>
            </w:r>
          </w:p>
        </w:tc>
        <w:tc>
          <w:tcPr>
            <w:tcW w:w="374" w:type="pct"/>
            <w:vAlign w:val="center"/>
          </w:tcPr>
          <w:p w14:paraId="068C012A" w14:textId="77777777" w:rsidR="00FE5269" w:rsidRPr="000653A9" w:rsidRDefault="00FE5269" w:rsidP="00253145">
            <w:pPr>
              <w:spacing w:before="40" w:after="0"/>
              <w:jc w:val="center"/>
              <w:rPr>
                <w:noProof/>
                <w:sz w:val="22"/>
                <w:szCs w:val="22"/>
              </w:rPr>
            </w:pPr>
            <w:r>
              <w:rPr>
                <w:noProof/>
                <w:sz w:val="22"/>
                <w:szCs w:val="22"/>
              </w:rPr>
              <w:t>354</w:t>
            </w:r>
          </w:p>
        </w:tc>
        <w:tc>
          <w:tcPr>
            <w:tcW w:w="374" w:type="pct"/>
            <w:vAlign w:val="center"/>
          </w:tcPr>
          <w:p w14:paraId="44154BD9" w14:textId="77777777" w:rsidR="00FE5269" w:rsidRPr="000653A9" w:rsidRDefault="00FE5269" w:rsidP="00253145">
            <w:pPr>
              <w:spacing w:before="40" w:after="0"/>
              <w:jc w:val="center"/>
              <w:rPr>
                <w:noProof/>
                <w:sz w:val="22"/>
                <w:szCs w:val="22"/>
              </w:rPr>
            </w:pPr>
            <w:r>
              <w:rPr>
                <w:noProof/>
                <w:sz w:val="22"/>
                <w:szCs w:val="22"/>
              </w:rPr>
              <w:t>315</w:t>
            </w:r>
          </w:p>
        </w:tc>
        <w:tc>
          <w:tcPr>
            <w:tcW w:w="374" w:type="pct"/>
            <w:vAlign w:val="center"/>
          </w:tcPr>
          <w:p w14:paraId="000BA864" w14:textId="77777777" w:rsidR="00FE5269" w:rsidRPr="000653A9" w:rsidRDefault="00FE5269" w:rsidP="00253145">
            <w:pPr>
              <w:spacing w:before="40" w:after="0"/>
              <w:jc w:val="center"/>
              <w:rPr>
                <w:noProof/>
                <w:sz w:val="22"/>
                <w:szCs w:val="22"/>
              </w:rPr>
            </w:pPr>
            <w:r>
              <w:rPr>
                <w:noProof/>
                <w:sz w:val="22"/>
                <w:szCs w:val="22"/>
              </w:rPr>
              <w:t>243</w:t>
            </w:r>
          </w:p>
        </w:tc>
        <w:tc>
          <w:tcPr>
            <w:tcW w:w="374" w:type="pct"/>
            <w:vAlign w:val="center"/>
          </w:tcPr>
          <w:p w14:paraId="5A47AEA9" w14:textId="77777777" w:rsidR="00FE5269" w:rsidRPr="000653A9" w:rsidRDefault="00FE5269" w:rsidP="00253145">
            <w:pPr>
              <w:spacing w:before="40" w:after="0"/>
              <w:jc w:val="center"/>
              <w:rPr>
                <w:noProof/>
                <w:sz w:val="22"/>
                <w:szCs w:val="22"/>
              </w:rPr>
            </w:pPr>
            <w:r>
              <w:rPr>
                <w:noProof/>
                <w:sz w:val="22"/>
                <w:szCs w:val="22"/>
              </w:rPr>
              <w:t>198</w:t>
            </w:r>
          </w:p>
        </w:tc>
        <w:tc>
          <w:tcPr>
            <w:tcW w:w="374" w:type="pct"/>
            <w:vAlign w:val="center"/>
          </w:tcPr>
          <w:p w14:paraId="0B047B4A" w14:textId="77777777" w:rsidR="00FE5269" w:rsidRPr="000653A9" w:rsidRDefault="00FE5269" w:rsidP="00253145">
            <w:pPr>
              <w:spacing w:before="40" w:after="0"/>
              <w:jc w:val="center"/>
              <w:rPr>
                <w:noProof/>
                <w:sz w:val="22"/>
                <w:szCs w:val="22"/>
              </w:rPr>
            </w:pPr>
            <w:r>
              <w:rPr>
                <w:noProof/>
                <w:sz w:val="22"/>
                <w:szCs w:val="22"/>
              </w:rPr>
              <w:t>198</w:t>
            </w:r>
          </w:p>
        </w:tc>
        <w:tc>
          <w:tcPr>
            <w:tcW w:w="374" w:type="pct"/>
            <w:vAlign w:val="center"/>
          </w:tcPr>
          <w:p w14:paraId="45FA8A98" w14:textId="77777777" w:rsidR="00FE5269" w:rsidRPr="000653A9" w:rsidRDefault="00FE5269" w:rsidP="00253145">
            <w:pPr>
              <w:spacing w:before="40" w:after="0"/>
              <w:jc w:val="center"/>
              <w:rPr>
                <w:noProof/>
                <w:sz w:val="22"/>
                <w:szCs w:val="22"/>
              </w:rPr>
            </w:pPr>
            <w:r>
              <w:rPr>
                <w:noProof/>
                <w:sz w:val="22"/>
                <w:szCs w:val="22"/>
              </w:rPr>
              <w:t>188</w:t>
            </w:r>
          </w:p>
        </w:tc>
        <w:tc>
          <w:tcPr>
            <w:tcW w:w="374" w:type="pct"/>
            <w:vAlign w:val="center"/>
          </w:tcPr>
          <w:p w14:paraId="37A3B259" w14:textId="77777777" w:rsidR="00FE5269" w:rsidRPr="000653A9" w:rsidRDefault="00FE5269" w:rsidP="00253145">
            <w:pPr>
              <w:spacing w:before="40" w:after="0"/>
              <w:jc w:val="center"/>
              <w:rPr>
                <w:noProof/>
                <w:sz w:val="22"/>
                <w:szCs w:val="22"/>
              </w:rPr>
            </w:pPr>
            <w:r>
              <w:rPr>
                <w:noProof/>
                <w:sz w:val="22"/>
                <w:szCs w:val="22"/>
              </w:rPr>
              <w:t>188</w:t>
            </w:r>
          </w:p>
        </w:tc>
        <w:tc>
          <w:tcPr>
            <w:tcW w:w="374" w:type="pct"/>
            <w:vAlign w:val="center"/>
          </w:tcPr>
          <w:p w14:paraId="1DFDE4F7" w14:textId="77777777" w:rsidR="00FE5269" w:rsidRPr="000653A9" w:rsidRDefault="00FE5269" w:rsidP="00253145">
            <w:pPr>
              <w:spacing w:before="40" w:after="0"/>
              <w:jc w:val="center"/>
              <w:rPr>
                <w:noProof/>
                <w:sz w:val="22"/>
                <w:szCs w:val="22"/>
              </w:rPr>
            </w:pPr>
            <w:r>
              <w:rPr>
                <w:noProof/>
                <w:sz w:val="22"/>
                <w:szCs w:val="22"/>
              </w:rPr>
              <w:t>188</w:t>
            </w:r>
          </w:p>
        </w:tc>
        <w:tc>
          <w:tcPr>
            <w:tcW w:w="374" w:type="pct"/>
            <w:vAlign w:val="center"/>
          </w:tcPr>
          <w:p w14:paraId="30458909" w14:textId="77777777" w:rsidR="00FE5269" w:rsidRPr="000653A9" w:rsidRDefault="00FE5269" w:rsidP="00253145">
            <w:pPr>
              <w:spacing w:before="40" w:after="0"/>
              <w:jc w:val="center"/>
              <w:rPr>
                <w:noProof/>
                <w:sz w:val="22"/>
                <w:szCs w:val="22"/>
              </w:rPr>
            </w:pPr>
            <w:r>
              <w:rPr>
                <w:noProof/>
                <w:sz w:val="22"/>
                <w:szCs w:val="22"/>
              </w:rPr>
              <w:t>188</w:t>
            </w:r>
          </w:p>
        </w:tc>
        <w:tc>
          <w:tcPr>
            <w:tcW w:w="374" w:type="pct"/>
            <w:vAlign w:val="center"/>
          </w:tcPr>
          <w:p w14:paraId="76A6E5AC" w14:textId="77777777" w:rsidR="00FE5269" w:rsidRPr="000653A9" w:rsidRDefault="00FE5269" w:rsidP="00253145">
            <w:pPr>
              <w:spacing w:before="40" w:after="0"/>
              <w:jc w:val="center"/>
              <w:rPr>
                <w:noProof/>
                <w:sz w:val="22"/>
                <w:szCs w:val="22"/>
              </w:rPr>
            </w:pPr>
            <w:r>
              <w:rPr>
                <w:noProof/>
                <w:sz w:val="22"/>
                <w:szCs w:val="22"/>
              </w:rPr>
              <w:t>188</w:t>
            </w:r>
          </w:p>
        </w:tc>
      </w:tr>
      <w:tr w:rsidR="00FE5269" w:rsidRPr="000653A9" w14:paraId="0415D054" w14:textId="77777777" w:rsidTr="00F81849">
        <w:tc>
          <w:tcPr>
            <w:tcW w:w="1258" w:type="pct"/>
            <w:vAlign w:val="center"/>
          </w:tcPr>
          <w:p w14:paraId="755445C1" w14:textId="77777777" w:rsidR="00FE5269" w:rsidRPr="000653A9" w:rsidRDefault="00FE5269" w:rsidP="00253145">
            <w:pPr>
              <w:spacing w:before="40" w:after="0"/>
              <w:jc w:val="left"/>
              <w:rPr>
                <w:noProof/>
                <w:sz w:val="22"/>
                <w:szCs w:val="22"/>
              </w:rPr>
            </w:pPr>
            <w:r>
              <w:rPr>
                <w:noProof/>
                <w:sz w:val="22"/>
                <w:szCs w:val="22"/>
              </w:rPr>
              <w:t>FA (after CBAM phase out)</w:t>
            </w:r>
          </w:p>
        </w:tc>
        <w:tc>
          <w:tcPr>
            <w:tcW w:w="374" w:type="pct"/>
            <w:vAlign w:val="center"/>
          </w:tcPr>
          <w:p w14:paraId="3D04E258" w14:textId="77777777" w:rsidR="00FE5269" w:rsidRPr="000653A9" w:rsidRDefault="00FE5269" w:rsidP="00253145">
            <w:pPr>
              <w:spacing w:before="40" w:after="0"/>
              <w:jc w:val="center"/>
              <w:rPr>
                <w:noProof/>
                <w:sz w:val="22"/>
                <w:szCs w:val="22"/>
              </w:rPr>
            </w:pPr>
            <w:r>
              <w:rPr>
                <w:noProof/>
                <w:sz w:val="22"/>
                <w:szCs w:val="22"/>
              </w:rPr>
              <w:t>245</w:t>
            </w:r>
          </w:p>
        </w:tc>
        <w:tc>
          <w:tcPr>
            <w:tcW w:w="374" w:type="pct"/>
            <w:vAlign w:val="center"/>
          </w:tcPr>
          <w:p w14:paraId="7F6C0CBA" w14:textId="77777777" w:rsidR="00FE5269" w:rsidRPr="000653A9" w:rsidRDefault="00FE5269" w:rsidP="00253145">
            <w:pPr>
              <w:spacing w:before="40" w:after="0"/>
              <w:jc w:val="center"/>
              <w:rPr>
                <w:noProof/>
                <w:sz w:val="22"/>
                <w:szCs w:val="22"/>
              </w:rPr>
            </w:pPr>
            <w:r>
              <w:rPr>
                <w:noProof/>
                <w:sz w:val="22"/>
                <w:szCs w:val="22"/>
              </w:rPr>
              <w:t>169</w:t>
            </w:r>
          </w:p>
        </w:tc>
        <w:tc>
          <w:tcPr>
            <w:tcW w:w="374" w:type="pct"/>
            <w:vAlign w:val="center"/>
          </w:tcPr>
          <w:p w14:paraId="6F3135B3" w14:textId="77777777" w:rsidR="00FE5269" w:rsidRPr="000653A9" w:rsidRDefault="00FE5269" w:rsidP="00253145">
            <w:pPr>
              <w:spacing w:before="40" w:after="0"/>
              <w:jc w:val="center"/>
              <w:rPr>
                <w:noProof/>
                <w:sz w:val="22"/>
                <w:szCs w:val="22"/>
              </w:rPr>
            </w:pPr>
            <w:r>
              <w:rPr>
                <w:noProof/>
                <w:sz w:val="22"/>
                <w:szCs w:val="22"/>
              </w:rPr>
              <w:t>73</w:t>
            </w:r>
          </w:p>
        </w:tc>
        <w:tc>
          <w:tcPr>
            <w:tcW w:w="374" w:type="pct"/>
            <w:vAlign w:val="center"/>
          </w:tcPr>
          <w:p w14:paraId="4DE6173A" w14:textId="77777777" w:rsidR="00FE5269" w:rsidRPr="000653A9" w:rsidRDefault="00FE5269" w:rsidP="00253145">
            <w:pPr>
              <w:spacing w:before="40" w:after="0"/>
              <w:jc w:val="center"/>
              <w:rPr>
                <w:noProof/>
                <w:sz w:val="22"/>
                <w:szCs w:val="22"/>
              </w:rPr>
            </w:pPr>
            <w:r>
              <w:rPr>
                <w:noProof/>
                <w:sz w:val="22"/>
                <w:szCs w:val="22"/>
              </w:rPr>
              <w:t>0</w:t>
            </w:r>
          </w:p>
        </w:tc>
        <w:tc>
          <w:tcPr>
            <w:tcW w:w="374" w:type="pct"/>
            <w:vAlign w:val="center"/>
          </w:tcPr>
          <w:p w14:paraId="0F15E803" w14:textId="77777777" w:rsidR="00FE5269" w:rsidRPr="000653A9" w:rsidRDefault="00FE5269" w:rsidP="00253145">
            <w:pPr>
              <w:spacing w:before="40" w:after="0"/>
              <w:jc w:val="center"/>
              <w:rPr>
                <w:noProof/>
                <w:sz w:val="22"/>
                <w:szCs w:val="22"/>
              </w:rPr>
            </w:pPr>
            <w:r>
              <w:rPr>
                <w:noProof/>
                <w:sz w:val="22"/>
                <w:szCs w:val="22"/>
              </w:rPr>
              <w:t>0</w:t>
            </w:r>
          </w:p>
        </w:tc>
        <w:tc>
          <w:tcPr>
            <w:tcW w:w="374" w:type="pct"/>
            <w:vAlign w:val="center"/>
          </w:tcPr>
          <w:p w14:paraId="567269B2" w14:textId="77777777" w:rsidR="00FE5269" w:rsidRPr="000653A9" w:rsidRDefault="00FE5269" w:rsidP="00253145">
            <w:pPr>
              <w:spacing w:before="40" w:after="0"/>
              <w:jc w:val="center"/>
              <w:rPr>
                <w:noProof/>
                <w:sz w:val="22"/>
                <w:szCs w:val="22"/>
              </w:rPr>
            </w:pPr>
            <w:r>
              <w:rPr>
                <w:noProof/>
                <w:sz w:val="22"/>
                <w:szCs w:val="22"/>
              </w:rPr>
              <w:t>0</w:t>
            </w:r>
          </w:p>
        </w:tc>
        <w:tc>
          <w:tcPr>
            <w:tcW w:w="374" w:type="pct"/>
            <w:vAlign w:val="center"/>
          </w:tcPr>
          <w:p w14:paraId="7E4DAAC0" w14:textId="77777777" w:rsidR="00FE5269" w:rsidRPr="000653A9" w:rsidRDefault="00FE5269" w:rsidP="00253145">
            <w:pPr>
              <w:spacing w:before="40" w:after="0"/>
              <w:jc w:val="center"/>
              <w:rPr>
                <w:noProof/>
                <w:sz w:val="22"/>
                <w:szCs w:val="22"/>
              </w:rPr>
            </w:pPr>
            <w:r>
              <w:rPr>
                <w:noProof/>
                <w:sz w:val="22"/>
                <w:szCs w:val="22"/>
              </w:rPr>
              <w:t>0</w:t>
            </w:r>
          </w:p>
        </w:tc>
        <w:tc>
          <w:tcPr>
            <w:tcW w:w="374" w:type="pct"/>
            <w:vAlign w:val="center"/>
          </w:tcPr>
          <w:p w14:paraId="049C86D5" w14:textId="77777777" w:rsidR="00FE5269" w:rsidRPr="000653A9" w:rsidRDefault="00FE5269" w:rsidP="00253145">
            <w:pPr>
              <w:spacing w:before="40" w:after="0"/>
              <w:jc w:val="center"/>
              <w:rPr>
                <w:noProof/>
                <w:sz w:val="22"/>
                <w:szCs w:val="22"/>
              </w:rPr>
            </w:pPr>
            <w:r>
              <w:rPr>
                <w:noProof/>
                <w:sz w:val="22"/>
                <w:szCs w:val="22"/>
              </w:rPr>
              <w:t>0</w:t>
            </w:r>
          </w:p>
        </w:tc>
        <w:tc>
          <w:tcPr>
            <w:tcW w:w="374" w:type="pct"/>
            <w:vAlign w:val="center"/>
          </w:tcPr>
          <w:p w14:paraId="03ED4F42" w14:textId="77777777" w:rsidR="00FE5269" w:rsidRPr="000653A9" w:rsidRDefault="00FE5269" w:rsidP="00253145">
            <w:pPr>
              <w:spacing w:before="40" w:after="0"/>
              <w:jc w:val="center"/>
              <w:rPr>
                <w:noProof/>
                <w:sz w:val="22"/>
                <w:szCs w:val="22"/>
              </w:rPr>
            </w:pPr>
            <w:r>
              <w:rPr>
                <w:noProof/>
                <w:sz w:val="22"/>
                <w:szCs w:val="22"/>
              </w:rPr>
              <w:t>0</w:t>
            </w:r>
          </w:p>
        </w:tc>
        <w:tc>
          <w:tcPr>
            <w:tcW w:w="374" w:type="pct"/>
            <w:vAlign w:val="center"/>
          </w:tcPr>
          <w:p w14:paraId="42063B18" w14:textId="77777777" w:rsidR="00FE5269" w:rsidRPr="000653A9" w:rsidRDefault="00FE5269" w:rsidP="00253145">
            <w:pPr>
              <w:spacing w:before="40" w:after="0"/>
              <w:jc w:val="center"/>
              <w:rPr>
                <w:noProof/>
                <w:sz w:val="22"/>
                <w:szCs w:val="22"/>
              </w:rPr>
            </w:pPr>
            <w:r>
              <w:rPr>
                <w:noProof/>
                <w:sz w:val="22"/>
                <w:szCs w:val="22"/>
              </w:rPr>
              <w:t>0</w:t>
            </w:r>
          </w:p>
        </w:tc>
      </w:tr>
    </w:tbl>
    <w:p w14:paraId="0145C377" w14:textId="306461A8" w:rsidR="00A24B35" w:rsidRPr="000653A9" w:rsidRDefault="00A24B35" w:rsidP="00A24B35">
      <w:pPr>
        <w:spacing w:after="240"/>
        <w:rPr>
          <w:i/>
          <w:iCs/>
          <w:noProof/>
          <w:sz w:val="20"/>
          <w:szCs w:val="20"/>
        </w:rPr>
      </w:pPr>
      <w:r w:rsidRPr="000653A9">
        <w:rPr>
          <w:i/>
          <w:iCs/>
          <w:noProof/>
          <w:sz w:val="20"/>
          <w:szCs w:val="20"/>
        </w:rPr>
        <w:t>Source:</w:t>
      </w:r>
      <w:r w:rsidR="00F66F73" w:rsidRPr="000653A9" w:rsidDel="00F66F73">
        <w:rPr>
          <w:i/>
          <w:iCs/>
          <w:noProof/>
          <w:sz w:val="20"/>
          <w:szCs w:val="20"/>
        </w:rPr>
        <w:t xml:space="preserve"> </w:t>
      </w:r>
      <w:r w:rsidRPr="000653A9">
        <w:rPr>
          <w:i/>
          <w:iCs/>
          <w:noProof/>
          <w:sz w:val="20"/>
          <w:szCs w:val="20"/>
        </w:rPr>
        <w:t>Own calculation based upon preliminary NIMs data for 2019-23.</w:t>
      </w:r>
    </w:p>
    <w:p w14:paraId="6C6866BF" w14:textId="0520E30B" w:rsidR="00A24B35" w:rsidRPr="000653A9" w:rsidRDefault="00031597" w:rsidP="00A24B35">
      <w:pPr>
        <w:rPr>
          <w:noProof/>
        </w:rPr>
      </w:pPr>
      <w:r w:rsidRPr="000653A9">
        <w:rPr>
          <w:noProof/>
        </w:rPr>
        <w:t xml:space="preserve">Figure </w:t>
      </w:r>
      <w:r w:rsidR="009F2E24" w:rsidRPr="000653A9">
        <w:rPr>
          <w:noProof/>
        </w:rPr>
        <w:t>8</w:t>
      </w:r>
      <w:r w:rsidRPr="000653A9">
        <w:rPr>
          <w:noProof/>
        </w:rPr>
        <w:t xml:space="preserve"> </w:t>
      </w:r>
      <w:r w:rsidR="00A24B35" w:rsidRPr="000653A9">
        <w:rPr>
          <w:noProof/>
        </w:rPr>
        <w:t xml:space="preserve">shows the distribution of free allocation under CL3. In contrast to the baseline, no free allocation is provided to both CBAM and non-CBAM sectors from 2034 onwards. This policy measure has a significant impact on non-CBAM sectors as they receive considerably less free allocation over 2031-40 compared to the baseline. For example, under CL3 the manufacture of refined petroleum products (NACE code 19.20) and the manufacture of other organic basic chemicals (NACE code 2014) would only receive around </w:t>
      </w:r>
      <w:r>
        <w:rPr>
          <w:noProof/>
        </w:rPr>
        <w:t>95</w:t>
      </w:r>
      <w:r w:rsidR="00A24B35" w:rsidRPr="000653A9">
        <w:rPr>
          <w:noProof/>
        </w:rPr>
        <w:t xml:space="preserve"> M EUAs and </w:t>
      </w:r>
      <w:r>
        <w:rPr>
          <w:noProof/>
        </w:rPr>
        <w:t>56</w:t>
      </w:r>
      <w:r w:rsidR="00A24B35" w:rsidRPr="000653A9">
        <w:rPr>
          <w:noProof/>
        </w:rPr>
        <w:t xml:space="preserve"> M EUAs respectively. The impact is less for CBAM covered sectors such as the manufacture of basic iron and steel and of ferro alloys (NACE code 2410) and the manufacture of cement (NACE code 2351) as the phase out of their free allocation is already modelled in the baseline and policy scenarios. </w:t>
      </w:r>
      <w:r w:rsidR="00210828" w:rsidRPr="000653A9">
        <w:rPr>
          <w:noProof/>
        </w:rPr>
        <w:t>Both</w:t>
      </w:r>
      <w:r w:rsidR="00A24B35" w:rsidRPr="000653A9">
        <w:rPr>
          <w:noProof/>
        </w:rPr>
        <w:t xml:space="preserve"> sectors receive </w:t>
      </w:r>
      <w:r>
        <w:rPr>
          <w:noProof/>
        </w:rPr>
        <w:t>81</w:t>
      </w:r>
      <w:r w:rsidR="00A24B35" w:rsidRPr="000653A9">
        <w:rPr>
          <w:noProof/>
        </w:rPr>
        <w:t xml:space="preserve"> M EUAs and </w:t>
      </w:r>
      <w:r>
        <w:rPr>
          <w:noProof/>
        </w:rPr>
        <w:t>56</w:t>
      </w:r>
      <w:r w:rsidR="00A24B35" w:rsidRPr="000653A9">
        <w:rPr>
          <w:noProof/>
        </w:rPr>
        <w:t xml:space="preserve"> M EUAs respectively. </w:t>
      </w:r>
    </w:p>
    <w:p w14:paraId="7F0497D5" w14:textId="2FBEA10E" w:rsidR="00DB5EC5" w:rsidRDefault="00A24B35" w:rsidP="000734FB">
      <w:pPr>
        <w:pStyle w:val="Figuretitle"/>
        <w:rPr>
          <w:noProof/>
        </w:rPr>
      </w:pPr>
      <w:bookmarkStart w:id="339" w:name="_Toc224659142"/>
      <w:r w:rsidRPr="000653A9">
        <w:rPr>
          <w:noProof/>
        </w:rPr>
        <w:t>Distribution of free allocation based under CL3 for 2031-40</w:t>
      </w:r>
      <w:bookmarkEnd w:id="339"/>
    </w:p>
    <w:p w14:paraId="59B2BEB6" w14:textId="77777777" w:rsidR="00CC4F87" w:rsidRDefault="00DB5EC5" w:rsidP="00C92FA9">
      <w:pPr>
        <w:jc w:val="center"/>
        <w:rPr>
          <w:noProof/>
        </w:rPr>
      </w:pPr>
      <w:r>
        <w:rPr>
          <w:noProof/>
          <w:lang w:eastAsia="en-GB"/>
        </w:rPr>
        <w:drawing>
          <wp:inline distT="0" distB="0" distL="0" distR="0" wp14:anchorId="7589FA80" wp14:editId="495BE5E1">
            <wp:extent cx="5369356" cy="3511418"/>
            <wp:effectExtent l="0" t="0" r="3175" b="0"/>
            <wp:docPr id="586889831"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889831" name="Picture 1" descr="A graph with different colored bars&#10;&#10;AI-generated content may be incorrect."/>
                    <pic:cNvPicPr/>
                  </pic:nvPicPr>
                  <pic:blipFill>
                    <a:blip r:embed="rId22"/>
                    <a:stretch>
                      <a:fillRect/>
                    </a:stretch>
                  </pic:blipFill>
                  <pic:spPr>
                    <a:xfrm>
                      <a:off x="0" y="0"/>
                      <a:ext cx="5376004" cy="3515766"/>
                    </a:xfrm>
                    <a:prstGeom prst="rect">
                      <a:avLst/>
                    </a:prstGeom>
                  </pic:spPr>
                </pic:pic>
              </a:graphicData>
            </a:graphic>
          </wp:inline>
        </w:drawing>
      </w:r>
    </w:p>
    <w:p w14:paraId="2E99EC43" w14:textId="6A63CB5B" w:rsidR="00A24B35" w:rsidRPr="000653A9" w:rsidRDefault="00A24B35" w:rsidP="00031597">
      <w:pPr>
        <w:rPr>
          <w:i/>
          <w:iCs/>
          <w:noProof/>
          <w:sz w:val="20"/>
          <w:szCs w:val="20"/>
        </w:rPr>
      </w:pPr>
      <w:r w:rsidRPr="000653A9">
        <w:rPr>
          <w:i/>
          <w:iCs/>
          <w:noProof/>
          <w:sz w:val="20"/>
          <w:szCs w:val="20"/>
        </w:rPr>
        <w:t>Source:</w:t>
      </w:r>
      <w:r w:rsidR="00F66F73" w:rsidRPr="000653A9">
        <w:rPr>
          <w:i/>
          <w:iCs/>
          <w:noProof/>
          <w:sz w:val="20"/>
          <w:szCs w:val="20"/>
        </w:rPr>
        <w:t xml:space="preserve"> </w:t>
      </w:r>
      <w:r w:rsidRPr="000653A9">
        <w:rPr>
          <w:i/>
          <w:iCs/>
          <w:noProof/>
          <w:sz w:val="20"/>
          <w:szCs w:val="20"/>
        </w:rPr>
        <w:t>Own calculation based upon preliminary NIMs data for 2019-23</w:t>
      </w:r>
    </w:p>
    <w:p w14:paraId="5E940DA8" w14:textId="4FE0621B" w:rsidR="001404ED" w:rsidRPr="000653A9" w:rsidRDefault="001404ED" w:rsidP="00A24B35">
      <w:pPr>
        <w:spacing w:after="240"/>
        <w:rPr>
          <w:i/>
          <w:iCs/>
          <w:noProof/>
        </w:rPr>
      </w:pPr>
      <w:r w:rsidRPr="000653A9">
        <w:rPr>
          <w:i/>
          <w:iCs/>
          <w:noProof/>
        </w:rPr>
        <w:t>Summary</w:t>
      </w:r>
    </w:p>
    <w:p w14:paraId="4C5AE670" w14:textId="2A665EB0" w:rsidR="00294894" w:rsidRPr="000653A9" w:rsidRDefault="00294894" w:rsidP="001404ED">
      <w:pPr>
        <w:spacing w:before="240" w:after="240"/>
        <w:rPr>
          <w:noProof/>
        </w:rPr>
      </w:pPr>
      <w:r w:rsidRPr="000653A9">
        <w:rPr>
          <w:noProof/>
        </w:rPr>
        <w:t xml:space="preserve">The economic impact of the policy measures relates to the cost of installations paying for an increasing share of their emissions as free allocation is reduced. Given that the ETS cap will progressively decline over the 2031-40 </w:t>
      </w:r>
      <w:r w:rsidR="0072490E" w:rsidRPr="000653A9">
        <w:rPr>
          <w:noProof/>
        </w:rPr>
        <w:t>period</w:t>
      </w:r>
      <w:r w:rsidRPr="000653A9">
        <w:rPr>
          <w:noProof/>
        </w:rPr>
        <w:t xml:space="preserve">, the availability of free allowances will become scarce in all scenarios, however the overall budget of free allocation and the timing of the phase out </w:t>
      </w:r>
      <w:r w:rsidR="00376A96" w:rsidRPr="000653A9">
        <w:rPr>
          <w:noProof/>
        </w:rPr>
        <w:t>vary</w:t>
      </w:r>
      <w:r w:rsidRPr="000653A9">
        <w:rPr>
          <w:noProof/>
        </w:rPr>
        <w:t>. As the ETS cap in the policy scenarios is less stringent than the baseline, free allocation is higher except for CL3.</w:t>
      </w:r>
    </w:p>
    <w:p w14:paraId="0D227722" w14:textId="0B4AD623" w:rsidR="00584CB0" w:rsidRPr="000653A9" w:rsidRDefault="00294894" w:rsidP="00294894">
      <w:pPr>
        <w:spacing w:after="240"/>
        <w:rPr>
          <w:noProof/>
        </w:rPr>
      </w:pPr>
      <w:r>
        <w:rPr>
          <w:noProof/>
        </w:rPr>
        <w:t>In terms of the economic value of the free allocation provided to these sectors it will depend upon the development of the EUA price over the 2031-40 period, which is assumed at EUR 150 over the 2031-2040. The same price assumption was used for estimating the total financial value of free allocation across all policy options – see table 12.</w:t>
      </w:r>
    </w:p>
    <w:p w14:paraId="0605BAA4" w14:textId="2A9A4BD1" w:rsidR="00DB4369" w:rsidRPr="000653A9" w:rsidRDefault="00D216D7" w:rsidP="00C92FA9">
      <w:pPr>
        <w:pStyle w:val="Tabletitle"/>
        <w:rPr>
          <w:noProof/>
        </w:rPr>
      </w:pPr>
      <w:r>
        <w:rPr>
          <w:noProof/>
        </w:rPr>
        <w:t>Overview of the 2031-40 free allowances and their economic value in the baseline scenario and the policy measures</w:t>
      </w:r>
    </w:p>
    <w:tbl>
      <w:tblPr>
        <w:tblpPr w:leftFromText="180" w:rightFromText="180" w:vertAnchor="text" w:horzAnchor="margin" w:tblpY="447"/>
        <w:tblW w:w="5000" w:type="pct"/>
        <w:tblCellMar>
          <w:top w:w="15" w:type="dxa"/>
          <w:bottom w:w="15" w:type="dxa"/>
        </w:tblCellMar>
        <w:tblLook w:val="04A0" w:firstRow="1" w:lastRow="0" w:firstColumn="1" w:lastColumn="0" w:noHBand="0" w:noVBand="1"/>
      </w:tblPr>
      <w:tblGrid>
        <w:gridCol w:w="6385"/>
        <w:gridCol w:w="2631"/>
      </w:tblGrid>
      <w:tr w:rsidR="00F071D4" w:rsidRPr="001921F1" w14:paraId="6AE28CA8" w14:textId="496F0106" w:rsidTr="00F071D4">
        <w:trPr>
          <w:trHeight w:val="300"/>
        </w:trPr>
        <w:tc>
          <w:tcPr>
            <w:tcW w:w="3541" w:type="pct"/>
            <w:tcBorders>
              <w:top w:val="single" w:sz="4" w:space="0" w:color="000000"/>
              <w:left w:val="single" w:sz="4" w:space="0" w:color="000000"/>
              <w:bottom w:val="single" w:sz="4" w:space="0" w:color="000000"/>
              <w:right w:val="single" w:sz="4" w:space="0" w:color="000000"/>
            </w:tcBorders>
            <w:noWrap/>
            <w:vAlign w:val="bottom"/>
            <w:hideMark/>
          </w:tcPr>
          <w:p w14:paraId="2C391F46" w14:textId="7C5B5302" w:rsidR="00F071D4" w:rsidRPr="001921F1" w:rsidRDefault="00F071D4" w:rsidP="00F071D4">
            <w:pPr>
              <w:spacing w:before="0" w:after="0"/>
              <w:jc w:val="left"/>
              <w:rPr>
                <w:rFonts w:eastAsia="Times New Roman"/>
                <w:noProof/>
                <w:color w:val="auto"/>
                <w:sz w:val="20"/>
                <w:szCs w:val="20"/>
                <w:lang w:val="en-IE" w:eastAsia="en-IE"/>
              </w:rPr>
            </w:pPr>
          </w:p>
        </w:tc>
        <w:tc>
          <w:tcPr>
            <w:tcW w:w="1459" w:type="pct"/>
            <w:tcBorders>
              <w:top w:val="single" w:sz="4" w:space="0" w:color="000000"/>
              <w:left w:val="single" w:sz="4" w:space="0" w:color="000000"/>
              <w:bottom w:val="single" w:sz="4" w:space="0" w:color="000000"/>
              <w:right w:val="single" w:sz="4" w:space="0" w:color="000000"/>
            </w:tcBorders>
            <w:noWrap/>
            <w:vAlign w:val="center"/>
            <w:hideMark/>
          </w:tcPr>
          <w:p w14:paraId="26717D59" w14:textId="6678F57F" w:rsidR="00F071D4" w:rsidRPr="001921F1" w:rsidRDefault="00F071D4" w:rsidP="00F071D4">
            <w:pPr>
              <w:spacing w:before="0" w:after="0"/>
              <w:jc w:val="center"/>
              <w:rPr>
                <w:rFonts w:eastAsia="Times New Roman"/>
                <w:noProof/>
                <w:color w:val="000000"/>
                <w:sz w:val="22"/>
                <w:szCs w:val="22"/>
                <w:lang w:val="en-IE" w:eastAsia="en-IE"/>
              </w:rPr>
            </w:pPr>
            <w:r>
              <w:rPr>
                <w:rFonts w:eastAsia="Times New Roman"/>
                <w:noProof/>
                <w:color w:val="000000"/>
                <w:sz w:val="22"/>
                <w:szCs w:val="22"/>
                <w:lang w:val="en-IE" w:eastAsia="en-IE"/>
              </w:rPr>
              <w:t>2031-2040</w:t>
            </w:r>
          </w:p>
        </w:tc>
      </w:tr>
      <w:tr w:rsidR="00BB3B8E" w:rsidRPr="001921F1" w14:paraId="1CC32778" w14:textId="5F755098"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103AF442" w14:textId="5D429BCA" w:rsidR="00BB3B8E" w:rsidRPr="001921F1" w:rsidRDefault="00BB3B8E" w:rsidP="00BB3B8E">
            <w:pPr>
              <w:spacing w:before="0" w:after="0"/>
              <w:jc w:val="left"/>
              <w:rPr>
                <w:rFonts w:eastAsia="Times New Roman"/>
                <w:b/>
                <w:bCs/>
                <w:noProof/>
                <w:color w:val="000000"/>
                <w:sz w:val="22"/>
                <w:szCs w:val="22"/>
                <w:lang w:val="en-IE" w:eastAsia="en-IE"/>
              </w:rPr>
            </w:pPr>
            <w:r>
              <w:rPr>
                <w:rFonts w:eastAsia="Times New Roman"/>
                <w:b/>
                <w:bCs/>
                <w:noProof/>
                <w:color w:val="000000"/>
                <w:sz w:val="22"/>
                <w:szCs w:val="22"/>
                <w:lang w:val="en-IE" w:eastAsia="en-IE"/>
              </w:rPr>
              <w:t>EUR/tCO2</w:t>
            </w:r>
          </w:p>
        </w:tc>
        <w:tc>
          <w:tcPr>
            <w:tcW w:w="1459" w:type="pct"/>
            <w:tcBorders>
              <w:top w:val="single" w:sz="4" w:space="0" w:color="000000"/>
              <w:left w:val="single" w:sz="4" w:space="0" w:color="000000"/>
              <w:bottom w:val="single" w:sz="4" w:space="0" w:color="000000"/>
              <w:right w:val="single" w:sz="4" w:space="0" w:color="000000"/>
            </w:tcBorders>
            <w:noWrap/>
            <w:hideMark/>
          </w:tcPr>
          <w:p w14:paraId="40B938C1" w14:textId="51AC6C3B" w:rsidR="00BB3B8E" w:rsidRPr="001921F1" w:rsidRDefault="00421233" w:rsidP="00BB3B8E">
            <w:pPr>
              <w:spacing w:before="0" w:after="0"/>
              <w:jc w:val="center"/>
              <w:rPr>
                <w:rFonts w:eastAsia="Times New Roman"/>
                <w:noProof/>
                <w:color w:val="000000"/>
                <w:sz w:val="22"/>
                <w:szCs w:val="22"/>
                <w:lang w:val="en-IE" w:eastAsia="en-IE"/>
              </w:rPr>
            </w:pPr>
            <w:r>
              <w:rPr>
                <w:noProof/>
              </w:rPr>
              <w:t>EUR 150.0</w:t>
            </w:r>
          </w:p>
        </w:tc>
      </w:tr>
      <w:tr w:rsidR="00BB3B8E" w:rsidRPr="001921F1" w14:paraId="185B3B1F" w14:textId="5B50DE72"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05CDFAE4" w14:textId="04BE2853" w:rsidR="00BB3B8E" w:rsidRPr="001921F1" w:rsidRDefault="00BB3B8E" w:rsidP="00BB3B8E">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Baseline FA (mil EUAs)</w:t>
            </w:r>
          </w:p>
        </w:tc>
        <w:tc>
          <w:tcPr>
            <w:tcW w:w="1459" w:type="pct"/>
            <w:tcBorders>
              <w:top w:val="single" w:sz="4" w:space="0" w:color="000000"/>
              <w:left w:val="single" w:sz="4" w:space="0" w:color="000000"/>
              <w:bottom w:val="single" w:sz="4" w:space="0" w:color="000000"/>
              <w:right w:val="single" w:sz="4" w:space="0" w:color="000000"/>
            </w:tcBorders>
            <w:noWrap/>
            <w:hideMark/>
          </w:tcPr>
          <w:p w14:paraId="4A1EBD91" w14:textId="643F02B6" w:rsidR="00BB3B8E" w:rsidRPr="001921F1" w:rsidRDefault="00BB3B8E" w:rsidP="00BB3B8E">
            <w:pPr>
              <w:spacing w:before="0" w:after="0"/>
              <w:jc w:val="center"/>
              <w:rPr>
                <w:rFonts w:eastAsia="Times New Roman"/>
                <w:noProof/>
                <w:color w:val="000000"/>
                <w:sz w:val="22"/>
                <w:szCs w:val="22"/>
                <w:lang w:val="en-IE" w:eastAsia="en-IE"/>
              </w:rPr>
            </w:pPr>
            <w:r>
              <w:rPr>
                <w:noProof/>
              </w:rPr>
              <w:t>779</w:t>
            </w:r>
          </w:p>
        </w:tc>
      </w:tr>
      <w:tr w:rsidR="00BB3B8E" w:rsidRPr="001921F1" w14:paraId="124688C5" w14:textId="6B43F6C5"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7EF7C6C3" w14:textId="6FFCC2F6" w:rsidR="00BB3B8E" w:rsidRPr="001921F1" w:rsidRDefault="00BB3B8E" w:rsidP="00BB3B8E">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Baseline FA value (bn EUR)</w:t>
            </w:r>
          </w:p>
        </w:tc>
        <w:tc>
          <w:tcPr>
            <w:tcW w:w="1459" w:type="pct"/>
            <w:tcBorders>
              <w:top w:val="single" w:sz="4" w:space="0" w:color="000000"/>
              <w:left w:val="single" w:sz="4" w:space="0" w:color="000000"/>
              <w:bottom w:val="single" w:sz="4" w:space="0" w:color="000000"/>
              <w:right w:val="single" w:sz="4" w:space="0" w:color="000000"/>
            </w:tcBorders>
            <w:noWrap/>
            <w:hideMark/>
          </w:tcPr>
          <w:p w14:paraId="02911104" w14:textId="2C806F67" w:rsidR="00BB3B8E" w:rsidRPr="001921F1" w:rsidRDefault="00421233" w:rsidP="00BB3B8E">
            <w:pPr>
              <w:spacing w:before="0" w:after="0"/>
              <w:jc w:val="center"/>
              <w:rPr>
                <w:rFonts w:eastAsia="Times New Roman"/>
                <w:noProof/>
                <w:color w:val="000000"/>
                <w:sz w:val="22"/>
                <w:szCs w:val="22"/>
                <w:lang w:val="en-IE" w:eastAsia="en-IE"/>
              </w:rPr>
            </w:pPr>
            <w:r>
              <w:rPr>
                <w:noProof/>
              </w:rPr>
              <w:t>EUR 116.9</w:t>
            </w:r>
          </w:p>
        </w:tc>
      </w:tr>
      <w:tr w:rsidR="00BB3B8E" w:rsidRPr="001921F1" w14:paraId="78720DB1" w14:textId="5AF66295"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36F99788" w14:textId="3466BB94" w:rsidR="00BB3B8E" w:rsidRPr="001921F1" w:rsidRDefault="00BB3B8E" w:rsidP="00BB3B8E">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CL1_PO1 (mil EUAs)</w:t>
            </w:r>
          </w:p>
        </w:tc>
        <w:tc>
          <w:tcPr>
            <w:tcW w:w="1459" w:type="pct"/>
            <w:tcBorders>
              <w:top w:val="single" w:sz="4" w:space="0" w:color="000000"/>
              <w:left w:val="single" w:sz="4" w:space="0" w:color="000000"/>
              <w:bottom w:val="single" w:sz="4" w:space="0" w:color="000000"/>
              <w:right w:val="single" w:sz="4" w:space="0" w:color="000000"/>
            </w:tcBorders>
            <w:noWrap/>
            <w:hideMark/>
          </w:tcPr>
          <w:p w14:paraId="2036FC19" w14:textId="25CA183F" w:rsidR="00BB3B8E" w:rsidRPr="001921F1" w:rsidRDefault="00BB3B8E" w:rsidP="00BB3B8E">
            <w:pPr>
              <w:spacing w:before="0" w:after="0"/>
              <w:jc w:val="center"/>
              <w:rPr>
                <w:rFonts w:eastAsia="Times New Roman"/>
                <w:noProof/>
                <w:color w:val="000000"/>
                <w:sz w:val="22"/>
                <w:szCs w:val="22"/>
                <w:lang w:val="en-IE" w:eastAsia="en-IE"/>
              </w:rPr>
            </w:pPr>
            <w:r>
              <w:rPr>
                <w:noProof/>
              </w:rPr>
              <w:t>977</w:t>
            </w:r>
          </w:p>
        </w:tc>
      </w:tr>
      <w:tr w:rsidR="00BB3B8E" w:rsidRPr="001921F1" w14:paraId="5D5B355A" w14:textId="44C2DB45"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4A842B7F" w14:textId="2287E355" w:rsidR="00BB3B8E" w:rsidRPr="00D20CDD" w:rsidRDefault="00BB3B8E" w:rsidP="00BB3B8E">
            <w:pPr>
              <w:spacing w:before="0" w:after="0"/>
              <w:jc w:val="left"/>
              <w:rPr>
                <w:rFonts w:eastAsia="Times New Roman"/>
                <w:noProof/>
                <w:color w:val="000000"/>
                <w:sz w:val="22"/>
                <w:szCs w:val="22"/>
                <w:lang w:val="it-IT" w:eastAsia="en-IE"/>
              </w:rPr>
            </w:pPr>
            <w:r>
              <w:rPr>
                <w:rFonts w:eastAsia="Times New Roman"/>
                <w:noProof/>
                <w:color w:val="000000"/>
                <w:sz w:val="22"/>
                <w:szCs w:val="22"/>
                <w:lang w:val="it-IT" w:eastAsia="en-IE"/>
              </w:rPr>
              <w:t>CL1_PO1 value (bn EUR)</w:t>
            </w:r>
          </w:p>
        </w:tc>
        <w:tc>
          <w:tcPr>
            <w:tcW w:w="1459" w:type="pct"/>
            <w:tcBorders>
              <w:top w:val="single" w:sz="4" w:space="0" w:color="000000"/>
              <w:left w:val="single" w:sz="4" w:space="0" w:color="000000"/>
              <w:bottom w:val="single" w:sz="4" w:space="0" w:color="000000"/>
              <w:right w:val="single" w:sz="4" w:space="0" w:color="000000"/>
            </w:tcBorders>
            <w:noWrap/>
            <w:hideMark/>
          </w:tcPr>
          <w:p w14:paraId="4B858C11" w14:textId="37F264B2" w:rsidR="00BB3B8E" w:rsidRPr="001921F1" w:rsidRDefault="00421233" w:rsidP="00BB3B8E">
            <w:pPr>
              <w:spacing w:before="0" w:after="0"/>
              <w:jc w:val="center"/>
              <w:rPr>
                <w:rFonts w:eastAsia="Times New Roman"/>
                <w:noProof/>
                <w:color w:val="000000"/>
                <w:sz w:val="22"/>
                <w:szCs w:val="22"/>
                <w:lang w:val="en-IE" w:eastAsia="en-IE"/>
              </w:rPr>
            </w:pPr>
            <w:r>
              <w:rPr>
                <w:noProof/>
              </w:rPr>
              <w:t>EUR 146.6</w:t>
            </w:r>
          </w:p>
        </w:tc>
      </w:tr>
      <w:tr w:rsidR="00BB3B8E" w:rsidRPr="001921F1" w14:paraId="6073B369" w14:textId="40068B54"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0F1A9AFC" w14:textId="241DB9CA" w:rsidR="00BB3B8E" w:rsidRPr="001921F1" w:rsidRDefault="00BB3B8E" w:rsidP="00BB3B8E">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CL2_90_PO2 (mil EUAs)</w:t>
            </w:r>
          </w:p>
        </w:tc>
        <w:tc>
          <w:tcPr>
            <w:tcW w:w="1459" w:type="pct"/>
            <w:tcBorders>
              <w:top w:val="single" w:sz="4" w:space="0" w:color="000000"/>
              <w:left w:val="single" w:sz="4" w:space="0" w:color="000000"/>
              <w:bottom w:val="single" w:sz="4" w:space="0" w:color="000000"/>
              <w:right w:val="single" w:sz="4" w:space="0" w:color="000000"/>
            </w:tcBorders>
            <w:noWrap/>
            <w:hideMark/>
          </w:tcPr>
          <w:p w14:paraId="0AB86E7F" w14:textId="05A00DE8" w:rsidR="00BB3B8E" w:rsidRPr="001921F1" w:rsidRDefault="00BB3B8E" w:rsidP="00BB3B8E">
            <w:pPr>
              <w:spacing w:before="0" w:after="0"/>
              <w:jc w:val="center"/>
              <w:rPr>
                <w:rFonts w:eastAsia="Times New Roman"/>
                <w:noProof/>
                <w:color w:val="000000"/>
                <w:sz w:val="22"/>
                <w:szCs w:val="22"/>
                <w:lang w:val="en-IE" w:eastAsia="en-IE"/>
              </w:rPr>
            </w:pPr>
            <w:r>
              <w:rPr>
                <w:noProof/>
              </w:rPr>
              <w:t>991</w:t>
            </w:r>
          </w:p>
        </w:tc>
      </w:tr>
      <w:tr w:rsidR="00BB3B8E" w:rsidRPr="001921F1" w14:paraId="2AC0E089" w14:textId="2B0DB6F3"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51B6A29A" w14:textId="09F95961" w:rsidR="00BB3B8E" w:rsidRPr="00D20CDD" w:rsidRDefault="00BB3B8E" w:rsidP="00BB3B8E">
            <w:pPr>
              <w:spacing w:before="0" w:after="0"/>
              <w:jc w:val="left"/>
              <w:rPr>
                <w:rFonts w:eastAsia="Times New Roman"/>
                <w:noProof/>
                <w:color w:val="000000"/>
                <w:sz w:val="22"/>
                <w:szCs w:val="22"/>
                <w:lang w:val="it-IT" w:eastAsia="en-IE"/>
              </w:rPr>
            </w:pPr>
            <w:r>
              <w:rPr>
                <w:rFonts w:eastAsia="Times New Roman"/>
                <w:noProof/>
                <w:color w:val="000000"/>
                <w:sz w:val="22"/>
                <w:szCs w:val="22"/>
                <w:lang w:val="it-IT" w:eastAsia="en-IE"/>
              </w:rPr>
              <w:t>CL2_90_PO2 value (bn EUR)</w:t>
            </w:r>
          </w:p>
        </w:tc>
        <w:tc>
          <w:tcPr>
            <w:tcW w:w="1459" w:type="pct"/>
            <w:tcBorders>
              <w:top w:val="single" w:sz="4" w:space="0" w:color="000000"/>
              <w:left w:val="single" w:sz="4" w:space="0" w:color="000000"/>
              <w:bottom w:val="single" w:sz="4" w:space="0" w:color="000000"/>
              <w:right w:val="single" w:sz="4" w:space="0" w:color="000000"/>
            </w:tcBorders>
            <w:noWrap/>
            <w:hideMark/>
          </w:tcPr>
          <w:p w14:paraId="6688D784" w14:textId="5416F1F0" w:rsidR="00BB3B8E" w:rsidRPr="001921F1" w:rsidRDefault="00421233" w:rsidP="00BB3B8E">
            <w:pPr>
              <w:spacing w:before="0" w:after="0"/>
              <w:jc w:val="center"/>
              <w:rPr>
                <w:rFonts w:eastAsia="Times New Roman"/>
                <w:noProof/>
                <w:color w:val="000000"/>
                <w:sz w:val="22"/>
                <w:szCs w:val="22"/>
                <w:lang w:val="en-IE" w:eastAsia="en-IE"/>
              </w:rPr>
            </w:pPr>
            <w:r>
              <w:rPr>
                <w:noProof/>
              </w:rPr>
              <w:t>EUR 148.7</w:t>
            </w:r>
          </w:p>
        </w:tc>
      </w:tr>
      <w:tr w:rsidR="00BB3B8E" w:rsidRPr="001921F1" w14:paraId="03F1F44A" w14:textId="6C56FBE1" w:rsidTr="00F81849">
        <w:trPr>
          <w:trHeight w:val="36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4472ABBB" w14:textId="034DA948" w:rsidR="00BB3B8E" w:rsidRPr="002B04B9" w:rsidRDefault="00BB3B8E" w:rsidP="00BB3B8E">
            <w:pPr>
              <w:spacing w:before="0" w:after="0"/>
              <w:jc w:val="left"/>
              <w:rPr>
                <w:rFonts w:eastAsia="Times New Roman"/>
                <w:noProof/>
                <w:color w:val="000000"/>
                <w:sz w:val="22"/>
                <w:szCs w:val="22"/>
                <w:lang w:val="sv-SE" w:eastAsia="en-IE"/>
              </w:rPr>
            </w:pPr>
            <w:r>
              <w:rPr>
                <w:rFonts w:eastAsia="Times New Roman"/>
                <w:noProof/>
                <w:color w:val="000000"/>
                <w:sz w:val="22"/>
                <w:szCs w:val="22"/>
                <w:lang w:val="sv-SE" w:eastAsia="en-IE"/>
              </w:rPr>
              <w:t>CL2_90_PO2 (CBAM Var) (mil EUAs)</w:t>
            </w:r>
          </w:p>
        </w:tc>
        <w:tc>
          <w:tcPr>
            <w:tcW w:w="1459" w:type="pct"/>
            <w:tcBorders>
              <w:top w:val="single" w:sz="4" w:space="0" w:color="000000"/>
              <w:left w:val="single" w:sz="4" w:space="0" w:color="000000"/>
              <w:bottom w:val="single" w:sz="4" w:space="0" w:color="000000"/>
              <w:right w:val="single" w:sz="4" w:space="0" w:color="000000"/>
            </w:tcBorders>
            <w:noWrap/>
            <w:hideMark/>
          </w:tcPr>
          <w:p w14:paraId="7E32F51A" w14:textId="4D0DA2E4" w:rsidR="00BB3B8E" w:rsidRPr="001921F1" w:rsidRDefault="00BB3B8E" w:rsidP="00BB3B8E">
            <w:pPr>
              <w:spacing w:before="0" w:after="0"/>
              <w:jc w:val="center"/>
              <w:rPr>
                <w:rFonts w:eastAsia="Times New Roman"/>
                <w:noProof/>
                <w:color w:val="000000"/>
                <w:sz w:val="22"/>
                <w:szCs w:val="22"/>
                <w:lang w:val="en-IE" w:eastAsia="en-IE"/>
              </w:rPr>
            </w:pPr>
            <w:r>
              <w:rPr>
                <w:noProof/>
              </w:rPr>
              <w:t>1145</w:t>
            </w:r>
          </w:p>
        </w:tc>
      </w:tr>
      <w:tr w:rsidR="00BB3B8E" w:rsidRPr="001921F1" w14:paraId="0F71DBA4" w14:textId="60545660" w:rsidTr="00F81849">
        <w:trPr>
          <w:trHeight w:val="36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74356883" w14:textId="771B7B3A" w:rsidR="00BB3B8E" w:rsidRPr="002B04B9" w:rsidRDefault="00BB3B8E" w:rsidP="00BB3B8E">
            <w:pPr>
              <w:spacing w:before="0" w:after="0"/>
              <w:jc w:val="left"/>
              <w:rPr>
                <w:rFonts w:eastAsia="Times New Roman"/>
                <w:noProof/>
                <w:color w:val="000000"/>
                <w:sz w:val="22"/>
                <w:szCs w:val="22"/>
                <w:lang w:val="sv-SE" w:eastAsia="en-IE"/>
              </w:rPr>
            </w:pPr>
            <w:r>
              <w:rPr>
                <w:rFonts w:eastAsia="Times New Roman"/>
                <w:noProof/>
                <w:color w:val="000000"/>
                <w:sz w:val="22"/>
                <w:szCs w:val="22"/>
                <w:lang w:val="sv-SE" w:eastAsia="en-IE"/>
              </w:rPr>
              <w:t>CL2_90_PO2 (CBAM Var)  value (bn EUR)</w:t>
            </w:r>
          </w:p>
        </w:tc>
        <w:tc>
          <w:tcPr>
            <w:tcW w:w="1459" w:type="pct"/>
            <w:tcBorders>
              <w:top w:val="single" w:sz="4" w:space="0" w:color="000000"/>
              <w:left w:val="single" w:sz="4" w:space="0" w:color="000000"/>
              <w:bottom w:val="single" w:sz="4" w:space="0" w:color="000000"/>
              <w:right w:val="single" w:sz="4" w:space="0" w:color="000000"/>
            </w:tcBorders>
            <w:noWrap/>
            <w:hideMark/>
          </w:tcPr>
          <w:p w14:paraId="3FF75B2E" w14:textId="02AE4277" w:rsidR="00BB3B8E" w:rsidRPr="001921F1" w:rsidRDefault="00421233" w:rsidP="00BB3B8E">
            <w:pPr>
              <w:spacing w:before="0" w:after="0"/>
              <w:jc w:val="center"/>
              <w:rPr>
                <w:rFonts w:eastAsia="Times New Roman"/>
                <w:noProof/>
                <w:color w:val="000000"/>
                <w:sz w:val="22"/>
                <w:szCs w:val="22"/>
                <w:lang w:val="en-IE" w:eastAsia="en-IE"/>
              </w:rPr>
            </w:pPr>
            <w:r>
              <w:rPr>
                <w:noProof/>
              </w:rPr>
              <w:t>EUR 171.8</w:t>
            </w:r>
          </w:p>
        </w:tc>
      </w:tr>
      <w:tr w:rsidR="00BB3B8E" w:rsidRPr="001921F1" w14:paraId="7F3E4D78" w14:textId="52D7A0F8"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1E03D395" w14:textId="0E34B575" w:rsidR="00BB3B8E" w:rsidRPr="001921F1" w:rsidRDefault="00BB3B8E" w:rsidP="00BB3B8E">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CL2_50_PO2 (mil EUAs)</w:t>
            </w:r>
          </w:p>
        </w:tc>
        <w:tc>
          <w:tcPr>
            <w:tcW w:w="1459" w:type="pct"/>
            <w:tcBorders>
              <w:top w:val="single" w:sz="4" w:space="0" w:color="000000"/>
              <w:left w:val="single" w:sz="4" w:space="0" w:color="000000"/>
              <w:bottom w:val="single" w:sz="4" w:space="0" w:color="000000"/>
              <w:right w:val="single" w:sz="4" w:space="0" w:color="000000"/>
            </w:tcBorders>
            <w:noWrap/>
            <w:hideMark/>
          </w:tcPr>
          <w:p w14:paraId="13D8CD07" w14:textId="657A0846" w:rsidR="00BB3B8E" w:rsidRPr="001921F1" w:rsidRDefault="00BB3B8E" w:rsidP="00BB3B8E">
            <w:pPr>
              <w:spacing w:before="0" w:after="0"/>
              <w:jc w:val="center"/>
              <w:rPr>
                <w:rFonts w:eastAsia="Times New Roman"/>
                <w:noProof/>
                <w:color w:val="000000"/>
                <w:sz w:val="22"/>
                <w:szCs w:val="22"/>
                <w:lang w:val="en-IE" w:eastAsia="en-IE"/>
              </w:rPr>
            </w:pPr>
            <w:r>
              <w:rPr>
                <w:noProof/>
              </w:rPr>
              <w:t>810</w:t>
            </w:r>
          </w:p>
        </w:tc>
      </w:tr>
      <w:tr w:rsidR="00BB3B8E" w:rsidRPr="001921F1" w14:paraId="2E73A7ED" w14:textId="5C9A288A"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142F032F" w14:textId="0905EDCA" w:rsidR="00BB3B8E" w:rsidRPr="00D20CDD" w:rsidRDefault="00BB3B8E" w:rsidP="00BB3B8E">
            <w:pPr>
              <w:spacing w:before="0" w:after="0"/>
              <w:jc w:val="left"/>
              <w:rPr>
                <w:rFonts w:eastAsia="Times New Roman"/>
                <w:noProof/>
                <w:color w:val="000000"/>
                <w:sz w:val="22"/>
                <w:szCs w:val="22"/>
                <w:lang w:val="it-IT" w:eastAsia="en-IE"/>
              </w:rPr>
            </w:pPr>
            <w:r>
              <w:rPr>
                <w:rFonts w:eastAsia="Times New Roman"/>
                <w:noProof/>
                <w:color w:val="000000"/>
                <w:sz w:val="22"/>
                <w:szCs w:val="22"/>
                <w:lang w:val="it-IT" w:eastAsia="en-IE"/>
              </w:rPr>
              <w:t>CL2_50_PO2 value (bn EUR)</w:t>
            </w:r>
          </w:p>
        </w:tc>
        <w:tc>
          <w:tcPr>
            <w:tcW w:w="1459" w:type="pct"/>
            <w:tcBorders>
              <w:top w:val="single" w:sz="4" w:space="0" w:color="000000"/>
              <w:left w:val="single" w:sz="4" w:space="0" w:color="000000"/>
              <w:bottom w:val="single" w:sz="4" w:space="0" w:color="000000"/>
              <w:right w:val="single" w:sz="4" w:space="0" w:color="000000"/>
            </w:tcBorders>
            <w:noWrap/>
            <w:hideMark/>
          </w:tcPr>
          <w:p w14:paraId="6A99EF06" w14:textId="7CB34EA8" w:rsidR="00BB3B8E" w:rsidRPr="001921F1" w:rsidRDefault="00421233" w:rsidP="00BB3B8E">
            <w:pPr>
              <w:spacing w:before="0" w:after="0"/>
              <w:jc w:val="center"/>
              <w:rPr>
                <w:rFonts w:eastAsia="Times New Roman"/>
                <w:noProof/>
                <w:color w:val="000000"/>
                <w:sz w:val="22"/>
                <w:szCs w:val="22"/>
                <w:lang w:val="en-IE" w:eastAsia="en-IE"/>
              </w:rPr>
            </w:pPr>
            <w:r>
              <w:rPr>
                <w:noProof/>
              </w:rPr>
              <w:t>EUR 121.5</w:t>
            </w:r>
          </w:p>
        </w:tc>
      </w:tr>
      <w:tr w:rsidR="00BB3B8E" w:rsidRPr="001921F1" w14:paraId="0A956B46" w14:textId="7CE9C10F"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25FDF469" w14:textId="4D886ECB" w:rsidR="00BB3B8E" w:rsidRPr="002B04B9" w:rsidRDefault="00BB3B8E" w:rsidP="00BB3B8E">
            <w:pPr>
              <w:spacing w:before="0" w:after="0"/>
              <w:jc w:val="left"/>
              <w:rPr>
                <w:rFonts w:eastAsia="Times New Roman"/>
                <w:noProof/>
                <w:color w:val="000000"/>
                <w:sz w:val="22"/>
                <w:szCs w:val="22"/>
                <w:lang w:val="sv-SE" w:eastAsia="en-IE"/>
              </w:rPr>
            </w:pPr>
            <w:r>
              <w:rPr>
                <w:rFonts w:eastAsia="Times New Roman"/>
                <w:noProof/>
                <w:color w:val="000000"/>
                <w:sz w:val="22"/>
                <w:szCs w:val="22"/>
                <w:lang w:val="sv-SE" w:eastAsia="en-IE"/>
              </w:rPr>
              <w:t>CL2_50_PO2 (CBAM Var) (mil EUAs)</w:t>
            </w:r>
          </w:p>
        </w:tc>
        <w:tc>
          <w:tcPr>
            <w:tcW w:w="1459" w:type="pct"/>
            <w:tcBorders>
              <w:top w:val="single" w:sz="4" w:space="0" w:color="000000"/>
              <w:left w:val="single" w:sz="4" w:space="0" w:color="000000"/>
              <w:bottom w:val="single" w:sz="4" w:space="0" w:color="000000"/>
              <w:right w:val="single" w:sz="4" w:space="0" w:color="000000"/>
            </w:tcBorders>
            <w:noWrap/>
            <w:hideMark/>
          </w:tcPr>
          <w:p w14:paraId="1A96144C" w14:textId="26C3C546" w:rsidR="00BB3B8E" w:rsidRPr="001921F1" w:rsidRDefault="00BB3B8E" w:rsidP="00BB3B8E">
            <w:pPr>
              <w:spacing w:before="0" w:after="0"/>
              <w:jc w:val="center"/>
              <w:rPr>
                <w:rFonts w:eastAsia="Times New Roman"/>
                <w:noProof/>
                <w:color w:val="000000"/>
                <w:sz w:val="22"/>
                <w:szCs w:val="22"/>
                <w:lang w:val="en-IE" w:eastAsia="en-IE"/>
              </w:rPr>
            </w:pPr>
            <w:r>
              <w:rPr>
                <w:noProof/>
              </w:rPr>
              <w:t>992</w:t>
            </w:r>
          </w:p>
        </w:tc>
      </w:tr>
      <w:tr w:rsidR="00BB3B8E" w:rsidRPr="001921F1" w14:paraId="1DC6DED4" w14:textId="093D6CC2"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214110BB" w14:textId="5AE6AF34" w:rsidR="00BB3B8E" w:rsidRPr="002B04B9" w:rsidRDefault="00BB3B8E" w:rsidP="00BB3B8E">
            <w:pPr>
              <w:spacing w:before="0" w:after="0"/>
              <w:jc w:val="left"/>
              <w:rPr>
                <w:rFonts w:eastAsia="Times New Roman"/>
                <w:noProof/>
                <w:color w:val="000000"/>
                <w:sz w:val="22"/>
                <w:szCs w:val="22"/>
                <w:lang w:val="sv-SE" w:eastAsia="en-IE"/>
              </w:rPr>
            </w:pPr>
            <w:r>
              <w:rPr>
                <w:rFonts w:eastAsia="Times New Roman"/>
                <w:noProof/>
                <w:color w:val="000000"/>
                <w:sz w:val="22"/>
                <w:szCs w:val="22"/>
                <w:lang w:val="sv-SE" w:eastAsia="en-IE"/>
              </w:rPr>
              <w:t>CL2_50_PO2 (CBAM Var)  value (bn EUR)</w:t>
            </w:r>
          </w:p>
        </w:tc>
        <w:tc>
          <w:tcPr>
            <w:tcW w:w="1459" w:type="pct"/>
            <w:tcBorders>
              <w:top w:val="single" w:sz="4" w:space="0" w:color="000000"/>
              <w:left w:val="single" w:sz="4" w:space="0" w:color="000000"/>
              <w:bottom w:val="single" w:sz="4" w:space="0" w:color="000000"/>
              <w:right w:val="single" w:sz="4" w:space="0" w:color="000000"/>
            </w:tcBorders>
            <w:noWrap/>
            <w:hideMark/>
          </w:tcPr>
          <w:p w14:paraId="582BA788" w14:textId="1F92D471" w:rsidR="00BB3B8E" w:rsidRPr="001921F1" w:rsidRDefault="00421233" w:rsidP="00BB3B8E">
            <w:pPr>
              <w:spacing w:before="0" w:after="0"/>
              <w:jc w:val="center"/>
              <w:rPr>
                <w:rFonts w:eastAsia="Times New Roman"/>
                <w:noProof/>
                <w:color w:val="000000"/>
                <w:sz w:val="22"/>
                <w:szCs w:val="22"/>
                <w:lang w:val="en-IE" w:eastAsia="en-IE"/>
              </w:rPr>
            </w:pPr>
            <w:r>
              <w:rPr>
                <w:noProof/>
              </w:rPr>
              <w:t>EUR 148.8</w:t>
            </w:r>
          </w:p>
        </w:tc>
      </w:tr>
      <w:tr w:rsidR="00BB3B8E" w:rsidRPr="001921F1" w14:paraId="425AEEE8" w14:textId="62079DFB"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715F3D5C" w14:textId="5D3820CA" w:rsidR="00BB3B8E" w:rsidRPr="001921F1" w:rsidRDefault="00BB3B8E" w:rsidP="00BB3B8E">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CL3_PO3 (mil EUAs)</w:t>
            </w:r>
          </w:p>
        </w:tc>
        <w:tc>
          <w:tcPr>
            <w:tcW w:w="1459" w:type="pct"/>
            <w:tcBorders>
              <w:top w:val="single" w:sz="4" w:space="0" w:color="000000"/>
              <w:left w:val="single" w:sz="4" w:space="0" w:color="000000"/>
              <w:bottom w:val="single" w:sz="4" w:space="0" w:color="000000"/>
              <w:right w:val="single" w:sz="4" w:space="0" w:color="000000"/>
            </w:tcBorders>
            <w:noWrap/>
            <w:hideMark/>
          </w:tcPr>
          <w:p w14:paraId="6DC1E429" w14:textId="5A6F0A16" w:rsidR="00BB3B8E" w:rsidRPr="001921F1" w:rsidRDefault="00BB3B8E" w:rsidP="00BB3B8E">
            <w:pPr>
              <w:spacing w:before="0" w:after="0"/>
              <w:jc w:val="center"/>
              <w:rPr>
                <w:rFonts w:eastAsia="Times New Roman"/>
                <w:noProof/>
                <w:color w:val="000000"/>
                <w:sz w:val="22"/>
                <w:szCs w:val="22"/>
                <w:lang w:val="en-IE" w:eastAsia="en-IE"/>
              </w:rPr>
            </w:pPr>
            <w:r>
              <w:rPr>
                <w:noProof/>
              </w:rPr>
              <w:t>487</w:t>
            </w:r>
          </w:p>
        </w:tc>
      </w:tr>
      <w:tr w:rsidR="00BB3B8E" w:rsidRPr="001921F1" w14:paraId="5DE66F67" w14:textId="51DEA903" w:rsidTr="00F81849">
        <w:trPr>
          <w:trHeight w:val="300"/>
        </w:trPr>
        <w:tc>
          <w:tcPr>
            <w:tcW w:w="3541" w:type="pct"/>
            <w:tcBorders>
              <w:top w:val="single" w:sz="4" w:space="0" w:color="000000"/>
              <w:left w:val="single" w:sz="4" w:space="0" w:color="000000"/>
              <w:bottom w:val="single" w:sz="4" w:space="0" w:color="000000"/>
              <w:right w:val="single" w:sz="4" w:space="0" w:color="000000"/>
            </w:tcBorders>
            <w:vAlign w:val="bottom"/>
            <w:hideMark/>
          </w:tcPr>
          <w:p w14:paraId="358C176B" w14:textId="39009D87" w:rsidR="00BB3B8E" w:rsidRPr="00D20CDD" w:rsidRDefault="00BB3B8E" w:rsidP="00BB3B8E">
            <w:pPr>
              <w:spacing w:before="0" w:after="0"/>
              <w:jc w:val="left"/>
              <w:rPr>
                <w:rFonts w:eastAsia="Times New Roman"/>
                <w:noProof/>
                <w:color w:val="000000"/>
                <w:sz w:val="22"/>
                <w:szCs w:val="22"/>
                <w:lang w:val="it-IT" w:eastAsia="en-IE"/>
              </w:rPr>
            </w:pPr>
            <w:r>
              <w:rPr>
                <w:rFonts w:eastAsia="Times New Roman"/>
                <w:noProof/>
                <w:color w:val="000000"/>
                <w:sz w:val="22"/>
                <w:szCs w:val="22"/>
                <w:lang w:val="it-IT" w:eastAsia="en-IE"/>
              </w:rPr>
              <w:t>CL3_PO3 value (bn EUR)</w:t>
            </w:r>
          </w:p>
        </w:tc>
        <w:tc>
          <w:tcPr>
            <w:tcW w:w="1459" w:type="pct"/>
            <w:tcBorders>
              <w:top w:val="single" w:sz="4" w:space="0" w:color="000000"/>
              <w:left w:val="single" w:sz="4" w:space="0" w:color="000000"/>
              <w:bottom w:val="single" w:sz="4" w:space="0" w:color="000000"/>
              <w:right w:val="single" w:sz="4" w:space="0" w:color="000000"/>
            </w:tcBorders>
            <w:noWrap/>
            <w:hideMark/>
          </w:tcPr>
          <w:p w14:paraId="5A6B353E" w14:textId="387DF20D" w:rsidR="00BB3B8E" w:rsidRPr="001921F1" w:rsidRDefault="00421233" w:rsidP="00BB3B8E">
            <w:pPr>
              <w:spacing w:before="0" w:after="0"/>
              <w:jc w:val="center"/>
              <w:rPr>
                <w:rFonts w:eastAsia="Times New Roman"/>
                <w:noProof/>
                <w:color w:val="000000"/>
                <w:sz w:val="22"/>
                <w:szCs w:val="22"/>
                <w:lang w:val="en-IE" w:eastAsia="en-IE"/>
              </w:rPr>
            </w:pPr>
            <w:r>
              <w:rPr>
                <w:noProof/>
              </w:rPr>
              <w:t>EUR 73.1</w:t>
            </w:r>
          </w:p>
        </w:tc>
      </w:tr>
    </w:tbl>
    <w:p w14:paraId="5F2EC94E" w14:textId="355C8B8C" w:rsidR="0069445B" w:rsidRPr="000653A9" w:rsidRDefault="0069445B" w:rsidP="000734FB">
      <w:pPr>
        <w:pStyle w:val="Tabletitle"/>
        <w:numPr>
          <w:ilvl w:val="0"/>
          <w:numId w:val="0"/>
        </w:numPr>
        <w:rPr>
          <w:noProof/>
        </w:rPr>
      </w:pPr>
      <w:bookmarkStart w:id="340" w:name="_Toc222740043"/>
      <w:bookmarkStart w:id="341" w:name="_Toc222740044"/>
      <w:bookmarkStart w:id="342" w:name="_Toc222740045"/>
      <w:bookmarkStart w:id="343" w:name="_Toc222740046"/>
      <w:bookmarkStart w:id="344" w:name="_Toc222740047"/>
      <w:bookmarkEnd w:id="340"/>
      <w:bookmarkEnd w:id="341"/>
      <w:bookmarkEnd w:id="342"/>
      <w:bookmarkEnd w:id="343"/>
      <w:bookmarkEnd w:id="344"/>
    </w:p>
    <w:p w14:paraId="2DDBF3AF" w14:textId="021EE1D5" w:rsidR="00CD6189" w:rsidRDefault="00F071D4" w:rsidP="00EC091D">
      <w:pPr>
        <w:spacing w:after="0"/>
        <w:rPr>
          <w:i/>
          <w:iCs/>
          <w:noProof/>
          <w:color w:val="auto"/>
          <w:sz w:val="20"/>
          <w:szCs w:val="20"/>
        </w:rPr>
      </w:pPr>
      <w:r>
        <w:rPr>
          <w:i/>
          <w:iCs/>
          <w:noProof/>
          <w:color w:val="auto"/>
          <w:sz w:val="20"/>
          <w:szCs w:val="20"/>
        </w:rPr>
        <w:t>Source:</w:t>
      </w:r>
      <w:r>
        <w:rPr>
          <w:i/>
          <w:iCs/>
          <w:noProof/>
          <w:color w:val="auto"/>
          <w:sz w:val="20"/>
          <w:szCs w:val="20"/>
        </w:rPr>
        <w:tab/>
        <w:t>Own calculation based upon preliminary NIMs data for 2019-23</w:t>
      </w:r>
    </w:p>
    <w:p w14:paraId="5FEA8761" w14:textId="77777777" w:rsidR="00DC63F8" w:rsidRPr="000653A9" w:rsidRDefault="00DC63F8" w:rsidP="009539AB">
      <w:pPr>
        <w:pStyle w:val="Heading5COM"/>
        <w:outlineLvl w:val="5"/>
        <w:rPr>
          <w:noProof/>
        </w:rPr>
      </w:pPr>
      <w:bookmarkStart w:id="345" w:name="_Toc219902657"/>
      <w:bookmarkStart w:id="346" w:name="_Toc219902658"/>
      <w:bookmarkStart w:id="347" w:name="_Toc219902659"/>
      <w:bookmarkStart w:id="348" w:name="_Toc219902732"/>
      <w:bookmarkStart w:id="349" w:name="_Toc219902733"/>
      <w:bookmarkStart w:id="350" w:name="_Toc230857904"/>
      <w:bookmarkStart w:id="351" w:name="_Toc232751095"/>
      <w:bookmarkEnd w:id="345"/>
      <w:bookmarkEnd w:id="346"/>
      <w:bookmarkEnd w:id="347"/>
      <w:bookmarkEnd w:id="348"/>
      <w:bookmarkEnd w:id="349"/>
      <w:r w:rsidRPr="000653A9">
        <w:rPr>
          <w:noProof/>
        </w:rPr>
        <w:t>Carbon leakage prevention measures for indirect emissions</w:t>
      </w:r>
      <w:bookmarkEnd w:id="321"/>
      <w:bookmarkEnd w:id="322"/>
      <w:bookmarkEnd w:id="350"/>
      <w:bookmarkEnd w:id="351"/>
    </w:p>
    <w:p w14:paraId="6F5CBEC9" w14:textId="4AC4A2D4" w:rsidR="003B4B47" w:rsidRPr="000653A9" w:rsidRDefault="003B4B47" w:rsidP="00B051EB">
      <w:pPr>
        <w:rPr>
          <w:noProof/>
          <w:color w:val="auto"/>
        </w:rPr>
      </w:pPr>
      <w:r w:rsidRPr="000653A9">
        <w:rPr>
          <w:noProof/>
          <w:color w:val="auto"/>
        </w:rPr>
        <w:t>Currently</w:t>
      </w:r>
      <w:r w:rsidR="00207A32" w:rsidRPr="000653A9">
        <w:rPr>
          <w:noProof/>
          <w:color w:val="auto"/>
        </w:rPr>
        <w:t>,</w:t>
      </w:r>
      <w:r w:rsidRPr="000653A9">
        <w:rPr>
          <w:noProof/>
          <w:color w:val="auto"/>
        </w:rPr>
        <w:t xml:space="preserve"> the provision of indirect cost compensation is fragmented across the EU. </w:t>
      </w:r>
      <w:r w:rsidR="00AD47D0" w:rsidRPr="000653A9">
        <w:rPr>
          <w:noProof/>
          <w:color w:val="auto"/>
        </w:rPr>
        <w:t>Under option ICC1, t</w:t>
      </w:r>
      <w:r w:rsidRPr="000653A9">
        <w:rPr>
          <w:noProof/>
          <w:color w:val="auto"/>
        </w:rPr>
        <w:t xml:space="preserve">he economic impact </w:t>
      </w:r>
      <w:r w:rsidR="00F22564" w:rsidRPr="000653A9">
        <w:rPr>
          <w:noProof/>
          <w:color w:val="auto"/>
        </w:rPr>
        <w:t xml:space="preserve">in 2031-2040 </w:t>
      </w:r>
      <w:r w:rsidR="00B051EB" w:rsidRPr="000653A9">
        <w:rPr>
          <w:noProof/>
          <w:color w:val="auto"/>
        </w:rPr>
        <w:t xml:space="preserve">will depend </w:t>
      </w:r>
      <w:r w:rsidRPr="000653A9">
        <w:rPr>
          <w:noProof/>
          <w:color w:val="auto"/>
        </w:rPr>
        <w:t>on whether there is a continuation of the existing S</w:t>
      </w:r>
      <w:r w:rsidR="00B051EB" w:rsidRPr="000653A9">
        <w:rPr>
          <w:noProof/>
          <w:color w:val="auto"/>
        </w:rPr>
        <w:t>tate aid</w:t>
      </w:r>
      <w:r w:rsidRPr="000653A9">
        <w:rPr>
          <w:noProof/>
          <w:color w:val="auto"/>
        </w:rPr>
        <w:t xml:space="preserve"> encouragement</w:t>
      </w:r>
      <w:r w:rsidR="005713A4" w:rsidRPr="000653A9">
        <w:rPr>
          <w:noProof/>
          <w:color w:val="auto"/>
        </w:rPr>
        <w:t>,</w:t>
      </w:r>
      <w:r w:rsidR="00CF0E5D" w:rsidRPr="000653A9">
        <w:rPr>
          <w:noProof/>
          <w:color w:val="auto"/>
        </w:rPr>
        <w:t xml:space="preserve"> on</w:t>
      </w:r>
      <w:r w:rsidR="00B051EB" w:rsidRPr="000653A9">
        <w:rPr>
          <w:noProof/>
          <w:color w:val="auto"/>
        </w:rPr>
        <w:t xml:space="preserve"> how this encouragement is implemented</w:t>
      </w:r>
      <w:r w:rsidR="00CF0E5D" w:rsidRPr="000653A9">
        <w:rPr>
          <w:noProof/>
          <w:color w:val="auto"/>
        </w:rPr>
        <w:t xml:space="preserve"> through</w:t>
      </w:r>
      <w:r w:rsidR="005713A4" w:rsidRPr="000653A9">
        <w:rPr>
          <w:noProof/>
          <w:color w:val="auto"/>
        </w:rPr>
        <w:t xml:space="preserve"> the rel</w:t>
      </w:r>
      <w:r w:rsidR="00CF0E5D" w:rsidRPr="000653A9">
        <w:rPr>
          <w:noProof/>
          <w:color w:val="auto"/>
        </w:rPr>
        <w:t>evant</w:t>
      </w:r>
      <w:r w:rsidR="005713A4" w:rsidRPr="000653A9">
        <w:rPr>
          <w:noProof/>
          <w:color w:val="auto"/>
        </w:rPr>
        <w:t xml:space="preserve"> State aid rules</w:t>
      </w:r>
      <w:r w:rsidR="00CF0E5D" w:rsidRPr="000653A9">
        <w:rPr>
          <w:noProof/>
          <w:color w:val="auto"/>
        </w:rPr>
        <w:t>.</w:t>
      </w:r>
      <w:r w:rsidRPr="000653A9">
        <w:rPr>
          <w:noProof/>
          <w:color w:val="auto"/>
        </w:rPr>
        <w:t xml:space="preserve"> </w:t>
      </w:r>
      <w:r w:rsidR="00CF0E5D" w:rsidRPr="000653A9">
        <w:rPr>
          <w:noProof/>
          <w:color w:val="auto"/>
        </w:rPr>
        <w:t>A</w:t>
      </w:r>
      <w:r w:rsidRPr="000653A9">
        <w:rPr>
          <w:noProof/>
          <w:color w:val="auto"/>
        </w:rPr>
        <w:t>lternatively</w:t>
      </w:r>
      <w:r w:rsidR="008133A4" w:rsidRPr="000653A9">
        <w:rPr>
          <w:noProof/>
          <w:color w:val="auto"/>
        </w:rPr>
        <w:t>,</w:t>
      </w:r>
      <w:r w:rsidRPr="000653A9">
        <w:rPr>
          <w:noProof/>
          <w:color w:val="auto"/>
        </w:rPr>
        <w:t xml:space="preserve"> </w:t>
      </w:r>
      <w:r w:rsidR="00CF0E5D" w:rsidRPr="000653A9">
        <w:rPr>
          <w:noProof/>
          <w:color w:val="auto"/>
        </w:rPr>
        <w:t>it will be affected by the design of</w:t>
      </w:r>
      <w:r w:rsidRPr="000653A9">
        <w:rPr>
          <w:noProof/>
          <w:color w:val="auto"/>
        </w:rPr>
        <w:t xml:space="preserve"> a harmonised system (ICC2). </w:t>
      </w:r>
    </w:p>
    <w:p w14:paraId="5E69DD9D" w14:textId="3117FD18" w:rsidR="0090140C" w:rsidRPr="000653A9" w:rsidRDefault="00EC091D" w:rsidP="00A108E3">
      <w:pPr>
        <w:rPr>
          <w:noProof/>
          <w:color w:val="auto"/>
        </w:rPr>
      </w:pPr>
      <w:r w:rsidRPr="000653A9">
        <w:rPr>
          <w:noProof/>
          <w:color w:val="auto"/>
        </w:rPr>
        <w:t>To</w:t>
      </w:r>
      <w:r w:rsidR="00CF0E5D" w:rsidRPr="000653A9">
        <w:rPr>
          <w:noProof/>
          <w:color w:val="auto"/>
        </w:rPr>
        <w:t xml:space="preserve"> estimate </w:t>
      </w:r>
      <w:r w:rsidR="004A1452" w:rsidRPr="000653A9">
        <w:rPr>
          <w:noProof/>
          <w:color w:val="auto"/>
        </w:rPr>
        <w:t>the scale of the support that may be provided over Phase V of the EU ETS</w:t>
      </w:r>
      <w:r w:rsidR="005900C2" w:rsidRPr="000653A9">
        <w:rPr>
          <w:noProof/>
          <w:color w:val="auto"/>
        </w:rPr>
        <w:t>,</w:t>
      </w:r>
      <w:r w:rsidR="004A1452" w:rsidRPr="000653A9">
        <w:rPr>
          <w:noProof/>
          <w:color w:val="auto"/>
        </w:rPr>
        <w:t xml:space="preserve"> </w:t>
      </w:r>
      <w:r w:rsidR="007E16E3" w:rsidRPr="000653A9">
        <w:rPr>
          <w:noProof/>
          <w:color w:val="auto"/>
        </w:rPr>
        <w:t>a</w:t>
      </w:r>
      <w:r w:rsidR="008D13EB" w:rsidRPr="000653A9">
        <w:rPr>
          <w:noProof/>
          <w:color w:val="auto"/>
        </w:rPr>
        <w:t xml:space="preserve"> </w:t>
      </w:r>
      <w:r w:rsidR="003B4B47" w:rsidRPr="000653A9">
        <w:rPr>
          <w:noProof/>
          <w:color w:val="auto"/>
        </w:rPr>
        <w:t xml:space="preserve">quantitative exercise was undertaken based </w:t>
      </w:r>
      <w:r w:rsidR="0060512F" w:rsidRPr="000653A9">
        <w:rPr>
          <w:noProof/>
          <w:color w:val="auto"/>
        </w:rPr>
        <w:t xml:space="preserve">on adjusting </w:t>
      </w:r>
      <w:r w:rsidR="003572A3" w:rsidRPr="000653A9">
        <w:rPr>
          <w:noProof/>
          <w:color w:val="auto"/>
        </w:rPr>
        <w:t>recent</w:t>
      </w:r>
      <w:r w:rsidR="0090140C" w:rsidRPr="000653A9">
        <w:rPr>
          <w:noProof/>
          <w:color w:val="auto"/>
        </w:rPr>
        <w:t xml:space="preserve"> ICC compensation payments to account for possible developments post-2030.</w:t>
      </w:r>
      <w:r w:rsidR="009D0AB6" w:rsidRPr="000653A9">
        <w:rPr>
          <w:noProof/>
          <w:color w:val="auto"/>
        </w:rPr>
        <w:t xml:space="preserve"> </w:t>
      </w:r>
      <w:r w:rsidR="003D7931" w:rsidRPr="000653A9">
        <w:rPr>
          <w:noProof/>
          <w:color w:val="auto"/>
        </w:rPr>
        <w:t xml:space="preserve">The </w:t>
      </w:r>
      <w:r w:rsidR="00291911" w:rsidRPr="000653A9">
        <w:rPr>
          <w:noProof/>
          <w:color w:val="auto"/>
        </w:rPr>
        <w:t xml:space="preserve">estimates generated </w:t>
      </w:r>
      <w:r w:rsidR="008C3B51" w:rsidRPr="000653A9">
        <w:rPr>
          <w:noProof/>
          <w:color w:val="auto"/>
        </w:rPr>
        <w:t xml:space="preserve">from this exercise must be considered </w:t>
      </w:r>
      <w:r w:rsidR="006240D8" w:rsidRPr="000653A9">
        <w:rPr>
          <w:noProof/>
          <w:color w:val="auto"/>
        </w:rPr>
        <w:t>tentative</w:t>
      </w:r>
      <w:r w:rsidR="001C15C1" w:rsidRPr="000653A9">
        <w:rPr>
          <w:noProof/>
          <w:color w:val="auto"/>
        </w:rPr>
        <w:t>. They e</w:t>
      </w:r>
      <w:r w:rsidR="0039676F" w:rsidRPr="000653A9">
        <w:rPr>
          <w:noProof/>
          <w:color w:val="auto"/>
        </w:rPr>
        <w:t>xplore</w:t>
      </w:r>
      <w:r w:rsidR="001C15C1" w:rsidRPr="000653A9">
        <w:rPr>
          <w:noProof/>
          <w:color w:val="auto"/>
        </w:rPr>
        <w:t xml:space="preserve"> how today’s </w:t>
      </w:r>
      <w:r w:rsidR="006F7A8F" w:rsidRPr="000653A9">
        <w:rPr>
          <w:noProof/>
          <w:color w:val="auto"/>
        </w:rPr>
        <w:t xml:space="preserve">ICC compensation could be affected by plausible post-2030 </w:t>
      </w:r>
      <w:r w:rsidR="0039676F" w:rsidRPr="000653A9">
        <w:rPr>
          <w:noProof/>
          <w:color w:val="auto"/>
        </w:rPr>
        <w:t xml:space="preserve">developments, but do not model the </w:t>
      </w:r>
      <w:r w:rsidR="006A1DA7" w:rsidRPr="000653A9">
        <w:rPr>
          <w:noProof/>
          <w:color w:val="auto"/>
        </w:rPr>
        <w:t xml:space="preserve">impacts </w:t>
      </w:r>
      <w:r w:rsidR="000F6EA1" w:rsidRPr="000653A9">
        <w:rPr>
          <w:noProof/>
          <w:color w:val="auto"/>
        </w:rPr>
        <w:t>of the policy options themselves</w:t>
      </w:r>
      <w:r w:rsidR="007A18B6" w:rsidRPr="000653A9">
        <w:rPr>
          <w:noProof/>
          <w:color w:val="auto"/>
        </w:rPr>
        <w:t>.</w:t>
      </w:r>
    </w:p>
    <w:p w14:paraId="14F39233" w14:textId="7E3041DC" w:rsidR="00787D57" w:rsidRPr="000653A9" w:rsidRDefault="00787D57" w:rsidP="00A108E3">
      <w:pPr>
        <w:rPr>
          <w:noProof/>
          <w:color w:val="auto"/>
        </w:rPr>
      </w:pPr>
      <w:r w:rsidRPr="000653A9">
        <w:rPr>
          <w:b/>
          <w:bCs/>
          <w:noProof/>
          <w:color w:val="auto"/>
        </w:rPr>
        <w:t>Observed ICC payments</w:t>
      </w:r>
      <w:r w:rsidRPr="000653A9">
        <w:rPr>
          <w:noProof/>
          <w:color w:val="auto"/>
        </w:rPr>
        <w:t xml:space="preserve"> </w:t>
      </w:r>
      <w:r w:rsidR="00E9287B" w:rsidRPr="000653A9">
        <w:rPr>
          <w:noProof/>
          <w:color w:val="auto"/>
        </w:rPr>
        <w:t>amounted to EUR 4.1 billion for costs incurred in 2021-2023</w:t>
      </w:r>
      <w:r w:rsidR="000E04B6" w:rsidRPr="000653A9">
        <w:rPr>
          <w:noProof/>
          <w:color w:val="auto"/>
        </w:rPr>
        <w:t xml:space="preserve"> on average</w:t>
      </w:r>
      <w:r w:rsidR="00A61CCE" w:rsidRPr="000653A9">
        <w:rPr>
          <w:noProof/>
          <w:color w:val="auto"/>
        </w:rPr>
        <w:t>,</w:t>
      </w:r>
      <w:r w:rsidR="00A56097" w:rsidRPr="000653A9">
        <w:rPr>
          <w:noProof/>
          <w:color w:val="auto"/>
        </w:rPr>
        <w:t xml:space="preserve"> ranging from EUR 2.2 billion in 2021 to EUR 5.5 </w:t>
      </w:r>
      <w:r w:rsidR="006754FB" w:rsidRPr="000653A9">
        <w:rPr>
          <w:noProof/>
          <w:color w:val="auto"/>
        </w:rPr>
        <w:t xml:space="preserve">billion </w:t>
      </w:r>
      <w:r w:rsidR="00340C19" w:rsidRPr="000653A9">
        <w:rPr>
          <w:noProof/>
          <w:color w:val="auto"/>
        </w:rPr>
        <w:t xml:space="preserve">in 2023, with the variation explained mainly </w:t>
      </w:r>
      <w:r w:rsidR="00A31C08" w:rsidRPr="000653A9">
        <w:rPr>
          <w:noProof/>
          <w:color w:val="auto"/>
        </w:rPr>
        <w:t xml:space="preserve">by increases in the carbon price over this period (see </w:t>
      </w:r>
      <w:r w:rsidR="00A31C08" w:rsidRPr="00090589">
        <w:rPr>
          <w:noProof/>
          <w:color w:val="auto"/>
        </w:rPr>
        <w:t xml:space="preserve">Annex </w:t>
      </w:r>
      <w:r w:rsidR="00570BE3" w:rsidRPr="00090589">
        <w:rPr>
          <w:noProof/>
          <w:color w:val="auto"/>
        </w:rPr>
        <w:t>15 on the ETS Evaluation</w:t>
      </w:r>
      <w:r w:rsidR="00A31C08" w:rsidRPr="000653A9">
        <w:rPr>
          <w:noProof/>
          <w:color w:val="auto"/>
        </w:rPr>
        <w:t xml:space="preserve"> for </w:t>
      </w:r>
      <w:r w:rsidR="00FF706C" w:rsidRPr="000653A9">
        <w:rPr>
          <w:noProof/>
          <w:color w:val="auto"/>
        </w:rPr>
        <w:t>additional backward-looking analysis of ICC compensation)</w:t>
      </w:r>
      <w:r w:rsidR="00E9287B" w:rsidRPr="000653A9">
        <w:rPr>
          <w:noProof/>
          <w:color w:val="auto"/>
        </w:rPr>
        <w:t>.</w:t>
      </w:r>
    </w:p>
    <w:p w14:paraId="6C59E6FA" w14:textId="0987ACD4" w:rsidR="00D155C7" w:rsidRPr="000653A9" w:rsidRDefault="004E3D53" w:rsidP="00A108E3">
      <w:pPr>
        <w:rPr>
          <w:noProof/>
          <w:color w:val="auto"/>
        </w:rPr>
      </w:pPr>
      <w:r w:rsidRPr="000653A9">
        <w:rPr>
          <w:noProof/>
          <w:color w:val="auto"/>
        </w:rPr>
        <w:t xml:space="preserve">A proxy for </w:t>
      </w:r>
      <w:r w:rsidR="006B6958" w:rsidRPr="000653A9">
        <w:rPr>
          <w:noProof/>
          <w:color w:val="auto"/>
        </w:rPr>
        <w:t xml:space="preserve">potential </w:t>
      </w:r>
      <w:r w:rsidR="008047B9" w:rsidRPr="000653A9">
        <w:rPr>
          <w:b/>
          <w:bCs/>
          <w:noProof/>
          <w:color w:val="auto"/>
        </w:rPr>
        <w:t>increased</w:t>
      </w:r>
      <w:r w:rsidR="006B6958" w:rsidRPr="000653A9">
        <w:rPr>
          <w:b/>
          <w:bCs/>
          <w:noProof/>
          <w:color w:val="auto"/>
        </w:rPr>
        <w:t xml:space="preserve"> Member State participation</w:t>
      </w:r>
      <w:r w:rsidR="008C0BE0" w:rsidRPr="000653A9">
        <w:rPr>
          <w:noProof/>
          <w:color w:val="auto"/>
        </w:rPr>
        <w:t xml:space="preserve"> </w:t>
      </w:r>
      <w:r w:rsidR="001C73A5" w:rsidRPr="000653A9">
        <w:rPr>
          <w:noProof/>
          <w:color w:val="auto"/>
        </w:rPr>
        <w:t xml:space="preserve">in ICC </w:t>
      </w:r>
      <w:r w:rsidR="00C147A7" w:rsidRPr="000653A9">
        <w:rPr>
          <w:noProof/>
          <w:color w:val="auto"/>
        </w:rPr>
        <w:t>compensation</w:t>
      </w:r>
      <w:r w:rsidR="001C73A5" w:rsidRPr="000653A9">
        <w:rPr>
          <w:noProof/>
          <w:color w:val="auto"/>
        </w:rPr>
        <w:t xml:space="preserve"> was created </w:t>
      </w:r>
      <w:r w:rsidR="00084212" w:rsidRPr="000653A9">
        <w:rPr>
          <w:noProof/>
          <w:color w:val="auto"/>
        </w:rPr>
        <w:t>using Eurostat data on industrial electricity consumption in ICC-relevant sectors</w:t>
      </w:r>
      <w:bookmarkStart w:id="352" w:name="_Ref219825661"/>
      <w:r w:rsidR="00084212" w:rsidRPr="000653A9">
        <w:rPr>
          <w:rStyle w:val="FootnoteReference"/>
          <w:noProof/>
          <w:color w:val="auto"/>
        </w:rPr>
        <w:footnoteReference w:id="16"/>
      </w:r>
      <w:bookmarkEnd w:id="352"/>
      <w:r w:rsidR="00084212" w:rsidRPr="000653A9">
        <w:rPr>
          <w:noProof/>
          <w:color w:val="auto"/>
        </w:rPr>
        <w:t>.</w:t>
      </w:r>
      <w:r w:rsidR="00263F59" w:rsidRPr="000653A9">
        <w:rPr>
          <w:noProof/>
          <w:color w:val="auto"/>
        </w:rPr>
        <w:t xml:space="preserve"> This suggested </w:t>
      </w:r>
      <w:r w:rsidR="00060FB7" w:rsidRPr="000653A9">
        <w:rPr>
          <w:noProof/>
          <w:color w:val="auto"/>
        </w:rPr>
        <w:t>that ICC compensation could increase by 18% if more Member States chose to offer compensation</w:t>
      </w:r>
      <w:r w:rsidR="00D96FAD" w:rsidRPr="000653A9">
        <w:rPr>
          <w:noProof/>
          <w:color w:val="auto"/>
        </w:rPr>
        <w:t>.</w:t>
      </w:r>
      <w:r w:rsidR="007E4F02" w:rsidRPr="000653A9">
        <w:rPr>
          <w:noProof/>
          <w:color w:val="auto"/>
        </w:rPr>
        <w:t xml:space="preserve"> It implicitly assumes that the</w:t>
      </w:r>
      <w:r w:rsidR="00C17F63" w:rsidRPr="000653A9">
        <w:rPr>
          <w:noProof/>
          <w:color w:val="auto"/>
        </w:rPr>
        <w:t xml:space="preserve"> new national schemes would adopt the</w:t>
      </w:r>
      <w:r w:rsidR="007E4F02" w:rsidRPr="000653A9">
        <w:rPr>
          <w:noProof/>
          <w:color w:val="auto"/>
        </w:rPr>
        <w:t xml:space="preserve"> average aid intensity</w:t>
      </w:r>
      <w:r w:rsidR="00C17F63" w:rsidRPr="000653A9">
        <w:rPr>
          <w:noProof/>
          <w:color w:val="auto"/>
        </w:rPr>
        <w:t xml:space="preserve"> of</w:t>
      </w:r>
      <w:r w:rsidR="007E4F02" w:rsidRPr="000653A9">
        <w:rPr>
          <w:noProof/>
          <w:color w:val="auto"/>
        </w:rPr>
        <w:t xml:space="preserve"> the existing Member State</w:t>
      </w:r>
      <w:r w:rsidR="00C17F63" w:rsidRPr="000653A9">
        <w:rPr>
          <w:noProof/>
          <w:color w:val="auto"/>
        </w:rPr>
        <w:t xml:space="preserve"> schemes.</w:t>
      </w:r>
      <w:r w:rsidR="00B43F2E" w:rsidRPr="000653A9">
        <w:rPr>
          <w:noProof/>
          <w:color w:val="auto"/>
        </w:rPr>
        <w:t xml:space="preserve"> Figure </w:t>
      </w:r>
      <w:r w:rsidR="00100064" w:rsidRPr="000653A9">
        <w:rPr>
          <w:noProof/>
          <w:color w:val="auto"/>
        </w:rPr>
        <w:t>9</w:t>
      </w:r>
      <w:r w:rsidR="00B43F2E" w:rsidRPr="000653A9">
        <w:rPr>
          <w:noProof/>
          <w:color w:val="auto"/>
        </w:rPr>
        <w:t xml:space="preserve"> suggests that</w:t>
      </w:r>
      <w:r w:rsidR="00B54C26" w:rsidRPr="000653A9">
        <w:rPr>
          <w:noProof/>
          <w:color w:val="auto"/>
        </w:rPr>
        <w:t xml:space="preserve"> </w:t>
      </w:r>
      <w:r w:rsidR="00B43F2E" w:rsidRPr="000653A9">
        <w:rPr>
          <w:noProof/>
          <w:color w:val="auto"/>
        </w:rPr>
        <w:t>m</w:t>
      </w:r>
      <w:r w:rsidR="006062B5" w:rsidRPr="000653A9">
        <w:rPr>
          <w:noProof/>
          <w:color w:val="auto"/>
        </w:rPr>
        <w:t>ost of this increase would come from Sweden. However, it is important</w:t>
      </w:r>
      <w:r w:rsidR="00BE1958" w:rsidRPr="000653A9">
        <w:rPr>
          <w:noProof/>
          <w:color w:val="auto"/>
        </w:rPr>
        <w:t xml:space="preserve"> to note that the emissions factors in the </w:t>
      </w:r>
      <w:r w:rsidR="00842BBE" w:rsidRPr="000653A9">
        <w:rPr>
          <w:noProof/>
          <w:color w:val="auto"/>
        </w:rPr>
        <w:t xml:space="preserve">current </w:t>
      </w:r>
      <w:r w:rsidR="00BE1958" w:rsidRPr="000653A9">
        <w:rPr>
          <w:noProof/>
          <w:color w:val="auto"/>
        </w:rPr>
        <w:t xml:space="preserve">State aid guidelines are likely to overstate the extent </w:t>
      </w:r>
      <w:r w:rsidR="00D35DC2" w:rsidRPr="000653A9">
        <w:rPr>
          <w:noProof/>
          <w:color w:val="auto"/>
        </w:rPr>
        <w:t>of indirect cost</w:t>
      </w:r>
      <w:r w:rsidR="000A1197" w:rsidRPr="000653A9">
        <w:rPr>
          <w:noProof/>
          <w:color w:val="auto"/>
        </w:rPr>
        <w:t xml:space="preserve"> </w:t>
      </w:r>
      <w:r w:rsidR="15A0724A" w:rsidRPr="000653A9">
        <w:rPr>
          <w:noProof/>
          <w:color w:val="auto"/>
        </w:rPr>
        <w:t>in this Member State</w:t>
      </w:r>
      <w:r w:rsidR="00C3038E" w:rsidRPr="000653A9">
        <w:rPr>
          <w:noProof/>
          <w:color w:val="auto"/>
        </w:rPr>
        <w:t>, since the</w:t>
      </w:r>
      <w:r w:rsidR="00205B2A" w:rsidRPr="000653A9">
        <w:rPr>
          <w:noProof/>
          <w:color w:val="auto"/>
        </w:rPr>
        <w:t xml:space="preserve"> guidelines assume a single emission factor </w:t>
      </w:r>
      <w:r w:rsidR="00BA40CB" w:rsidRPr="000653A9">
        <w:rPr>
          <w:noProof/>
          <w:color w:val="auto"/>
        </w:rPr>
        <w:t>per</w:t>
      </w:r>
      <w:r w:rsidR="00205B2A" w:rsidRPr="000653A9">
        <w:rPr>
          <w:noProof/>
          <w:color w:val="auto"/>
        </w:rPr>
        <w:t xml:space="preserve"> Member State</w:t>
      </w:r>
      <w:r w:rsidR="00BA40CB" w:rsidRPr="000653A9">
        <w:rPr>
          <w:rStyle w:val="FootnoteReference"/>
          <w:noProof/>
          <w:color w:val="auto"/>
        </w:rPr>
        <w:footnoteReference w:id="17"/>
      </w:r>
      <w:r w:rsidR="000A1197" w:rsidRPr="000653A9">
        <w:rPr>
          <w:noProof/>
          <w:color w:val="auto"/>
        </w:rPr>
        <w:t>,</w:t>
      </w:r>
      <w:r w:rsidR="00585CA0" w:rsidRPr="000653A9">
        <w:rPr>
          <w:noProof/>
          <w:color w:val="auto"/>
        </w:rPr>
        <w:t xml:space="preserve"> while</w:t>
      </w:r>
      <w:r w:rsidR="00BA40CB" w:rsidRPr="000653A9">
        <w:rPr>
          <w:noProof/>
          <w:color w:val="auto"/>
        </w:rPr>
        <w:t xml:space="preserve"> Sweden</w:t>
      </w:r>
      <w:r w:rsidR="000A1197" w:rsidRPr="000653A9">
        <w:rPr>
          <w:noProof/>
          <w:color w:val="auto"/>
        </w:rPr>
        <w:t xml:space="preserve"> has four electricity price zones</w:t>
      </w:r>
      <w:r w:rsidR="00BF2F78" w:rsidRPr="000653A9">
        <w:rPr>
          <w:noProof/>
          <w:color w:val="auto"/>
        </w:rPr>
        <w:t xml:space="preserve">, with a lot of electro-intensive industry located in Northern zones where electricity is cheaper and less </w:t>
      </w:r>
      <w:r w:rsidR="00FC2E84" w:rsidRPr="000653A9">
        <w:rPr>
          <w:noProof/>
          <w:color w:val="auto"/>
        </w:rPr>
        <w:t>carbon intensive</w:t>
      </w:r>
      <w:r w:rsidR="00BF2F78" w:rsidRPr="000653A9">
        <w:rPr>
          <w:noProof/>
          <w:color w:val="auto"/>
        </w:rPr>
        <w:t xml:space="preserve">. </w:t>
      </w:r>
    </w:p>
    <w:p w14:paraId="1BE6A58A" w14:textId="6A37631F" w:rsidR="00B3628D" w:rsidRPr="000653A9" w:rsidRDefault="00B3628D" w:rsidP="00A108E3">
      <w:pPr>
        <w:rPr>
          <w:noProof/>
          <w:color w:val="auto"/>
        </w:rPr>
      </w:pPr>
      <w:r w:rsidRPr="000653A9">
        <w:rPr>
          <w:noProof/>
          <w:color w:val="auto"/>
        </w:rPr>
        <w:t xml:space="preserve">The potential for </w:t>
      </w:r>
      <w:r w:rsidRPr="000653A9">
        <w:rPr>
          <w:b/>
          <w:bCs/>
          <w:noProof/>
          <w:color w:val="auto"/>
        </w:rPr>
        <w:t xml:space="preserve">higher aid intensity </w:t>
      </w:r>
      <w:r w:rsidRPr="000653A9">
        <w:rPr>
          <w:noProof/>
          <w:color w:val="auto"/>
        </w:rPr>
        <w:t>by Member States</w:t>
      </w:r>
      <w:r w:rsidR="00A53F44" w:rsidRPr="000653A9">
        <w:rPr>
          <w:noProof/>
          <w:color w:val="auto"/>
        </w:rPr>
        <w:t xml:space="preserve"> was estimated </w:t>
      </w:r>
      <w:r w:rsidR="005755EE" w:rsidRPr="000653A9">
        <w:rPr>
          <w:noProof/>
          <w:color w:val="auto"/>
        </w:rPr>
        <w:t xml:space="preserve">by </w:t>
      </w:r>
      <w:r w:rsidR="009D3A12" w:rsidRPr="000653A9">
        <w:rPr>
          <w:noProof/>
          <w:color w:val="auto"/>
        </w:rPr>
        <w:t>using the ratio of ICC payments to relevant industrial electricity consumption</w:t>
      </w:r>
      <w:r w:rsidR="007D20FC" w:rsidRPr="000653A9">
        <w:rPr>
          <w:noProof/>
          <w:color w:val="auto"/>
        </w:rPr>
        <w:t xml:space="preserve"> over the period 2021-2023. </w:t>
      </w:r>
      <w:r w:rsidR="00287186" w:rsidRPr="000653A9">
        <w:rPr>
          <w:noProof/>
          <w:color w:val="auto"/>
        </w:rPr>
        <w:t>Using</w:t>
      </w:r>
      <w:r w:rsidR="007D20FC" w:rsidRPr="000653A9">
        <w:rPr>
          <w:noProof/>
          <w:color w:val="auto"/>
        </w:rPr>
        <w:t xml:space="preserve"> this metric,</w:t>
      </w:r>
      <w:r w:rsidR="00287186" w:rsidRPr="000653A9">
        <w:rPr>
          <w:noProof/>
          <w:color w:val="auto"/>
        </w:rPr>
        <w:t xml:space="preserve"> ICC compensation would increase by a further </w:t>
      </w:r>
      <w:r w:rsidR="00D46AB9" w:rsidRPr="000653A9">
        <w:rPr>
          <w:noProof/>
          <w:color w:val="auto"/>
        </w:rPr>
        <w:t>49%</w:t>
      </w:r>
      <w:r w:rsidR="007D20FC" w:rsidRPr="000653A9">
        <w:rPr>
          <w:noProof/>
          <w:color w:val="auto"/>
        </w:rPr>
        <w:t xml:space="preserve"> if all Member States were to provide ICC at the same </w:t>
      </w:r>
      <w:r w:rsidR="00287186" w:rsidRPr="000653A9">
        <w:rPr>
          <w:noProof/>
          <w:color w:val="auto"/>
        </w:rPr>
        <w:t>intensity as Germany (the largest provider of aid in absolute terms)</w:t>
      </w:r>
      <w:r w:rsidR="00D46AB9" w:rsidRPr="000653A9">
        <w:rPr>
          <w:noProof/>
          <w:color w:val="auto"/>
        </w:rPr>
        <w:t>.</w:t>
      </w:r>
    </w:p>
    <w:p w14:paraId="058C77CA" w14:textId="0D0E2E13" w:rsidR="00733497" w:rsidRPr="000653A9" w:rsidRDefault="00A026AD" w:rsidP="00A108E3">
      <w:pPr>
        <w:rPr>
          <w:noProof/>
          <w:color w:val="auto"/>
        </w:rPr>
      </w:pPr>
      <w:r w:rsidRPr="000653A9">
        <w:rPr>
          <w:b/>
          <w:bCs/>
          <w:noProof/>
          <w:color w:val="auto"/>
        </w:rPr>
        <w:t>Industrial e</w:t>
      </w:r>
      <w:r w:rsidR="00D523FE" w:rsidRPr="000653A9">
        <w:rPr>
          <w:b/>
          <w:bCs/>
          <w:noProof/>
          <w:color w:val="auto"/>
        </w:rPr>
        <w:t>lectricity consumption post-2030</w:t>
      </w:r>
      <w:r w:rsidR="00D523FE" w:rsidRPr="000653A9">
        <w:rPr>
          <w:noProof/>
          <w:color w:val="auto"/>
        </w:rPr>
        <w:t xml:space="preserve"> was estimated using </w:t>
      </w:r>
      <w:r w:rsidR="00BA3F30" w:rsidRPr="000653A9">
        <w:rPr>
          <w:noProof/>
          <w:color w:val="auto"/>
        </w:rPr>
        <w:t>a</w:t>
      </w:r>
      <w:r w:rsidR="00D523FE" w:rsidRPr="000653A9">
        <w:rPr>
          <w:noProof/>
          <w:color w:val="auto"/>
        </w:rPr>
        <w:t xml:space="preserve"> PRIMES model</w:t>
      </w:r>
      <w:r w:rsidR="00BA3F30" w:rsidRPr="000653A9">
        <w:rPr>
          <w:noProof/>
          <w:color w:val="auto"/>
        </w:rPr>
        <w:t xml:space="preserve"> scenario</w:t>
      </w:r>
      <w:r w:rsidR="00216060" w:rsidRPr="000653A9">
        <w:rPr>
          <w:noProof/>
          <w:color w:val="auto"/>
        </w:rPr>
        <w:t xml:space="preserve">, consistent with an </w:t>
      </w:r>
      <w:r w:rsidR="0042425A" w:rsidRPr="000653A9">
        <w:rPr>
          <w:noProof/>
          <w:color w:val="auto"/>
        </w:rPr>
        <w:t>85</w:t>
      </w:r>
      <w:r w:rsidR="00216060" w:rsidRPr="000653A9">
        <w:rPr>
          <w:noProof/>
          <w:color w:val="auto"/>
        </w:rPr>
        <w:t>%</w:t>
      </w:r>
      <w:r w:rsidR="00F61562" w:rsidRPr="000653A9">
        <w:rPr>
          <w:noProof/>
          <w:color w:val="auto"/>
        </w:rPr>
        <w:t xml:space="preserve"> domestic</w:t>
      </w:r>
      <w:r w:rsidR="00216060" w:rsidRPr="000653A9">
        <w:rPr>
          <w:noProof/>
          <w:color w:val="auto"/>
        </w:rPr>
        <w:t xml:space="preserve"> economy-wide reduction in GHG emissions compared to 1990 levels</w:t>
      </w:r>
      <w:r w:rsidR="007E4E5D" w:rsidRPr="000653A9">
        <w:rPr>
          <w:rStyle w:val="FootnoteReference"/>
          <w:noProof/>
          <w:color w:val="auto"/>
        </w:rPr>
        <w:footnoteReference w:id="18"/>
      </w:r>
      <w:r w:rsidR="00D523FE" w:rsidRPr="000653A9">
        <w:rPr>
          <w:noProof/>
          <w:color w:val="auto"/>
        </w:rPr>
        <w:t>.</w:t>
      </w:r>
      <w:r w:rsidR="007E4E5D" w:rsidRPr="000653A9">
        <w:rPr>
          <w:noProof/>
          <w:color w:val="auto"/>
        </w:rPr>
        <w:t xml:space="preserve"> By this metric, average annual electricity consumption in relevant sectors is expected to remain broadly flat in the period 2030-2040, compared to 2020-2025, with a reduction of 2%.</w:t>
      </w:r>
      <w:r w:rsidR="00136214" w:rsidRPr="000653A9">
        <w:rPr>
          <w:noProof/>
          <w:color w:val="auto"/>
        </w:rPr>
        <w:t xml:space="preserve"> </w:t>
      </w:r>
      <w:r w:rsidR="00A44E29" w:rsidRPr="000653A9">
        <w:rPr>
          <w:noProof/>
          <w:color w:val="auto"/>
        </w:rPr>
        <w:t xml:space="preserve">This result is driven by </w:t>
      </w:r>
      <w:r w:rsidR="00EB777F" w:rsidRPr="000653A9">
        <w:rPr>
          <w:noProof/>
          <w:color w:val="auto"/>
        </w:rPr>
        <w:t>an</w:t>
      </w:r>
      <w:r w:rsidR="00A44E29" w:rsidRPr="000653A9">
        <w:rPr>
          <w:noProof/>
          <w:color w:val="auto"/>
        </w:rPr>
        <w:t xml:space="preserve"> </w:t>
      </w:r>
      <w:r w:rsidR="00F77CF8" w:rsidRPr="000653A9">
        <w:rPr>
          <w:noProof/>
          <w:color w:val="auto"/>
        </w:rPr>
        <w:t>increased consumption due to electrification (</w:t>
      </w:r>
      <w:r w:rsidR="00316D35" w:rsidRPr="000653A9">
        <w:rPr>
          <w:noProof/>
          <w:color w:val="auto"/>
        </w:rPr>
        <w:t>especially in iron &amp; steel)</w:t>
      </w:r>
      <w:r w:rsidR="00481927" w:rsidRPr="000653A9">
        <w:rPr>
          <w:noProof/>
          <w:color w:val="auto"/>
        </w:rPr>
        <w:t xml:space="preserve"> combined </w:t>
      </w:r>
      <w:r w:rsidR="004C6DBF" w:rsidRPr="000653A9">
        <w:rPr>
          <w:noProof/>
          <w:color w:val="auto"/>
        </w:rPr>
        <w:t xml:space="preserve">with reductions driven by </w:t>
      </w:r>
      <w:r w:rsidR="00481927" w:rsidRPr="000653A9">
        <w:rPr>
          <w:noProof/>
          <w:color w:val="auto"/>
        </w:rPr>
        <w:t>energy efficiency improvements</w:t>
      </w:r>
      <w:r w:rsidR="004C6DBF" w:rsidRPr="000653A9">
        <w:rPr>
          <w:noProof/>
          <w:color w:val="auto"/>
        </w:rPr>
        <w:t xml:space="preserve"> in other sectors </w:t>
      </w:r>
      <w:r w:rsidR="000B70A7" w:rsidRPr="000653A9">
        <w:rPr>
          <w:noProof/>
          <w:color w:val="auto"/>
        </w:rPr>
        <w:t>(</w:t>
      </w:r>
      <w:r w:rsidR="003029D1" w:rsidRPr="000653A9">
        <w:rPr>
          <w:noProof/>
          <w:color w:val="auto"/>
        </w:rPr>
        <w:t>e.g. pulp &amp; paper, non-ferrous metals).</w:t>
      </w:r>
    </w:p>
    <w:p w14:paraId="77854DD3" w14:textId="2DFF5F29" w:rsidR="00CC2441" w:rsidRPr="000653A9" w:rsidRDefault="00E24017" w:rsidP="00A108E3">
      <w:pPr>
        <w:rPr>
          <w:noProof/>
          <w:color w:val="auto"/>
        </w:rPr>
      </w:pPr>
      <w:r w:rsidRPr="000653A9">
        <w:rPr>
          <w:b/>
          <w:bCs/>
          <w:noProof/>
          <w:color w:val="auto"/>
        </w:rPr>
        <w:t>Decarbonisation of the power supply</w:t>
      </w:r>
      <w:r w:rsidRPr="000653A9">
        <w:rPr>
          <w:noProof/>
          <w:color w:val="auto"/>
        </w:rPr>
        <w:t xml:space="preserve"> is expected to reduce indirect carbon costs post-2030. </w:t>
      </w:r>
    </w:p>
    <w:p w14:paraId="5F03E45B" w14:textId="55746CEE" w:rsidR="00927DEC" w:rsidRPr="000653A9" w:rsidRDefault="00EC218C" w:rsidP="00A108E3">
      <w:pPr>
        <w:rPr>
          <w:noProof/>
          <w:color w:val="auto"/>
        </w:rPr>
      </w:pPr>
      <w:r w:rsidRPr="000653A9">
        <w:rPr>
          <w:noProof/>
          <w:color w:val="auto"/>
        </w:rPr>
        <w:t>Applying an</w:t>
      </w:r>
      <w:r w:rsidRPr="000653A9">
        <w:rPr>
          <w:i/>
          <w:iCs/>
          <w:noProof/>
          <w:color w:val="auto"/>
        </w:rPr>
        <w:t xml:space="preserve"> </w:t>
      </w:r>
      <w:r w:rsidR="000C4E21" w:rsidRPr="000653A9">
        <w:rPr>
          <w:noProof/>
          <w:color w:val="auto"/>
        </w:rPr>
        <w:t>emission factor</w:t>
      </w:r>
      <w:r w:rsidR="00AA6E11" w:rsidRPr="000653A9">
        <w:rPr>
          <w:noProof/>
          <w:color w:val="auto"/>
        </w:rPr>
        <w:t xml:space="preserve"> based on the </w:t>
      </w:r>
      <w:r w:rsidR="00AA6E11" w:rsidRPr="000653A9">
        <w:rPr>
          <w:i/>
          <w:iCs/>
          <w:noProof/>
          <w:color w:val="auto"/>
        </w:rPr>
        <w:t xml:space="preserve">GHG intensity </w:t>
      </w:r>
      <w:r w:rsidR="004613E6" w:rsidRPr="000653A9">
        <w:rPr>
          <w:i/>
          <w:iCs/>
          <w:noProof/>
          <w:color w:val="auto"/>
        </w:rPr>
        <w:t>of electricity generated by fossil fuels</w:t>
      </w:r>
      <w:r w:rsidR="00100064" w:rsidRPr="000653A9">
        <w:rPr>
          <w:i/>
          <w:iCs/>
          <w:noProof/>
          <w:color w:val="auto"/>
        </w:rPr>
        <w:t xml:space="preserve"> </w:t>
      </w:r>
      <w:r w:rsidR="00467A9E" w:rsidRPr="000653A9">
        <w:rPr>
          <w:noProof/>
          <w:color w:val="auto"/>
        </w:rPr>
        <w:t xml:space="preserve">(in </w:t>
      </w:r>
      <w:r w:rsidR="006E2A17" w:rsidRPr="000653A9">
        <w:rPr>
          <w:noProof/>
          <w:color w:val="auto"/>
        </w:rPr>
        <w:t>the same PRIMES scenario</w:t>
      </w:r>
      <w:r w:rsidR="00467A9E" w:rsidRPr="000653A9">
        <w:rPr>
          <w:noProof/>
          <w:color w:val="auto"/>
        </w:rPr>
        <w:t>)</w:t>
      </w:r>
      <w:r w:rsidR="00A84763" w:rsidRPr="000653A9">
        <w:rPr>
          <w:noProof/>
          <w:color w:val="auto"/>
        </w:rPr>
        <w:t xml:space="preserve"> is expected to </w:t>
      </w:r>
      <w:r w:rsidR="00407F72" w:rsidRPr="000653A9">
        <w:rPr>
          <w:noProof/>
          <w:color w:val="auto"/>
        </w:rPr>
        <w:t xml:space="preserve">reduce </w:t>
      </w:r>
      <w:r w:rsidR="002011AB" w:rsidRPr="000653A9">
        <w:rPr>
          <w:noProof/>
          <w:color w:val="auto"/>
        </w:rPr>
        <w:t>ICC</w:t>
      </w:r>
      <w:r w:rsidR="00407F72" w:rsidRPr="000653A9">
        <w:rPr>
          <w:noProof/>
          <w:color w:val="auto"/>
        </w:rPr>
        <w:t xml:space="preserve"> by 14% on average. This </w:t>
      </w:r>
      <w:r w:rsidR="008A3524" w:rsidRPr="000653A9">
        <w:rPr>
          <w:noProof/>
          <w:color w:val="auto"/>
        </w:rPr>
        <w:t>is</w:t>
      </w:r>
      <w:r w:rsidR="00E20237" w:rsidRPr="000653A9">
        <w:rPr>
          <w:noProof/>
          <w:color w:val="auto"/>
        </w:rPr>
        <w:t xml:space="preserve"> due to expected </w:t>
      </w:r>
      <w:r w:rsidR="0052609E" w:rsidRPr="000653A9">
        <w:rPr>
          <w:noProof/>
          <w:color w:val="auto"/>
        </w:rPr>
        <w:t>coal-to-gas switching in the power sector</w:t>
      </w:r>
      <w:r w:rsidR="008344B9" w:rsidRPr="000653A9">
        <w:rPr>
          <w:noProof/>
          <w:color w:val="auto"/>
        </w:rPr>
        <w:t xml:space="preserve">. </w:t>
      </w:r>
    </w:p>
    <w:p w14:paraId="70A0AD95" w14:textId="7E4BEA24" w:rsidR="00EC5824" w:rsidRPr="000653A9" w:rsidRDefault="006A1CD7" w:rsidP="00A108E3">
      <w:pPr>
        <w:rPr>
          <w:noProof/>
          <w:color w:val="auto"/>
        </w:rPr>
      </w:pPr>
      <w:r w:rsidRPr="000653A9">
        <w:rPr>
          <w:noProof/>
          <w:color w:val="auto"/>
        </w:rPr>
        <w:t>Applying a</w:t>
      </w:r>
      <w:r w:rsidR="000452E6" w:rsidRPr="000653A9">
        <w:rPr>
          <w:noProof/>
          <w:color w:val="auto"/>
        </w:rPr>
        <w:t xml:space="preserve"> marginal </w:t>
      </w:r>
      <w:r w:rsidRPr="000653A9">
        <w:rPr>
          <w:noProof/>
          <w:color w:val="auto"/>
        </w:rPr>
        <w:t xml:space="preserve">emissions factor </w:t>
      </w:r>
      <w:r w:rsidR="003562B1" w:rsidRPr="000653A9">
        <w:rPr>
          <w:noProof/>
          <w:color w:val="auto"/>
        </w:rPr>
        <w:t xml:space="preserve">could reduce ICC by 58% over the </w:t>
      </w:r>
      <w:r w:rsidR="00DC3BE8" w:rsidRPr="000653A9">
        <w:rPr>
          <w:noProof/>
          <w:color w:val="auto"/>
        </w:rPr>
        <w:t>2030-2040 period due to the expected increased contribution of non-fossil sources in setting electricity prices</w:t>
      </w:r>
      <w:r w:rsidR="004D3D94" w:rsidRPr="000653A9">
        <w:rPr>
          <w:noProof/>
          <w:color w:val="auto"/>
        </w:rPr>
        <w:t xml:space="preserve">. This estimate is based on </w:t>
      </w:r>
      <w:r w:rsidR="00DB34D3" w:rsidRPr="000653A9">
        <w:rPr>
          <w:noProof/>
          <w:color w:val="auto"/>
        </w:rPr>
        <w:t xml:space="preserve">JRC </w:t>
      </w:r>
      <w:r w:rsidR="00BD56D2" w:rsidRPr="000653A9">
        <w:rPr>
          <w:noProof/>
          <w:color w:val="auto"/>
        </w:rPr>
        <w:t>analysis</w:t>
      </w:r>
      <w:r w:rsidR="00DB34D3" w:rsidRPr="000653A9">
        <w:rPr>
          <w:noProof/>
          <w:color w:val="auto"/>
        </w:rPr>
        <w:t xml:space="preserve"> of how marginal price-setting technologies</w:t>
      </w:r>
      <w:r w:rsidR="00BD56D2" w:rsidRPr="000653A9">
        <w:rPr>
          <w:noProof/>
          <w:color w:val="auto"/>
        </w:rPr>
        <w:t xml:space="preserve"> per Member State</w:t>
      </w:r>
      <w:r w:rsidR="00DB34D3" w:rsidRPr="000653A9">
        <w:rPr>
          <w:noProof/>
          <w:color w:val="auto"/>
        </w:rPr>
        <w:t xml:space="preserve"> may evolve up to 2030</w:t>
      </w:r>
      <w:r w:rsidR="00AD4CD0" w:rsidRPr="000653A9">
        <w:rPr>
          <w:noProof/>
          <w:color w:val="auto"/>
        </w:rPr>
        <w:t xml:space="preserve">, combined with </w:t>
      </w:r>
      <w:r w:rsidR="00790FFD" w:rsidRPr="000653A9">
        <w:rPr>
          <w:noProof/>
          <w:color w:val="auto"/>
        </w:rPr>
        <w:t>a literature-based</w:t>
      </w:r>
      <w:r w:rsidR="00AD4CD0" w:rsidRPr="000653A9">
        <w:rPr>
          <w:noProof/>
          <w:color w:val="auto"/>
        </w:rPr>
        <w:t xml:space="preserve"> assumption that fossil-fuel price-setting</w:t>
      </w:r>
      <w:r w:rsidR="00BD56D2" w:rsidRPr="000653A9">
        <w:rPr>
          <w:noProof/>
          <w:color w:val="auto"/>
        </w:rPr>
        <w:t xml:space="preserve"> will fall to 8% of the time by 2040</w:t>
      </w:r>
      <w:r w:rsidR="00BD56D2" w:rsidRPr="000653A9">
        <w:rPr>
          <w:rStyle w:val="FootnoteReference"/>
          <w:noProof/>
          <w:color w:val="auto"/>
        </w:rPr>
        <w:footnoteReference w:id="19"/>
      </w:r>
      <w:r w:rsidR="00BD56D2" w:rsidRPr="000653A9">
        <w:rPr>
          <w:noProof/>
          <w:color w:val="auto"/>
        </w:rPr>
        <w:t>.</w:t>
      </w:r>
    </w:p>
    <w:p w14:paraId="54467566" w14:textId="00CD4A70" w:rsidR="00596EEB" w:rsidRPr="000653A9" w:rsidRDefault="271FB3BF" w:rsidP="1AC9821A">
      <w:pPr>
        <w:rPr>
          <w:noProof/>
          <w:color w:val="auto"/>
        </w:rPr>
      </w:pPr>
      <w:r>
        <w:rPr>
          <w:noProof/>
          <w:color w:val="auto"/>
        </w:rPr>
        <w:t xml:space="preserve">The </w:t>
      </w:r>
      <w:r>
        <w:rPr>
          <w:b/>
          <w:bCs/>
          <w:noProof/>
          <w:color w:val="auto"/>
        </w:rPr>
        <w:t>carbon price</w:t>
      </w:r>
      <w:r>
        <w:rPr>
          <w:noProof/>
          <w:color w:val="auto"/>
        </w:rPr>
        <w:t xml:space="preserve"> is assumed to reach an average level of EUR 150</w:t>
      </w:r>
      <w:r>
        <w:rPr>
          <w:noProof/>
        </w:rPr>
        <w:t xml:space="preserve"> </w:t>
      </w:r>
      <w:r>
        <w:rPr>
          <w:noProof/>
          <w:color w:val="auto"/>
        </w:rPr>
        <w:t>in the period 2031-2040 , compared to EUR 53 used as the basis for ICC calculation in 2021-2023 on average..</w:t>
      </w:r>
    </w:p>
    <w:p w14:paraId="5F595D6F" w14:textId="5D5CE248" w:rsidR="00945828" w:rsidRPr="000653A9" w:rsidRDefault="00710B5E" w:rsidP="00A108E3">
      <w:pPr>
        <w:rPr>
          <w:noProof/>
          <w:color w:val="auto"/>
        </w:rPr>
      </w:pPr>
      <w:r w:rsidRPr="000653A9">
        <w:rPr>
          <w:noProof/>
          <w:color w:val="auto"/>
        </w:rPr>
        <w:t xml:space="preserve">Table </w:t>
      </w:r>
      <w:r w:rsidR="0045781B">
        <w:rPr>
          <w:noProof/>
          <w:color w:val="auto"/>
        </w:rPr>
        <w:t>13</w:t>
      </w:r>
      <w:r w:rsidRPr="000653A9">
        <w:rPr>
          <w:noProof/>
          <w:color w:val="auto"/>
        </w:rPr>
        <w:t xml:space="preserve"> below shows the </w:t>
      </w:r>
      <w:r w:rsidRPr="000653A9">
        <w:rPr>
          <w:b/>
          <w:bCs/>
          <w:noProof/>
          <w:color w:val="auto"/>
        </w:rPr>
        <w:t>combined impact</w:t>
      </w:r>
      <w:r w:rsidRPr="000653A9">
        <w:rPr>
          <w:noProof/>
          <w:color w:val="auto"/>
        </w:rPr>
        <w:t xml:space="preserve"> of the above estimates</w:t>
      </w:r>
      <w:r w:rsidR="001A420F" w:rsidRPr="000653A9">
        <w:rPr>
          <w:noProof/>
          <w:color w:val="auto"/>
        </w:rPr>
        <w:t xml:space="preserve"> for the period 2030-40 on average. </w:t>
      </w:r>
      <w:r w:rsidR="002D1AAE" w:rsidRPr="000653A9">
        <w:rPr>
          <w:noProof/>
          <w:color w:val="auto"/>
        </w:rPr>
        <w:t>It suggests that greater aid provision</w:t>
      </w:r>
      <w:r w:rsidR="003B54FA" w:rsidRPr="000653A9">
        <w:rPr>
          <w:noProof/>
          <w:color w:val="auto"/>
        </w:rPr>
        <w:t xml:space="preserve">, from higher participation and/or aid intensity, </w:t>
      </w:r>
      <w:r w:rsidR="00C32592" w:rsidRPr="000653A9">
        <w:rPr>
          <w:noProof/>
          <w:color w:val="auto"/>
        </w:rPr>
        <w:t xml:space="preserve">could increase ICC costs by 76%. </w:t>
      </w:r>
      <w:r w:rsidR="0074009F" w:rsidRPr="000653A9">
        <w:rPr>
          <w:noProof/>
          <w:color w:val="auto"/>
        </w:rPr>
        <w:t>Such an increase could result from Member State</w:t>
      </w:r>
      <w:r w:rsidR="008503DC" w:rsidRPr="000653A9">
        <w:rPr>
          <w:noProof/>
          <w:color w:val="auto"/>
        </w:rPr>
        <w:t>s choosing to offer more</w:t>
      </w:r>
      <w:r w:rsidR="0074009F" w:rsidRPr="000653A9">
        <w:rPr>
          <w:noProof/>
          <w:color w:val="auto"/>
        </w:rPr>
        <w:t xml:space="preserve"> </w:t>
      </w:r>
      <w:r w:rsidR="00684CE4" w:rsidRPr="000653A9">
        <w:rPr>
          <w:noProof/>
          <w:color w:val="auto"/>
        </w:rPr>
        <w:t>State aid (ICC1) or through a harmonised ICC fund (ICC2).</w:t>
      </w:r>
      <w:r w:rsidR="007E60C4" w:rsidRPr="000653A9">
        <w:rPr>
          <w:noProof/>
          <w:color w:val="auto"/>
        </w:rPr>
        <w:t xml:space="preserve"> </w:t>
      </w:r>
    </w:p>
    <w:p w14:paraId="1B9380D7" w14:textId="38092F83" w:rsidR="00F44794" w:rsidRPr="000653A9" w:rsidRDefault="007E60C4" w:rsidP="00A108E3">
      <w:pPr>
        <w:rPr>
          <w:noProof/>
          <w:color w:val="auto"/>
        </w:rPr>
      </w:pPr>
      <w:r w:rsidRPr="000653A9">
        <w:rPr>
          <w:noProof/>
          <w:color w:val="auto"/>
        </w:rPr>
        <w:t>Regarding post-2030 effects</w:t>
      </w:r>
      <w:r w:rsidR="008C52EE" w:rsidRPr="000653A9">
        <w:rPr>
          <w:noProof/>
          <w:color w:val="auto"/>
        </w:rPr>
        <w:t xml:space="preserve">, the greatest impact on ICC cost is expected to be a higher carbon price. </w:t>
      </w:r>
      <w:r w:rsidR="00DC74E1" w:rsidRPr="000653A9">
        <w:rPr>
          <w:noProof/>
          <w:color w:val="auto"/>
        </w:rPr>
        <w:t xml:space="preserve">This would increase both the cost of ICC compensation and the revenues from which it would </w:t>
      </w:r>
      <w:r w:rsidR="003710E7" w:rsidRPr="000653A9">
        <w:rPr>
          <w:noProof/>
          <w:color w:val="auto"/>
        </w:rPr>
        <w:t xml:space="preserve">be financed, although the revenue increase will be partly offset by </w:t>
      </w:r>
      <w:r w:rsidR="00FF27E7" w:rsidRPr="000653A9">
        <w:rPr>
          <w:noProof/>
          <w:color w:val="auto"/>
        </w:rPr>
        <w:t>reduction of the overall cap.</w:t>
      </w:r>
      <w:r w:rsidR="0030206C" w:rsidRPr="000653A9">
        <w:rPr>
          <w:noProof/>
          <w:color w:val="auto"/>
        </w:rPr>
        <w:t xml:space="preserve"> On the other hand,</w:t>
      </w:r>
      <w:r w:rsidR="0077238B" w:rsidRPr="000653A9">
        <w:rPr>
          <w:noProof/>
          <w:color w:val="auto"/>
        </w:rPr>
        <w:t xml:space="preserve"> </w:t>
      </w:r>
      <w:r w:rsidR="00F40B80" w:rsidRPr="000653A9">
        <w:rPr>
          <w:noProof/>
          <w:color w:val="auto"/>
        </w:rPr>
        <w:t xml:space="preserve">this effect could largely be </w:t>
      </w:r>
      <w:r w:rsidR="00C77F6A" w:rsidRPr="000653A9">
        <w:rPr>
          <w:noProof/>
          <w:color w:val="auto"/>
        </w:rPr>
        <w:t>offset</w:t>
      </w:r>
      <w:r w:rsidR="00F40B80" w:rsidRPr="000653A9">
        <w:rPr>
          <w:noProof/>
          <w:color w:val="auto"/>
        </w:rPr>
        <w:t xml:space="preserve"> by </w:t>
      </w:r>
      <w:r w:rsidR="0077238B" w:rsidRPr="000653A9">
        <w:rPr>
          <w:noProof/>
          <w:color w:val="auto"/>
        </w:rPr>
        <w:t>electricity market</w:t>
      </w:r>
      <w:r w:rsidR="0030206C" w:rsidRPr="000653A9">
        <w:rPr>
          <w:noProof/>
          <w:color w:val="auto"/>
        </w:rPr>
        <w:t xml:space="preserve"> </w:t>
      </w:r>
      <w:r w:rsidR="0077238B" w:rsidRPr="000653A9">
        <w:rPr>
          <w:noProof/>
          <w:color w:val="auto"/>
        </w:rPr>
        <w:t>decarbonisation</w:t>
      </w:r>
      <w:r w:rsidR="00713898" w:rsidRPr="000653A9">
        <w:rPr>
          <w:noProof/>
          <w:color w:val="auto"/>
        </w:rPr>
        <w:t>, provided</w:t>
      </w:r>
      <w:r w:rsidR="00C77F6A" w:rsidRPr="000653A9">
        <w:rPr>
          <w:noProof/>
          <w:color w:val="auto"/>
        </w:rPr>
        <w:t xml:space="preserve"> that i)</w:t>
      </w:r>
      <w:r w:rsidR="00713898" w:rsidRPr="000653A9">
        <w:rPr>
          <w:noProof/>
          <w:color w:val="auto"/>
        </w:rPr>
        <w:t xml:space="preserve"> this leads to a reduction in fossil fuel technologies setting the electr</w:t>
      </w:r>
      <w:r w:rsidR="00C503C3" w:rsidRPr="000653A9">
        <w:rPr>
          <w:noProof/>
          <w:color w:val="auto"/>
        </w:rPr>
        <w:t>icity price, and</w:t>
      </w:r>
      <w:r w:rsidR="00C77F6A" w:rsidRPr="000653A9">
        <w:rPr>
          <w:noProof/>
          <w:color w:val="auto"/>
        </w:rPr>
        <w:t xml:space="preserve"> ii)</w:t>
      </w:r>
      <w:r w:rsidR="00C503C3" w:rsidRPr="000653A9">
        <w:rPr>
          <w:noProof/>
          <w:color w:val="auto"/>
        </w:rPr>
        <w:t xml:space="preserve"> ICC compensation rules are adjusted to reflect this.</w:t>
      </w:r>
      <w:r w:rsidR="0077238B" w:rsidRPr="000653A9">
        <w:rPr>
          <w:noProof/>
          <w:color w:val="auto"/>
        </w:rPr>
        <w:t xml:space="preserve"> </w:t>
      </w:r>
    </w:p>
    <w:p w14:paraId="7787088B" w14:textId="250AA241" w:rsidR="007166B7" w:rsidRPr="000653A9" w:rsidRDefault="00353639" w:rsidP="00C92FA9">
      <w:pPr>
        <w:pStyle w:val="Tabletitle"/>
        <w:rPr>
          <w:noProof/>
        </w:rPr>
      </w:pPr>
      <w:bookmarkStart w:id="353" w:name="_Toc234435116"/>
      <w:bookmarkStart w:id="354" w:name="_Toc232003584"/>
      <w:r w:rsidRPr="000653A9">
        <w:rPr>
          <w:noProof/>
        </w:rPr>
        <w:t>D</w:t>
      </w:r>
      <w:r w:rsidR="00D3189F" w:rsidRPr="000653A9">
        <w:rPr>
          <w:noProof/>
        </w:rPr>
        <w:t xml:space="preserve">ecomposition of factors that could affect </w:t>
      </w:r>
      <w:r w:rsidR="00C75ACE" w:rsidRPr="000653A9">
        <w:rPr>
          <w:noProof/>
        </w:rPr>
        <w:t>the total cost of indirect carbon cost compensation post-2030</w:t>
      </w:r>
      <w:bookmarkEnd w:id="353"/>
      <w:bookmarkEnd w:id="354"/>
    </w:p>
    <w:tbl>
      <w:tblPr>
        <w:tblW w:w="0" w:type="auto"/>
        <w:jc w:val="center"/>
        <w:tblLook w:val="04A0" w:firstRow="1" w:lastRow="0" w:firstColumn="1" w:lastColumn="0" w:noHBand="0" w:noVBand="1"/>
      </w:tblPr>
      <w:tblGrid>
        <w:gridCol w:w="3973"/>
        <w:gridCol w:w="1248"/>
        <w:gridCol w:w="1040"/>
        <w:gridCol w:w="1494"/>
        <w:gridCol w:w="1251"/>
      </w:tblGrid>
      <w:tr w:rsidR="00DD5626" w:rsidRPr="000653A9" w14:paraId="3BD84E49" w14:textId="77777777" w:rsidTr="007240E5">
        <w:trPr>
          <w:trHeight w:val="20"/>
          <w:jc w:val="center"/>
        </w:trPr>
        <w:tc>
          <w:tcPr>
            <w:tcW w:w="0" w:type="auto"/>
            <w:vMerge w:val="restart"/>
            <w:tcBorders>
              <w:top w:val="single" w:sz="8" w:space="0" w:color="auto"/>
              <w:left w:val="single" w:sz="8" w:space="0" w:color="auto"/>
              <w:bottom w:val="single" w:sz="8" w:space="0" w:color="000000"/>
              <w:right w:val="single" w:sz="8" w:space="0" w:color="auto"/>
            </w:tcBorders>
            <w:vAlign w:val="center"/>
            <w:hideMark/>
          </w:tcPr>
          <w:p w14:paraId="61758CF3"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 </w:t>
            </w:r>
          </w:p>
        </w:tc>
        <w:tc>
          <w:tcPr>
            <w:tcW w:w="0" w:type="auto"/>
            <w:gridSpan w:val="2"/>
            <w:tcBorders>
              <w:top w:val="single" w:sz="8" w:space="0" w:color="auto"/>
              <w:left w:val="nil"/>
              <w:bottom w:val="single" w:sz="8" w:space="0" w:color="auto"/>
              <w:right w:val="single" w:sz="8" w:space="0" w:color="000000"/>
            </w:tcBorders>
            <w:vAlign w:val="center"/>
            <w:hideMark/>
          </w:tcPr>
          <w:p w14:paraId="75AD2C07" w14:textId="77777777" w:rsidR="009E45FD" w:rsidRPr="000653A9" w:rsidRDefault="009E45FD" w:rsidP="009E45FD">
            <w:pPr>
              <w:spacing w:after="0"/>
              <w:jc w:val="center"/>
              <w:rPr>
                <w:rFonts w:eastAsia="Times New Roman"/>
                <w:b/>
                <w:bCs/>
                <w:noProof/>
                <w:color w:val="auto"/>
                <w:lang w:eastAsia="en-IE"/>
              </w:rPr>
            </w:pPr>
            <w:r w:rsidRPr="000653A9">
              <w:rPr>
                <w:rFonts w:eastAsia="Times New Roman"/>
                <w:b/>
                <w:bCs/>
                <w:noProof/>
                <w:color w:val="auto"/>
                <w:lang w:eastAsia="en-IE"/>
              </w:rPr>
              <w:t>Default emission factor</w:t>
            </w:r>
          </w:p>
        </w:tc>
        <w:tc>
          <w:tcPr>
            <w:tcW w:w="0" w:type="auto"/>
            <w:gridSpan w:val="2"/>
            <w:tcBorders>
              <w:top w:val="single" w:sz="8" w:space="0" w:color="auto"/>
              <w:left w:val="nil"/>
              <w:bottom w:val="single" w:sz="8" w:space="0" w:color="auto"/>
              <w:right w:val="single" w:sz="8" w:space="0" w:color="000000"/>
            </w:tcBorders>
            <w:vAlign w:val="center"/>
            <w:hideMark/>
          </w:tcPr>
          <w:p w14:paraId="0F7EFC03" w14:textId="77777777" w:rsidR="009E45FD" w:rsidRPr="000653A9" w:rsidRDefault="009E45FD" w:rsidP="009E45FD">
            <w:pPr>
              <w:spacing w:after="0"/>
              <w:jc w:val="center"/>
              <w:rPr>
                <w:rFonts w:eastAsia="Times New Roman"/>
                <w:b/>
                <w:bCs/>
                <w:noProof/>
                <w:color w:val="auto"/>
                <w:lang w:eastAsia="en-IE"/>
              </w:rPr>
            </w:pPr>
            <w:r w:rsidRPr="000653A9">
              <w:rPr>
                <w:rFonts w:eastAsia="Times New Roman"/>
                <w:b/>
                <w:bCs/>
                <w:noProof/>
                <w:color w:val="auto"/>
                <w:lang w:eastAsia="en-IE"/>
              </w:rPr>
              <w:t>Market-based emission factor</w:t>
            </w:r>
          </w:p>
        </w:tc>
      </w:tr>
      <w:tr w:rsidR="00971648" w:rsidRPr="000653A9" w14:paraId="4A2C08DC" w14:textId="77777777" w:rsidTr="007240E5">
        <w:trPr>
          <w:trHeight w:val="2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50C8FC4C" w14:textId="77777777" w:rsidR="009E45FD" w:rsidRPr="000653A9" w:rsidRDefault="009E45FD" w:rsidP="009E45FD">
            <w:pPr>
              <w:spacing w:after="0"/>
              <w:jc w:val="left"/>
              <w:rPr>
                <w:rFonts w:eastAsia="Times New Roman"/>
                <w:noProof/>
                <w:color w:val="auto"/>
                <w:lang w:eastAsia="en-IE"/>
              </w:rPr>
            </w:pPr>
          </w:p>
        </w:tc>
        <w:tc>
          <w:tcPr>
            <w:tcW w:w="0" w:type="auto"/>
            <w:tcBorders>
              <w:top w:val="nil"/>
              <w:left w:val="nil"/>
              <w:bottom w:val="single" w:sz="8" w:space="0" w:color="auto"/>
              <w:right w:val="single" w:sz="8" w:space="0" w:color="auto"/>
            </w:tcBorders>
            <w:vAlign w:val="center"/>
            <w:hideMark/>
          </w:tcPr>
          <w:p w14:paraId="4983C6C0" w14:textId="77777777" w:rsidR="009E45FD" w:rsidRPr="000653A9" w:rsidRDefault="009E45FD" w:rsidP="009E45FD">
            <w:pPr>
              <w:spacing w:after="0"/>
              <w:jc w:val="center"/>
              <w:rPr>
                <w:rFonts w:eastAsia="Times New Roman"/>
                <w:b/>
                <w:bCs/>
                <w:noProof/>
                <w:color w:val="auto"/>
                <w:lang w:eastAsia="en-IE"/>
              </w:rPr>
            </w:pPr>
            <w:r w:rsidRPr="000653A9">
              <w:rPr>
                <w:rFonts w:eastAsia="Times New Roman"/>
                <w:b/>
                <w:bCs/>
                <w:noProof/>
                <w:color w:val="auto"/>
                <w:lang w:eastAsia="en-IE"/>
              </w:rPr>
              <w:t>% impact</w:t>
            </w:r>
          </w:p>
        </w:tc>
        <w:tc>
          <w:tcPr>
            <w:tcW w:w="0" w:type="auto"/>
            <w:tcBorders>
              <w:top w:val="nil"/>
              <w:left w:val="nil"/>
              <w:bottom w:val="single" w:sz="8" w:space="0" w:color="auto"/>
              <w:right w:val="single" w:sz="8" w:space="0" w:color="auto"/>
            </w:tcBorders>
            <w:vAlign w:val="center"/>
            <w:hideMark/>
          </w:tcPr>
          <w:p w14:paraId="5F6C971A" w14:textId="564A1585" w:rsidR="009E45FD" w:rsidRPr="000653A9" w:rsidRDefault="009E45FD" w:rsidP="009E45FD">
            <w:pPr>
              <w:spacing w:after="0"/>
              <w:jc w:val="center"/>
              <w:rPr>
                <w:rFonts w:eastAsia="Times New Roman"/>
                <w:b/>
                <w:bCs/>
                <w:noProof/>
                <w:color w:val="auto"/>
                <w:lang w:eastAsia="en-IE"/>
              </w:rPr>
            </w:pPr>
            <w:r w:rsidRPr="000653A9">
              <w:rPr>
                <w:rFonts w:eastAsia="Times New Roman"/>
                <w:b/>
                <w:bCs/>
                <w:noProof/>
                <w:color w:val="auto"/>
                <w:lang w:eastAsia="en-IE"/>
              </w:rPr>
              <w:t xml:space="preserve">EUR bn </w:t>
            </w:r>
          </w:p>
        </w:tc>
        <w:tc>
          <w:tcPr>
            <w:tcW w:w="0" w:type="auto"/>
            <w:tcBorders>
              <w:top w:val="nil"/>
              <w:left w:val="nil"/>
              <w:bottom w:val="single" w:sz="8" w:space="0" w:color="auto"/>
              <w:right w:val="single" w:sz="8" w:space="0" w:color="auto"/>
            </w:tcBorders>
            <w:vAlign w:val="center"/>
            <w:hideMark/>
          </w:tcPr>
          <w:p w14:paraId="63EDBB1A" w14:textId="77777777" w:rsidR="009E45FD" w:rsidRPr="000653A9" w:rsidRDefault="009E45FD" w:rsidP="009E45FD">
            <w:pPr>
              <w:spacing w:after="0"/>
              <w:jc w:val="center"/>
              <w:rPr>
                <w:rFonts w:eastAsia="Times New Roman"/>
                <w:b/>
                <w:bCs/>
                <w:noProof/>
                <w:color w:val="auto"/>
                <w:lang w:eastAsia="en-IE"/>
              </w:rPr>
            </w:pPr>
            <w:r w:rsidRPr="000653A9">
              <w:rPr>
                <w:rFonts w:eastAsia="Times New Roman"/>
                <w:b/>
                <w:bCs/>
                <w:noProof/>
                <w:color w:val="auto"/>
                <w:lang w:eastAsia="en-IE"/>
              </w:rPr>
              <w:t>% impact</w:t>
            </w:r>
          </w:p>
        </w:tc>
        <w:tc>
          <w:tcPr>
            <w:tcW w:w="0" w:type="auto"/>
            <w:tcBorders>
              <w:top w:val="nil"/>
              <w:left w:val="nil"/>
              <w:bottom w:val="single" w:sz="8" w:space="0" w:color="auto"/>
              <w:right w:val="single" w:sz="8" w:space="0" w:color="auto"/>
            </w:tcBorders>
            <w:vAlign w:val="center"/>
            <w:hideMark/>
          </w:tcPr>
          <w:p w14:paraId="322FBB8C" w14:textId="2431281A" w:rsidR="009E45FD" w:rsidRPr="000653A9" w:rsidRDefault="009E45FD" w:rsidP="009E45FD">
            <w:pPr>
              <w:spacing w:after="0"/>
              <w:jc w:val="center"/>
              <w:rPr>
                <w:rFonts w:eastAsia="Times New Roman"/>
                <w:b/>
                <w:bCs/>
                <w:noProof/>
                <w:color w:val="auto"/>
                <w:lang w:eastAsia="en-IE"/>
              </w:rPr>
            </w:pPr>
            <w:r w:rsidRPr="000653A9">
              <w:rPr>
                <w:rFonts w:eastAsia="Times New Roman"/>
                <w:b/>
                <w:bCs/>
                <w:noProof/>
                <w:color w:val="auto"/>
                <w:lang w:eastAsia="en-IE"/>
              </w:rPr>
              <w:t>EUR bn</w:t>
            </w:r>
          </w:p>
        </w:tc>
      </w:tr>
      <w:tr w:rsidR="00971648" w:rsidRPr="000653A9" w14:paraId="384B4806"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25167FD7" w14:textId="77777777" w:rsidR="009E45FD" w:rsidRPr="000653A9" w:rsidRDefault="009E45FD" w:rsidP="009A5503">
            <w:pPr>
              <w:spacing w:after="0"/>
              <w:jc w:val="left"/>
              <w:rPr>
                <w:rFonts w:eastAsia="Times New Roman"/>
                <w:b/>
                <w:bCs/>
                <w:noProof/>
                <w:color w:val="auto"/>
                <w:lang w:eastAsia="en-IE"/>
              </w:rPr>
            </w:pPr>
            <w:r w:rsidRPr="000653A9">
              <w:rPr>
                <w:rFonts w:eastAsia="Times New Roman"/>
                <w:b/>
                <w:bCs/>
                <w:noProof/>
                <w:color w:val="auto"/>
                <w:lang w:eastAsia="en-IE"/>
              </w:rPr>
              <w:t>ICC compensation avg. 2021-2023</w:t>
            </w:r>
          </w:p>
        </w:tc>
        <w:tc>
          <w:tcPr>
            <w:tcW w:w="0" w:type="auto"/>
            <w:tcBorders>
              <w:top w:val="nil"/>
              <w:left w:val="nil"/>
              <w:bottom w:val="single" w:sz="8" w:space="0" w:color="auto"/>
              <w:right w:val="single" w:sz="8" w:space="0" w:color="auto"/>
            </w:tcBorders>
            <w:vAlign w:val="center"/>
            <w:hideMark/>
          </w:tcPr>
          <w:p w14:paraId="6B331F10"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w:t>
            </w:r>
          </w:p>
        </w:tc>
        <w:tc>
          <w:tcPr>
            <w:tcW w:w="0" w:type="auto"/>
            <w:tcBorders>
              <w:top w:val="nil"/>
              <w:left w:val="nil"/>
              <w:bottom w:val="single" w:sz="8" w:space="0" w:color="auto"/>
              <w:right w:val="single" w:sz="8" w:space="0" w:color="auto"/>
            </w:tcBorders>
            <w:vAlign w:val="center"/>
            <w:hideMark/>
          </w:tcPr>
          <w:p w14:paraId="233B9F5A"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4.1</w:t>
            </w:r>
          </w:p>
        </w:tc>
        <w:tc>
          <w:tcPr>
            <w:tcW w:w="0" w:type="auto"/>
            <w:tcBorders>
              <w:top w:val="nil"/>
              <w:left w:val="nil"/>
              <w:bottom w:val="single" w:sz="8" w:space="0" w:color="auto"/>
              <w:right w:val="single" w:sz="8" w:space="0" w:color="auto"/>
            </w:tcBorders>
            <w:vAlign w:val="center"/>
            <w:hideMark/>
          </w:tcPr>
          <w:p w14:paraId="415D00F5"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w:t>
            </w:r>
          </w:p>
        </w:tc>
        <w:tc>
          <w:tcPr>
            <w:tcW w:w="0" w:type="auto"/>
            <w:tcBorders>
              <w:top w:val="nil"/>
              <w:left w:val="nil"/>
              <w:bottom w:val="single" w:sz="8" w:space="0" w:color="auto"/>
              <w:right w:val="single" w:sz="8" w:space="0" w:color="auto"/>
            </w:tcBorders>
            <w:vAlign w:val="center"/>
            <w:hideMark/>
          </w:tcPr>
          <w:p w14:paraId="27FA98DD"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4.1</w:t>
            </w:r>
          </w:p>
        </w:tc>
      </w:tr>
      <w:tr w:rsidR="00971648" w:rsidRPr="000653A9" w14:paraId="27A69B57"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171600C5" w14:textId="77777777" w:rsidR="009E45FD" w:rsidRPr="000653A9" w:rsidRDefault="009E45FD" w:rsidP="009A5503">
            <w:pPr>
              <w:spacing w:after="0"/>
              <w:jc w:val="left"/>
              <w:rPr>
                <w:rFonts w:eastAsia="Times New Roman"/>
                <w:b/>
                <w:bCs/>
                <w:noProof/>
                <w:color w:val="auto"/>
                <w:lang w:eastAsia="en-IE"/>
              </w:rPr>
            </w:pPr>
            <w:r w:rsidRPr="000653A9">
              <w:rPr>
                <w:rFonts w:eastAsia="Times New Roman"/>
                <w:b/>
                <w:bCs/>
                <w:noProof/>
                <w:color w:val="auto"/>
                <w:lang w:eastAsia="en-IE"/>
              </w:rPr>
              <w:t>increased Member State participation</w:t>
            </w:r>
          </w:p>
        </w:tc>
        <w:tc>
          <w:tcPr>
            <w:tcW w:w="0" w:type="auto"/>
            <w:tcBorders>
              <w:top w:val="nil"/>
              <w:left w:val="nil"/>
              <w:bottom w:val="single" w:sz="8" w:space="0" w:color="auto"/>
              <w:right w:val="single" w:sz="8" w:space="0" w:color="auto"/>
            </w:tcBorders>
            <w:vAlign w:val="center"/>
            <w:hideMark/>
          </w:tcPr>
          <w:p w14:paraId="42285584" w14:textId="0EF15E6B" w:rsidR="009E45FD" w:rsidRPr="000653A9" w:rsidRDefault="002F78A4" w:rsidP="009E45FD">
            <w:pPr>
              <w:spacing w:after="0"/>
              <w:jc w:val="center"/>
              <w:rPr>
                <w:rFonts w:eastAsia="Times New Roman"/>
                <w:noProof/>
                <w:color w:val="auto"/>
                <w:lang w:eastAsia="en-IE"/>
              </w:rPr>
            </w:pPr>
            <w:r w:rsidRPr="000653A9">
              <w:rPr>
                <w:rFonts w:eastAsia="Times New Roman"/>
                <w:noProof/>
                <w:color w:val="auto"/>
                <w:lang w:eastAsia="en-IE"/>
              </w:rPr>
              <w:t>+</w:t>
            </w:r>
            <w:r w:rsidR="009E45FD" w:rsidRPr="000653A9">
              <w:rPr>
                <w:rFonts w:eastAsia="Times New Roman"/>
                <w:noProof/>
                <w:color w:val="auto"/>
                <w:lang w:eastAsia="en-IE"/>
              </w:rPr>
              <w:t>18%</w:t>
            </w:r>
          </w:p>
        </w:tc>
        <w:tc>
          <w:tcPr>
            <w:tcW w:w="0" w:type="auto"/>
            <w:tcBorders>
              <w:top w:val="nil"/>
              <w:left w:val="nil"/>
              <w:bottom w:val="single" w:sz="8" w:space="0" w:color="auto"/>
              <w:right w:val="single" w:sz="8" w:space="0" w:color="auto"/>
            </w:tcBorders>
            <w:vAlign w:val="center"/>
            <w:hideMark/>
          </w:tcPr>
          <w:p w14:paraId="20657B87"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4.8</w:t>
            </w:r>
          </w:p>
        </w:tc>
        <w:tc>
          <w:tcPr>
            <w:tcW w:w="0" w:type="auto"/>
            <w:tcBorders>
              <w:top w:val="nil"/>
              <w:left w:val="nil"/>
              <w:bottom w:val="single" w:sz="8" w:space="0" w:color="auto"/>
              <w:right w:val="single" w:sz="8" w:space="0" w:color="auto"/>
            </w:tcBorders>
            <w:vAlign w:val="center"/>
            <w:hideMark/>
          </w:tcPr>
          <w:p w14:paraId="7040A3F6" w14:textId="48EF665A" w:rsidR="009E45FD" w:rsidRPr="000653A9" w:rsidRDefault="002F78A4" w:rsidP="009E45FD">
            <w:pPr>
              <w:spacing w:after="0"/>
              <w:jc w:val="center"/>
              <w:rPr>
                <w:rFonts w:eastAsia="Times New Roman"/>
                <w:noProof/>
                <w:color w:val="auto"/>
                <w:lang w:eastAsia="en-IE"/>
              </w:rPr>
            </w:pPr>
            <w:r w:rsidRPr="000653A9">
              <w:rPr>
                <w:rFonts w:eastAsia="Times New Roman"/>
                <w:noProof/>
                <w:color w:val="auto"/>
                <w:lang w:eastAsia="en-IE"/>
              </w:rPr>
              <w:t>+</w:t>
            </w:r>
            <w:r w:rsidR="009E45FD" w:rsidRPr="000653A9">
              <w:rPr>
                <w:rFonts w:eastAsia="Times New Roman"/>
                <w:noProof/>
                <w:color w:val="auto"/>
                <w:lang w:eastAsia="en-IE"/>
              </w:rPr>
              <w:t>18%</w:t>
            </w:r>
          </w:p>
        </w:tc>
        <w:tc>
          <w:tcPr>
            <w:tcW w:w="0" w:type="auto"/>
            <w:tcBorders>
              <w:top w:val="nil"/>
              <w:left w:val="nil"/>
              <w:bottom w:val="single" w:sz="8" w:space="0" w:color="auto"/>
              <w:right w:val="single" w:sz="8" w:space="0" w:color="auto"/>
            </w:tcBorders>
            <w:vAlign w:val="center"/>
            <w:hideMark/>
          </w:tcPr>
          <w:p w14:paraId="7ADEFDDD"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4.8</w:t>
            </w:r>
          </w:p>
        </w:tc>
      </w:tr>
      <w:tr w:rsidR="00971648" w:rsidRPr="000653A9" w14:paraId="00AD2652"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2EC228B6" w14:textId="77777777" w:rsidR="009E45FD" w:rsidRPr="000653A9" w:rsidRDefault="009E45FD" w:rsidP="009A5503">
            <w:pPr>
              <w:spacing w:after="0"/>
              <w:jc w:val="left"/>
              <w:rPr>
                <w:rFonts w:eastAsia="Times New Roman"/>
                <w:b/>
                <w:bCs/>
                <w:noProof/>
                <w:color w:val="auto"/>
                <w:lang w:eastAsia="en-IE"/>
              </w:rPr>
            </w:pPr>
            <w:r w:rsidRPr="000653A9">
              <w:rPr>
                <w:rFonts w:eastAsia="Times New Roman"/>
                <w:b/>
                <w:bCs/>
                <w:noProof/>
                <w:color w:val="auto"/>
                <w:lang w:eastAsia="en-IE"/>
              </w:rPr>
              <w:t>higher aid intensity</w:t>
            </w:r>
          </w:p>
        </w:tc>
        <w:tc>
          <w:tcPr>
            <w:tcW w:w="0" w:type="auto"/>
            <w:tcBorders>
              <w:top w:val="nil"/>
              <w:left w:val="nil"/>
              <w:bottom w:val="single" w:sz="8" w:space="0" w:color="auto"/>
              <w:right w:val="single" w:sz="8" w:space="0" w:color="auto"/>
            </w:tcBorders>
            <w:vAlign w:val="center"/>
            <w:hideMark/>
          </w:tcPr>
          <w:p w14:paraId="69A0A4E2" w14:textId="6974BDD9" w:rsidR="009E45FD" w:rsidRPr="000653A9" w:rsidRDefault="002F78A4" w:rsidP="009E45FD">
            <w:pPr>
              <w:spacing w:after="0"/>
              <w:jc w:val="center"/>
              <w:rPr>
                <w:rFonts w:eastAsia="Times New Roman"/>
                <w:noProof/>
                <w:color w:val="auto"/>
                <w:lang w:eastAsia="en-IE"/>
              </w:rPr>
            </w:pPr>
            <w:r w:rsidRPr="000653A9">
              <w:rPr>
                <w:rFonts w:eastAsia="Times New Roman"/>
                <w:noProof/>
                <w:color w:val="auto"/>
                <w:lang w:eastAsia="en-IE"/>
              </w:rPr>
              <w:t>+</w:t>
            </w:r>
            <w:r w:rsidR="009E45FD" w:rsidRPr="000653A9">
              <w:rPr>
                <w:rFonts w:eastAsia="Times New Roman"/>
                <w:noProof/>
                <w:color w:val="auto"/>
                <w:lang w:eastAsia="en-IE"/>
              </w:rPr>
              <w:t>49%</w:t>
            </w:r>
          </w:p>
        </w:tc>
        <w:tc>
          <w:tcPr>
            <w:tcW w:w="0" w:type="auto"/>
            <w:tcBorders>
              <w:top w:val="nil"/>
              <w:left w:val="nil"/>
              <w:bottom w:val="single" w:sz="8" w:space="0" w:color="auto"/>
              <w:right w:val="single" w:sz="8" w:space="0" w:color="auto"/>
            </w:tcBorders>
            <w:vAlign w:val="center"/>
            <w:hideMark/>
          </w:tcPr>
          <w:p w14:paraId="52E258FA"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6.1</w:t>
            </w:r>
          </w:p>
        </w:tc>
        <w:tc>
          <w:tcPr>
            <w:tcW w:w="0" w:type="auto"/>
            <w:tcBorders>
              <w:top w:val="nil"/>
              <w:left w:val="nil"/>
              <w:bottom w:val="single" w:sz="8" w:space="0" w:color="auto"/>
              <w:right w:val="single" w:sz="8" w:space="0" w:color="auto"/>
            </w:tcBorders>
            <w:vAlign w:val="center"/>
            <w:hideMark/>
          </w:tcPr>
          <w:p w14:paraId="507C57B8" w14:textId="139E859A" w:rsidR="009E45FD" w:rsidRPr="000653A9" w:rsidRDefault="002F78A4" w:rsidP="009E45FD">
            <w:pPr>
              <w:spacing w:after="0"/>
              <w:jc w:val="center"/>
              <w:rPr>
                <w:rFonts w:eastAsia="Times New Roman"/>
                <w:noProof/>
                <w:color w:val="auto"/>
                <w:lang w:eastAsia="en-IE"/>
              </w:rPr>
            </w:pPr>
            <w:r w:rsidRPr="000653A9">
              <w:rPr>
                <w:rFonts w:eastAsia="Times New Roman"/>
                <w:noProof/>
                <w:color w:val="auto"/>
                <w:lang w:eastAsia="en-IE"/>
              </w:rPr>
              <w:t>+</w:t>
            </w:r>
            <w:r w:rsidR="009E45FD" w:rsidRPr="000653A9">
              <w:rPr>
                <w:rFonts w:eastAsia="Times New Roman"/>
                <w:noProof/>
                <w:color w:val="auto"/>
                <w:lang w:eastAsia="en-IE"/>
              </w:rPr>
              <w:t>49%</w:t>
            </w:r>
          </w:p>
        </w:tc>
        <w:tc>
          <w:tcPr>
            <w:tcW w:w="0" w:type="auto"/>
            <w:tcBorders>
              <w:top w:val="nil"/>
              <w:left w:val="nil"/>
              <w:bottom w:val="single" w:sz="8" w:space="0" w:color="auto"/>
              <w:right w:val="single" w:sz="8" w:space="0" w:color="auto"/>
            </w:tcBorders>
            <w:vAlign w:val="center"/>
            <w:hideMark/>
          </w:tcPr>
          <w:p w14:paraId="4D3E1312" w14:textId="77777777" w:rsidR="009E45FD" w:rsidRPr="000653A9" w:rsidRDefault="009E45FD" w:rsidP="009E45FD">
            <w:pPr>
              <w:spacing w:after="0"/>
              <w:jc w:val="center"/>
              <w:rPr>
                <w:rFonts w:eastAsia="Times New Roman"/>
                <w:noProof/>
                <w:color w:val="auto"/>
                <w:lang w:eastAsia="en-IE"/>
              </w:rPr>
            </w:pPr>
            <w:r w:rsidRPr="000653A9">
              <w:rPr>
                <w:rFonts w:eastAsia="Times New Roman"/>
                <w:noProof/>
                <w:color w:val="auto"/>
                <w:lang w:eastAsia="en-IE"/>
              </w:rPr>
              <w:t>6.1</w:t>
            </w:r>
          </w:p>
        </w:tc>
      </w:tr>
      <w:tr w:rsidR="00971648" w:rsidRPr="000653A9" w14:paraId="4831E384"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tcPr>
          <w:p w14:paraId="06F07754" w14:textId="68DEEEB3" w:rsidR="005330B1" w:rsidRPr="000653A9" w:rsidRDefault="005330B1" w:rsidP="009A5503">
            <w:pPr>
              <w:spacing w:after="0"/>
              <w:jc w:val="left"/>
              <w:rPr>
                <w:rFonts w:eastAsia="Times New Roman"/>
                <w:i/>
                <w:iCs/>
                <w:noProof/>
                <w:color w:val="auto"/>
                <w:lang w:eastAsia="en-IE"/>
              </w:rPr>
            </w:pPr>
            <w:r w:rsidRPr="000653A9">
              <w:rPr>
                <w:rFonts w:eastAsia="Times New Roman"/>
                <w:i/>
                <w:iCs/>
                <w:noProof/>
                <w:color w:val="auto"/>
                <w:lang w:eastAsia="en-IE"/>
              </w:rPr>
              <w:t>participation &amp; aid intensity combined</w:t>
            </w:r>
          </w:p>
        </w:tc>
        <w:tc>
          <w:tcPr>
            <w:tcW w:w="0" w:type="auto"/>
            <w:tcBorders>
              <w:top w:val="nil"/>
              <w:left w:val="nil"/>
              <w:bottom w:val="single" w:sz="8" w:space="0" w:color="auto"/>
              <w:right w:val="single" w:sz="8" w:space="0" w:color="auto"/>
            </w:tcBorders>
            <w:vAlign w:val="center"/>
          </w:tcPr>
          <w:p w14:paraId="521E7A93" w14:textId="3D572BA7" w:rsidR="005330B1" w:rsidRPr="000653A9" w:rsidRDefault="005330B1" w:rsidP="005330B1">
            <w:pPr>
              <w:spacing w:after="0"/>
              <w:jc w:val="center"/>
              <w:rPr>
                <w:rFonts w:eastAsia="Times New Roman"/>
                <w:i/>
                <w:iCs/>
                <w:noProof/>
                <w:color w:val="auto"/>
                <w:lang w:eastAsia="en-IE"/>
              </w:rPr>
            </w:pPr>
            <w:r w:rsidRPr="000653A9">
              <w:rPr>
                <w:rFonts w:eastAsia="Times New Roman"/>
                <w:i/>
                <w:iCs/>
                <w:noProof/>
                <w:color w:val="auto"/>
                <w:lang w:eastAsia="en-IE"/>
              </w:rPr>
              <w:t>+76%</w:t>
            </w:r>
          </w:p>
        </w:tc>
        <w:tc>
          <w:tcPr>
            <w:tcW w:w="0" w:type="auto"/>
            <w:tcBorders>
              <w:top w:val="nil"/>
              <w:left w:val="nil"/>
              <w:bottom w:val="single" w:sz="8" w:space="0" w:color="auto"/>
              <w:right w:val="single" w:sz="8" w:space="0" w:color="auto"/>
            </w:tcBorders>
            <w:vAlign w:val="center"/>
          </w:tcPr>
          <w:p w14:paraId="765147EB" w14:textId="6875618B" w:rsidR="005330B1" w:rsidRPr="000653A9" w:rsidRDefault="005330B1" w:rsidP="005330B1">
            <w:pPr>
              <w:spacing w:after="0"/>
              <w:jc w:val="center"/>
              <w:rPr>
                <w:rFonts w:eastAsia="Times New Roman"/>
                <w:i/>
                <w:iCs/>
                <w:noProof/>
                <w:color w:val="auto"/>
                <w:lang w:eastAsia="en-IE"/>
              </w:rPr>
            </w:pPr>
            <w:r w:rsidRPr="000653A9">
              <w:rPr>
                <w:rFonts w:eastAsia="Times New Roman"/>
                <w:i/>
                <w:iCs/>
                <w:noProof/>
                <w:color w:val="auto"/>
                <w:lang w:eastAsia="en-IE"/>
              </w:rPr>
              <w:t>7.2</w:t>
            </w:r>
          </w:p>
        </w:tc>
        <w:tc>
          <w:tcPr>
            <w:tcW w:w="0" w:type="auto"/>
            <w:tcBorders>
              <w:top w:val="nil"/>
              <w:left w:val="nil"/>
              <w:bottom w:val="single" w:sz="8" w:space="0" w:color="auto"/>
              <w:right w:val="single" w:sz="8" w:space="0" w:color="auto"/>
            </w:tcBorders>
            <w:vAlign w:val="center"/>
          </w:tcPr>
          <w:p w14:paraId="2740FF81" w14:textId="343F70B2" w:rsidR="005330B1" w:rsidRPr="000653A9" w:rsidRDefault="005330B1" w:rsidP="005330B1">
            <w:pPr>
              <w:spacing w:after="0"/>
              <w:jc w:val="center"/>
              <w:rPr>
                <w:rFonts w:eastAsia="Times New Roman"/>
                <w:i/>
                <w:iCs/>
                <w:noProof/>
                <w:color w:val="auto"/>
                <w:lang w:eastAsia="en-IE"/>
              </w:rPr>
            </w:pPr>
            <w:r w:rsidRPr="000653A9">
              <w:rPr>
                <w:rFonts w:eastAsia="Times New Roman"/>
                <w:i/>
                <w:iCs/>
                <w:noProof/>
                <w:color w:val="auto"/>
                <w:lang w:eastAsia="en-IE"/>
              </w:rPr>
              <w:t>+76%</w:t>
            </w:r>
          </w:p>
        </w:tc>
        <w:tc>
          <w:tcPr>
            <w:tcW w:w="0" w:type="auto"/>
            <w:tcBorders>
              <w:top w:val="nil"/>
              <w:left w:val="nil"/>
              <w:bottom w:val="single" w:sz="8" w:space="0" w:color="auto"/>
              <w:right w:val="single" w:sz="8" w:space="0" w:color="auto"/>
            </w:tcBorders>
            <w:vAlign w:val="center"/>
          </w:tcPr>
          <w:p w14:paraId="0396B888" w14:textId="00D32F9D" w:rsidR="005330B1" w:rsidRPr="000653A9" w:rsidRDefault="005330B1" w:rsidP="005330B1">
            <w:pPr>
              <w:spacing w:after="0"/>
              <w:jc w:val="center"/>
              <w:rPr>
                <w:rFonts w:eastAsia="Times New Roman"/>
                <w:i/>
                <w:iCs/>
                <w:noProof/>
                <w:color w:val="auto"/>
                <w:lang w:eastAsia="en-IE"/>
              </w:rPr>
            </w:pPr>
            <w:r w:rsidRPr="000653A9">
              <w:rPr>
                <w:rFonts w:eastAsia="Times New Roman"/>
                <w:i/>
                <w:iCs/>
                <w:noProof/>
                <w:color w:val="auto"/>
                <w:lang w:eastAsia="en-IE"/>
              </w:rPr>
              <w:t>7.2</w:t>
            </w:r>
          </w:p>
        </w:tc>
      </w:tr>
      <w:tr w:rsidR="001C143D" w:rsidRPr="000653A9" w14:paraId="585D791D" w14:textId="77777777" w:rsidTr="007240E5">
        <w:trPr>
          <w:trHeight w:val="20"/>
          <w:jc w:val="center"/>
        </w:trPr>
        <w:tc>
          <w:tcPr>
            <w:tcW w:w="0" w:type="auto"/>
            <w:gridSpan w:val="5"/>
            <w:tcBorders>
              <w:top w:val="nil"/>
              <w:left w:val="single" w:sz="8" w:space="0" w:color="auto"/>
              <w:bottom w:val="single" w:sz="8" w:space="0" w:color="auto"/>
              <w:right w:val="single" w:sz="8" w:space="0" w:color="auto"/>
            </w:tcBorders>
            <w:vAlign w:val="center"/>
          </w:tcPr>
          <w:p w14:paraId="3985AD7D" w14:textId="77777777" w:rsidR="001C143D" w:rsidRPr="000653A9" w:rsidRDefault="001C143D" w:rsidP="009A5503">
            <w:pPr>
              <w:spacing w:after="0"/>
              <w:jc w:val="left"/>
              <w:rPr>
                <w:rFonts w:eastAsia="Times New Roman"/>
                <w:noProof/>
                <w:color w:val="auto"/>
                <w:lang w:eastAsia="en-IE"/>
              </w:rPr>
            </w:pPr>
          </w:p>
        </w:tc>
      </w:tr>
      <w:tr w:rsidR="00971648" w:rsidRPr="000653A9" w14:paraId="4B67D3FC"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6794A7A8" w14:textId="50E0CB93" w:rsidR="005330B1" w:rsidRPr="000653A9" w:rsidRDefault="005330B1" w:rsidP="009A5503">
            <w:pPr>
              <w:spacing w:after="0"/>
              <w:jc w:val="left"/>
              <w:rPr>
                <w:rFonts w:eastAsia="Times New Roman"/>
                <w:b/>
                <w:bCs/>
                <w:noProof/>
                <w:color w:val="auto"/>
                <w:lang w:eastAsia="en-IE"/>
              </w:rPr>
            </w:pPr>
            <w:r w:rsidRPr="000653A9">
              <w:rPr>
                <w:rFonts w:eastAsia="Times New Roman"/>
                <w:b/>
                <w:bCs/>
                <w:noProof/>
                <w:color w:val="auto"/>
                <w:lang w:eastAsia="en-IE"/>
              </w:rPr>
              <w:t>industrial electricity consumption 203</w:t>
            </w:r>
            <w:r w:rsidR="009C0644" w:rsidRPr="000653A9">
              <w:rPr>
                <w:rFonts w:eastAsia="Times New Roman"/>
                <w:b/>
                <w:bCs/>
                <w:noProof/>
                <w:color w:val="auto"/>
                <w:lang w:eastAsia="en-IE"/>
              </w:rPr>
              <w:t>1</w:t>
            </w:r>
            <w:r w:rsidR="00AC7AF1" w:rsidRPr="000653A9">
              <w:rPr>
                <w:rFonts w:eastAsia="Times New Roman"/>
                <w:b/>
                <w:bCs/>
                <w:noProof/>
                <w:color w:val="auto"/>
                <w:lang w:eastAsia="en-IE"/>
              </w:rPr>
              <w:t>-40 avg.</w:t>
            </w:r>
          </w:p>
        </w:tc>
        <w:tc>
          <w:tcPr>
            <w:tcW w:w="0" w:type="auto"/>
            <w:tcBorders>
              <w:top w:val="nil"/>
              <w:left w:val="nil"/>
              <w:bottom w:val="single" w:sz="8" w:space="0" w:color="auto"/>
              <w:right w:val="single" w:sz="8" w:space="0" w:color="auto"/>
            </w:tcBorders>
            <w:vAlign w:val="center"/>
            <w:hideMark/>
          </w:tcPr>
          <w:p w14:paraId="4CF0B8D7" w14:textId="77777777" w:rsidR="005330B1" w:rsidRPr="000653A9" w:rsidRDefault="005330B1" w:rsidP="005330B1">
            <w:pPr>
              <w:spacing w:after="0"/>
              <w:jc w:val="center"/>
              <w:rPr>
                <w:rFonts w:eastAsia="Times New Roman"/>
                <w:noProof/>
                <w:color w:val="auto"/>
                <w:lang w:eastAsia="en-IE"/>
              </w:rPr>
            </w:pPr>
            <w:r w:rsidRPr="000653A9">
              <w:rPr>
                <w:rFonts w:eastAsia="Times New Roman"/>
                <w:noProof/>
                <w:color w:val="auto"/>
                <w:lang w:eastAsia="en-IE"/>
              </w:rPr>
              <w:t>-2%</w:t>
            </w:r>
          </w:p>
        </w:tc>
        <w:tc>
          <w:tcPr>
            <w:tcW w:w="0" w:type="auto"/>
            <w:tcBorders>
              <w:top w:val="nil"/>
              <w:left w:val="nil"/>
              <w:bottom w:val="single" w:sz="8" w:space="0" w:color="auto"/>
              <w:right w:val="single" w:sz="8" w:space="0" w:color="auto"/>
            </w:tcBorders>
            <w:vAlign w:val="center"/>
            <w:hideMark/>
          </w:tcPr>
          <w:p w14:paraId="49EFDDA8" w14:textId="77777777" w:rsidR="005330B1" w:rsidRPr="000653A9" w:rsidRDefault="005330B1" w:rsidP="005330B1">
            <w:pPr>
              <w:spacing w:after="0"/>
              <w:jc w:val="center"/>
              <w:rPr>
                <w:rFonts w:eastAsia="Times New Roman"/>
                <w:noProof/>
                <w:color w:val="auto"/>
                <w:lang w:eastAsia="en-IE"/>
              </w:rPr>
            </w:pPr>
            <w:r w:rsidRPr="000653A9">
              <w:rPr>
                <w:rFonts w:eastAsia="Times New Roman"/>
                <w:noProof/>
                <w:color w:val="auto"/>
                <w:lang w:eastAsia="en-IE"/>
              </w:rPr>
              <w:t>4.0</w:t>
            </w:r>
          </w:p>
        </w:tc>
        <w:tc>
          <w:tcPr>
            <w:tcW w:w="0" w:type="auto"/>
            <w:tcBorders>
              <w:top w:val="nil"/>
              <w:left w:val="nil"/>
              <w:bottom w:val="single" w:sz="8" w:space="0" w:color="auto"/>
              <w:right w:val="single" w:sz="8" w:space="0" w:color="auto"/>
            </w:tcBorders>
            <w:vAlign w:val="center"/>
            <w:hideMark/>
          </w:tcPr>
          <w:p w14:paraId="12174FCC" w14:textId="77777777" w:rsidR="005330B1" w:rsidRPr="000653A9" w:rsidRDefault="005330B1" w:rsidP="005330B1">
            <w:pPr>
              <w:spacing w:after="0"/>
              <w:jc w:val="center"/>
              <w:rPr>
                <w:rFonts w:eastAsia="Times New Roman"/>
                <w:noProof/>
                <w:color w:val="auto"/>
                <w:lang w:eastAsia="en-IE"/>
              </w:rPr>
            </w:pPr>
            <w:r w:rsidRPr="000653A9">
              <w:rPr>
                <w:rFonts w:eastAsia="Times New Roman"/>
                <w:noProof/>
                <w:color w:val="auto"/>
                <w:lang w:eastAsia="en-IE"/>
              </w:rPr>
              <w:t>-2%</w:t>
            </w:r>
          </w:p>
        </w:tc>
        <w:tc>
          <w:tcPr>
            <w:tcW w:w="0" w:type="auto"/>
            <w:tcBorders>
              <w:top w:val="nil"/>
              <w:left w:val="nil"/>
              <w:bottom w:val="single" w:sz="8" w:space="0" w:color="auto"/>
              <w:right w:val="single" w:sz="8" w:space="0" w:color="auto"/>
            </w:tcBorders>
            <w:vAlign w:val="center"/>
            <w:hideMark/>
          </w:tcPr>
          <w:p w14:paraId="235D0FD1" w14:textId="77777777" w:rsidR="005330B1" w:rsidRPr="000653A9" w:rsidRDefault="005330B1" w:rsidP="005330B1">
            <w:pPr>
              <w:spacing w:after="0"/>
              <w:jc w:val="center"/>
              <w:rPr>
                <w:rFonts w:eastAsia="Times New Roman"/>
                <w:noProof/>
                <w:color w:val="auto"/>
                <w:lang w:eastAsia="en-IE"/>
              </w:rPr>
            </w:pPr>
            <w:r w:rsidRPr="000653A9">
              <w:rPr>
                <w:rFonts w:eastAsia="Times New Roman"/>
                <w:noProof/>
                <w:color w:val="auto"/>
                <w:lang w:eastAsia="en-IE"/>
              </w:rPr>
              <w:t>4.0</w:t>
            </w:r>
          </w:p>
        </w:tc>
      </w:tr>
      <w:tr w:rsidR="00971648" w:rsidRPr="000653A9" w14:paraId="5B6B66FC"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2C88B2C1" w14:textId="35AB3734" w:rsidR="005330B1" w:rsidRPr="000653A9" w:rsidRDefault="005330B1" w:rsidP="009A5503">
            <w:pPr>
              <w:spacing w:after="0"/>
              <w:jc w:val="left"/>
              <w:rPr>
                <w:rFonts w:eastAsia="Times New Roman"/>
                <w:b/>
                <w:bCs/>
                <w:noProof/>
                <w:color w:val="auto"/>
                <w:lang w:eastAsia="en-IE"/>
              </w:rPr>
            </w:pPr>
            <w:r w:rsidRPr="000653A9">
              <w:rPr>
                <w:rFonts w:eastAsia="Times New Roman"/>
                <w:b/>
                <w:bCs/>
                <w:noProof/>
                <w:color w:val="auto"/>
                <w:lang w:eastAsia="en-IE"/>
              </w:rPr>
              <w:t xml:space="preserve">decarbonisation of power supply </w:t>
            </w:r>
            <w:r w:rsidR="00AC7AF1" w:rsidRPr="000653A9">
              <w:rPr>
                <w:rFonts w:eastAsia="Times New Roman"/>
                <w:b/>
                <w:bCs/>
                <w:noProof/>
                <w:color w:val="auto"/>
                <w:lang w:eastAsia="en-IE"/>
              </w:rPr>
              <w:t>203</w:t>
            </w:r>
            <w:r w:rsidR="009C0644" w:rsidRPr="000653A9">
              <w:rPr>
                <w:rFonts w:eastAsia="Times New Roman"/>
                <w:b/>
                <w:bCs/>
                <w:noProof/>
                <w:color w:val="auto"/>
                <w:lang w:eastAsia="en-IE"/>
              </w:rPr>
              <w:t>1</w:t>
            </w:r>
            <w:r w:rsidR="00AC7AF1" w:rsidRPr="000653A9">
              <w:rPr>
                <w:rFonts w:eastAsia="Times New Roman"/>
                <w:b/>
                <w:bCs/>
                <w:noProof/>
                <w:color w:val="auto"/>
                <w:lang w:eastAsia="en-IE"/>
              </w:rPr>
              <w:t>-40 avg.</w:t>
            </w:r>
          </w:p>
        </w:tc>
        <w:tc>
          <w:tcPr>
            <w:tcW w:w="0" w:type="auto"/>
            <w:tcBorders>
              <w:top w:val="nil"/>
              <w:left w:val="nil"/>
              <w:bottom w:val="single" w:sz="8" w:space="0" w:color="auto"/>
              <w:right w:val="single" w:sz="8" w:space="0" w:color="auto"/>
            </w:tcBorders>
            <w:vAlign w:val="center"/>
            <w:hideMark/>
          </w:tcPr>
          <w:p w14:paraId="133E6564" w14:textId="77777777" w:rsidR="005330B1" w:rsidRPr="000653A9" w:rsidRDefault="005330B1" w:rsidP="005330B1">
            <w:pPr>
              <w:spacing w:after="0"/>
              <w:jc w:val="center"/>
              <w:rPr>
                <w:rFonts w:eastAsia="Times New Roman"/>
                <w:noProof/>
                <w:color w:val="auto"/>
                <w:lang w:eastAsia="en-IE"/>
              </w:rPr>
            </w:pPr>
            <w:r w:rsidRPr="000653A9">
              <w:rPr>
                <w:rFonts w:eastAsia="Times New Roman"/>
                <w:noProof/>
                <w:color w:val="auto"/>
                <w:lang w:eastAsia="en-IE"/>
              </w:rPr>
              <w:t>-14%</w:t>
            </w:r>
          </w:p>
        </w:tc>
        <w:tc>
          <w:tcPr>
            <w:tcW w:w="0" w:type="auto"/>
            <w:tcBorders>
              <w:top w:val="nil"/>
              <w:left w:val="nil"/>
              <w:bottom w:val="single" w:sz="8" w:space="0" w:color="auto"/>
              <w:right w:val="single" w:sz="8" w:space="0" w:color="auto"/>
            </w:tcBorders>
            <w:vAlign w:val="center"/>
            <w:hideMark/>
          </w:tcPr>
          <w:p w14:paraId="5BC4678C" w14:textId="77777777" w:rsidR="005330B1" w:rsidRPr="000653A9" w:rsidRDefault="005330B1" w:rsidP="005330B1">
            <w:pPr>
              <w:spacing w:after="0"/>
              <w:jc w:val="center"/>
              <w:rPr>
                <w:rFonts w:eastAsia="Times New Roman"/>
                <w:noProof/>
                <w:color w:val="auto"/>
                <w:lang w:eastAsia="en-IE"/>
              </w:rPr>
            </w:pPr>
            <w:r w:rsidRPr="000653A9">
              <w:rPr>
                <w:rFonts w:eastAsia="Times New Roman"/>
                <w:noProof/>
                <w:color w:val="auto"/>
                <w:lang w:eastAsia="en-IE"/>
              </w:rPr>
              <w:t>3.5</w:t>
            </w:r>
          </w:p>
        </w:tc>
        <w:tc>
          <w:tcPr>
            <w:tcW w:w="0" w:type="auto"/>
            <w:tcBorders>
              <w:top w:val="nil"/>
              <w:left w:val="nil"/>
              <w:bottom w:val="single" w:sz="8" w:space="0" w:color="auto"/>
              <w:right w:val="single" w:sz="8" w:space="0" w:color="auto"/>
            </w:tcBorders>
            <w:vAlign w:val="center"/>
            <w:hideMark/>
          </w:tcPr>
          <w:p w14:paraId="18C544DF" w14:textId="77777777" w:rsidR="005330B1" w:rsidRPr="000653A9" w:rsidRDefault="005330B1" w:rsidP="005330B1">
            <w:pPr>
              <w:spacing w:after="0"/>
              <w:jc w:val="center"/>
              <w:rPr>
                <w:rFonts w:eastAsia="Times New Roman"/>
                <w:noProof/>
                <w:color w:val="auto"/>
                <w:lang w:eastAsia="en-IE"/>
              </w:rPr>
            </w:pPr>
            <w:r w:rsidRPr="000653A9">
              <w:rPr>
                <w:rFonts w:eastAsia="Times New Roman"/>
                <w:noProof/>
                <w:color w:val="auto"/>
                <w:lang w:eastAsia="en-IE"/>
              </w:rPr>
              <w:t>-58%</w:t>
            </w:r>
          </w:p>
        </w:tc>
        <w:tc>
          <w:tcPr>
            <w:tcW w:w="0" w:type="auto"/>
            <w:tcBorders>
              <w:top w:val="nil"/>
              <w:left w:val="nil"/>
              <w:bottom w:val="single" w:sz="8" w:space="0" w:color="auto"/>
              <w:right w:val="single" w:sz="8" w:space="0" w:color="auto"/>
            </w:tcBorders>
            <w:vAlign w:val="center"/>
            <w:hideMark/>
          </w:tcPr>
          <w:p w14:paraId="62EFDEC6" w14:textId="77777777" w:rsidR="005330B1" w:rsidRPr="000653A9" w:rsidRDefault="005330B1" w:rsidP="005330B1">
            <w:pPr>
              <w:spacing w:after="0"/>
              <w:jc w:val="center"/>
              <w:rPr>
                <w:rFonts w:eastAsia="Times New Roman"/>
                <w:noProof/>
                <w:color w:val="auto"/>
                <w:lang w:eastAsia="en-IE"/>
              </w:rPr>
            </w:pPr>
            <w:r w:rsidRPr="000653A9">
              <w:rPr>
                <w:rFonts w:eastAsia="Times New Roman"/>
                <w:noProof/>
                <w:color w:val="auto"/>
                <w:lang w:eastAsia="en-IE"/>
              </w:rPr>
              <w:t>3</w:t>
            </w:r>
          </w:p>
        </w:tc>
      </w:tr>
      <w:tr w:rsidR="00971648" w:rsidRPr="000653A9" w14:paraId="27CC6AAD"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33E5F017" w14:textId="25FEC3E9" w:rsidR="00A0443F" w:rsidRPr="000653A9" w:rsidRDefault="00A0443F" w:rsidP="00A0443F">
            <w:pPr>
              <w:spacing w:after="0"/>
              <w:jc w:val="left"/>
              <w:rPr>
                <w:rFonts w:eastAsia="Times New Roman"/>
                <w:b/>
                <w:bCs/>
                <w:noProof/>
                <w:color w:val="auto"/>
                <w:lang w:eastAsia="en-IE"/>
              </w:rPr>
            </w:pPr>
            <w:r w:rsidRPr="000653A9">
              <w:rPr>
                <w:rFonts w:eastAsia="Times New Roman"/>
                <w:b/>
                <w:bCs/>
                <w:noProof/>
                <w:color w:val="auto"/>
                <w:lang w:eastAsia="en-IE"/>
              </w:rPr>
              <w:t>carbon price 2031-40 avg.</w:t>
            </w:r>
          </w:p>
        </w:tc>
        <w:tc>
          <w:tcPr>
            <w:tcW w:w="0" w:type="auto"/>
            <w:tcBorders>
              <w:top w:val="nil"/>
              <w:left w:val="nil"/>
              <w:bottom w:val="single" w:sz="8" w:space="0" w:color="auto"/>
              <w:right w:val="single" w:sz="8" w:space="0" w:color="auto"/>
            </w:tcBorders>
            <w:vAlign w:val="center"/>
            <w:hideMark/>
          </w:tcPr>
          <w:p w14:paraId="1738614C" w14:textId="42733339" w:rsidR="00A0443F" w:rsidRPr="000653A9" w:rsidRDefault="00971648" w:rsidP="00A0443F">
            <w:pPr>
              <w:spacing w:after="0"/>
              <w:jc w:val="center"/>
              <w:rPr>
                <w:rFonts w:eastAsia="Times New Roman"/>
                <w:noProof/>
                <w:color w:val="auto"/>
                <w:lang w:eastAsia="en-IE"/>
              </w:rPr>
            </w:pPr>
            <w:r>
              <w:rPr>
                <w:rFonts w:eastAsia="Times New Roman"/>
                <w:noProof/>
                <w:color w:val="auto"/>
                <w:lang w:eastAsia="en-IE"/>
              </w:rPr>
              <w:t>+174%</w:t>
            </w:r>
          </w:p>
        </w:tc>
        <w:tc>
          <w:tcPr>
            <w:tcW w:w="0" w:type="auto"/>
            <w:tcBorders>
              <w:top w:val="nil"/>
              <w:left w:val="nil"/>
              <w:bottom w:val="single" w:sz="8" w:space="0" w:color="auto"/>
              <w:right w:val="single" w:sz="8" w:space="0" w:color="auto"/>
            </w:tcBorders>
            <w:vAlign w:val="center"/>
            <w:hideMark/>
          </w:tcPr>
          <w:p w14:paraId="68F96A43" w14:textId="5880FAAE" w:rsidR="00A0443F" w:rsidRPr="000653A9" w:rsidRDefault="00971648" w:rsidP="00A0443F">
            <w:pPr>
              <w:spacing w:after="0"/>
              <w:jc w:val="center"/>
              <w:rPr>
                <w:rFonts w:eastAsia="Times New Roman"/>
                <w:noProof/>
                <w:color w:val="auto"/>
                <w:lang w:eastAsia="en-IE"/>
              </w:rPr>
            </w:pPr>
            <w:r>
              <w:rPr>
                <w:rFonts w:eastAsia="Times New Roman"/>
                <w:noProof/>
                <w:color w:val="auto"/>
                <w:lang w:eastAsia="en-IE"/>
              </w:rPr>
              <w:t>11.2</w:t>
            </w:r>
          </w:p>
        </w:tc>
        <w:tc>
          <w:tcPr>
            <w:tcW w:w="0" w:type="auto"/>
            <w:tcBorders>
              <w:top w:val="nil"/>
              <w:left w:val="nil"/>
              <w:bottom w:val="single" w:sz="8" w:space="0" w:color="auto"/>
              <w:right w:val="single" w:sz="8" w:space="0" w:color="auto"/>
            </w:tcBorders>
            <w:vAlign w:val="center"/>
            <w:hideMark/>
          </w:tcPr>
          <w:p w14:paraId="436E7B62" w14:textId="671DD168" w:rsidR="00A0443F" w:rsidRPr="000653A9" w:rsidRDefault="00971648" w:rsidP="00A0443F">
            <w:pPr>
              <w:spacing w:after="0"/>
              <w:jc w:val="center"/>
              <w:rPr>
                <w:rFonts w:eastAsia="Times New Roman"/>
                <w:noProof/>
                <w:color w:val="auto"/>
                <w:lang w:eastAsia="en-IE"/>
              </w:rPr>
            </w:pPr>
            <w:r>
              <w:rPr>
                <w:rFonts w:eastAsia="Times New Roman"/>
                <w:noProof/>
                <w:color w:val="auto"/>
                <w:lang w:eastAsia="en-IE"/>
              </w:rPr>
              <w:t>+174%</w:t>
            </w:r>
          </w:p>
        </w:tc>
        <w:tc>
          <w:tcPr>
            <w:tcW w:w="0" w:type="auto"/>
            <w:tcBorders>
              <w:top w:val="nil"/>
              <w:left w:val="nil"/>
              <w:bottom w:val="single" w:sz="8" w:space="0" w:color="auto"/>
              <w:right w:val="single" w:sz="8" w:space="0" w:color="auto"/>
            </w:tcBorders>
            <w:vAlign w:val="center"/>
            <w:hideMark/>
          </w:tcPr>
          <w:p w14:paraId="00803FCA" w14:textId="7DF767B5" w:rsidR="00A0443F" w:rsidRPr="000653A9" w:rsidRDefault="00971648" w:rsidP="00A0443F">
            <w:pPr>
              <w:spacing w:after="0"/>
              <w:jc w:val="center"/>
              <w:rPr>
                <w:rFonts w:eastAsia="Times New Roman"/>
                <w:noProof/>
                <w:color w:val="auto"/>
                <w:lang w:eastAsia="en-IE"/>
              </w:rPr>
            </w:pPr>
            <w:r>
              <w:rPr>
                <w:rFonts w:eastAsia="Times New Roman"/>
                <w:noProof/>
                <w:color w:val="auto"/>
                <w:lang w:eastAsia="en-IE"/>
              </w:rPr>
              <w:t>11.2</w:t>
            </w:r>
          </w:p>
        </w:tc>
      </w:tr>
      <w:tr w:rsidR="00971648" w:rsidRPr="000653A9" w14:paraId="6B2378DC"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tcPr>
          <w:p w14:paraId="026458BB" w14:textId="42791940" w:rsidR="00A0443F" w:rsidRPr="000653A9" w:rsidRDefault="00A0443F" w:rsidP="00A0443F">
            <w:pPr>
              <w:spacing w:after="0"/>
              <w:jc w:val="left"/>
              <w:rPr>
                <w:rFonts w:eastAsia="Times New Roman"/>
                <w:i/>
                <w:iCs/>
                <w:noProof/>
                <w:color w:val="auto"/>
                <w:lang w:eastAsia="en-IE"/>
              </w:rPr>
            </w:pPr>
            <w:r w:rsidRPr="000653A9">
              <w:rPr>
                <w:rFonts w:eastAsia="Times New Roman"/>
                <w:i/>
                <w:iCs/>
                <w:noProof/>
                <w:color w:val="auto"/>
                <w:lang w:eastAsia="en-IE"/>
              </w:rPr>
              <w:t>post-2030 effects combined</w:t>
            </w:r>
          </w:p>
        </w:tc>
        <w:tc>
          <w:tcPr>
            <w:tcW w:w="0" w:type="auto"/>
            <w:tcBorders>
              <w:top w:val="nil"/>
              <w:left w:val="nil"/>
              <w:bottom w:val="single" w:sz="8" w:space="0" w:color="auto"/>
              <w:right w:val="single" w:sz="8" w:space="0" w:color="auto"/>
            </w:tcBorders>
            <w:vAlign w:val="center"/>
          </w:tcPr>
          <w:p w14:paraId="5EACA8DE" w14:textId="17527E4C" w:rsidR="00A0443F" w:rsidRPr="000653A9" w:rsidRDefault="00971648" w:rsidP="00A0443F">
            <w:pPr>
              <w:spacing w:after="0"/>
              <w:jc w:val="center"/>
              <w:rPr>
                <w:rFonts w:eastAsia="Times New Roman"/>
                <w:i/>
                <w:iCs/>
                <w:noProof/>
                <w:color w:val="auto"/>
                <w:lang w:eastAsia="en-IE"/>
              </w:rPr>
            </w:pPr>
            <w:r>
              <w:rPr>
                <w:rFonts w:eastAsia="Times New Roman"/>
                <w:i/>
                <w:iCs/>
                <w:noProof/>
                <w:color w:val="auto"/>
                <w:lang w:eastAsia="en-IE"/>
              </w:rPr>
              <w:t>+141%</w:t>
            </w:r>
          </w:p>
        </w:tc>
        <w:tc>
          <w:tcPr>
            <w:tcW w:w="0" w:type="auto"/>
            <w:tcBorders>
              <w:top w:val="nil"/>
              <w:left w:val="nil"/>
              <w:bottom w:val="single" w:sz="8" w:space="0" w:color="auto"/>
              <w:right w:val="single" w:sz="8" w:space="0" w:color="auto"/>
            </w:tcBorders>
            <w:vAlign w:val="center"/>
          </w:tcPr>
          <w:p w14:paraId="20D72990" w14:textId="52C3E0AE" w:rsidR="00A0443F" w:rsidRPr="000653A9" w:rsidRDefault="00971648" w:rsidP="00A0443F">
            <w:pPr>
              <w:spacing w:after="0"/>
              <w:jc w:val="center"/>
              <w:rPr>
                <w:rFonts w:eastAsia="Times New Roman"/>
                <w:i/>
                <w:iCs/>
                <w:noProof/>
                <w:color w:val="auto"/>
                <w:lang w:eastAsia="en-IE"/>
              </w:rPr>
            </w:pPr>
            <w:r>
              <w:rPr>
                <w:rFonts w:eastAsia="Times New Roman"/>
                <w:i/>
                <w:iCs/>
                <w:noProof/>
                <w:color w:val="auto"/>
                <w:lang w:eastAsia="en-IE"/>
              </w:rPr>
              <w:t>9.9</w:t>
            </w:r>
          </w:p>
        </w:tc>
        <w:tc>
          <w:tcPr>
            <w:tcW w:w="0" w:type="auto"/>
            <w:tcBorders>
              <w:top w:val="nil"/>
              <w:left w:val="nil"/>
              <w:bottom w:val="single" w:sz="8" w:space="0" w:color="auto"/>
              <w:right w:val="single" w:sz="8" w:space="0" w:color="auto"/>
            </w:tcBorders>
            <w:vAlign w:val="center"/>
          </w:tcPr>
          <w:p w14:paraId="79624CC8" w14:textId="3F8F6075" w:rsidR="00A0443F" w:rsidRPr="000653A9" w:rsidRDefault="00971648" w:rsidP="00A0443F">
            <w:pPr>
              <w:spacing w:after="0"/>
              <w:jc w:val="center"/>
              <w:rPr>
                <w:rFonts w:eastAsia="Times New Roman"/>
                <w:i/>
                <w:iCs/>
                <w:noProof/>
                <w:color w:val="auto"/>
                <w:lang w:eastAsia="en-IE"/>
              </w:rPr>
            </w:pPr>
            <w:r>
              <w:rPr>
                <w:rFonts w:eastAsia="Times New Roman"/>
                <w:i/>
                <w:iCs/>
                <w:noProof/>
                <w:color w:val="auto"/>
                <w:lang w:eastAsia="en-IE"/>
              </w:rPr>
              <w:t>+18%</w:t>
            </w:r>
          </w:p>
        </w:tc>
        <w:tc>
          <w:tcPr>
            <w:tcW w:w="0" w:type="auto"/>
            <w:tcBorders>
              <w:top w:val="nil"/>
              <w:left w:val="nil"/>
              <w:bottom w:val="single" w:sz="8" w:space="0" w:color="auto"/>
              <w:right w:val="single" w:sz="8" w:space="0" w:color="auto"/>
            </w:tcBorders>
            <w:vAlign w:val="center"/>
          </w:tcPr>
          <w:p w14:paraId="4B287BD5" w14:textId="7A743BE5" w:rsidR="00A0443F" w:rsidRPr="000653A9" w:rsidRDefault="00971648" w:rsidP="00A0443F">
            <w:pPr>
              <w:spacing w:after="0"/>
              <w:jc w:val="center"/>
              <w:rPr>
                <w:rFonts w:eastAsia="Times New Roman"/>
                <w:i/>
                <w:iCs/>
                <w:noProof/>
                <w:color w:val="auto"/>
                <w:lang w:eastAsia="en-IE"/>
              </w:rPr>
            </w:pPr>
            <w:r>
              <w:rPr>
                <w:rFonts w:eastAsia="Times New Roman"/>
                <w:i/>
                <w:iCs/>
                <w:noProof/>
                <w:color w:val="auto"/>
                <w:lang w:eastAsia="en-IE"/>
              </w:rPr>
              <w:t>4.8</w:t>
            </w:r>
          </w:p>
        </w:tc>
      </w:tr>
      <w:tr w:rsidR="00A0443F" w:rsidRPr="000653A9" w14:paraId="027F51C9" w14:textId="77777777" w:rsidTr="007240E5">
        <w:trPr>
          <w:trHeight w:val="20"/>
          <w:jc w:val="center"/>
        </w:trPr>
        <w:tc>
          <w:tcPr>
            <w:tcW w:w="0" w:type="auto"/>
            <w:gridSpan w:val="5"/>
            <w:tcBorders>
              <w:top w:val="nil"/>
              <w:left w:val="single" w:sz="8" w:space="0" w:color="auto"/>
              <w:bottom w:val="single" w:sz="8" w:space="0" w:color="auto"/>
              <w:right w:val="single" w:sz="8" w:space="0" w:color="auto"/>
            </w:tcBorders>
            <w:vAlign w:val="center"/>
          </w:tcPr>
          <w:p w14:paraId="4A92F2F4" w14:textId="77777777" w:rsidR="00A0443F" w:rsidRPr="000653A9" w:rsidRDefault="00A0443F" w:rsidP="00A0443F">
            <w:pPr>
              <w:spacing w:after="0"/>
              <w:jc w:val="left"/>
              <w:rPr>
                <w:rFonts w:eastAsia="Times New Roman"/>
                <w:b/>
                <w:bCs/>
                <w:noProof/>
                <w:color w:val="auto"/>
                <w:lang w:eastAsia="en-IE"/>
              </w:rPr>
            </w:pPr>
          </w:p>
        </w:tc>
      </w:tr>
      <w:tr w:rsidR="00971648" w:rsidRPr="000653A9" w14:paraId="04CAAA03" w14:textId="77777777" w:rsidTr="007240E5">
        <w:trPr>
          <w:trHeight w:val="20"/>
          <w:jc w:val="center"/>
        </w:trPr>
        <w:tc>
          <w:tcPr>
            <w:tcW w:w="0" w:type="auto"/>
            <w:tcBorders>
              <w:top w:val="nil"/>
              <w:left w:val="single" w:sz="8" w:space="0" w:color="auto"/>
              <w:bottom w:val="single" w:sz="8" w:space="0" w:color="auto"/>
              <w:right w:val="single" w:sz="8" w:space="0" w:color="auto"/>
            </w:tcBorders>
            <w:vAlign w:val="center"/>
            <w:hideMark/>
          </w:tcPr>
          <w:p w14:paraId="6C6FD3E1" w14:textId="1FAEAD3C" w:rsidR="00A0443F" w:rsidRPr="000653A9" w:rsidRDefault="00A0443F" w:rsidP="00A0443F">
            <w:pPr>
              <w:spacing w:after="0"/>
              <w:jc w:val="left"/>
              <w:rPr>
                <w:rFonts w:eastAsia="Times New Roman"/>
                <w:b/>
                <w:bCs/>
                <w:i/>
                <w:iCs/>
                <w:noProof/>
                <w:color w:val="auto"/>
                <w:lang w:eastAsia="en-IE"/>
              </w:rPr>
            </w:pPr>
            <w:r w:rsidRPr="000653A9">
              <w:rPr>
                <w:rFonts w:eastAsia="Times New Roman"/>
                <w:b/>
                <w:bCs/>
                <w:i/>
                <w:iCs/>
                <w:noProof/>
                <w:color w:val="auto"/>
                <w:lang w:eastAsia="en-IE"/>
              </w:rPr>
              <w:t>all impacts combined</w:t>
            </w:r>
          </w:p>
        </w:tc>
        <w:tc>
          <w:tcPr>
            <w:tcW w:w="0" w:type="auto"/>
            <w:tcBorders>
              <w:top w:val="nil"/>
              <w:left w:val="nil"/>
              <w:bottom w:val="single" w:sz="8" w:space="0" w:color="auto"/>
              <w:right w:val="single" w:sz="8" w:space="0" w:color="auto"/>
            </w:tcBorders>
            <w:vAlign w:val="center"/>
            <w:hideMark/>
          </w:tcPr>
          <w:p w14:paraId="19205D25" w14:textId="582AC6C3" w:rsidR="00A0443F" w:rsidRPr="000653A9" w:rsidRDefault="00971648" w:rsidP="00A0443F">
            <w:pPr>
              <w:spacing w:after="0"/>
              <w:jc w:val="center"/>
              <w:rPr>
                <w:rFonts w:eastAsia="Times New Roman"/>
                <w:b/>
                <w:bCs/>
                <w:noProof/>
                <w:color w:val="auto"/>
                <w:lang w:eastAsia="en-IE"/>
              </w:rPr>
            </w:pPr>
            <w:r>
              <w:rPr>
                <w:rFonts w:eastAsia="Times New Roman"/>
                <w:b/>
                <w:bCs/>
                <w:noProof/>
                <w:color w:val="auto"/>
                <w:lang w:eastAsia="en-IE"/>
              </w:rPr>
              <w:t>+310%</w:t>
            </w:r>
          </w:p>
        </w:tc>
        <w:tc>
          <w:tcPr>
            <w:tcW w:w="0" w:type="auto"/>
            <w:tcBorders>
              <w:top w:val="nil"/>
              <w:left w:val="nil"/>
              <w:bottom w:val="single" w:sz="8" w:space="0" w:color="auto"/>
              <w:right w:val="single" w:sz="8" w:space="0" w:color="auto"/>
            </w:tcBorders>
            <w:vAlign w:val="center"/>
            <w:hideMark/>
          </w:tcPr>
          <w:p w14:paraId="09A21868" w14:textId="7C18095E" w:rsidR="00A0443F" w:rsidRPr="000653A9" w:rsidRDefault="00971648" w:rsidP="00A0443F">
            <w:pPr>
              <w:spacing w:after="0"/>
              <w:jc w:val="center"/>
              <w:rPr>
                <w:rFonts w:eastAsia="Times New Roman"/>
                <w:b/>
                <w:bCs/>
                <w:noProof/>
                <w:color w:val="auto"/>
                <w:lang w:eastAsia="en-IE"/>
              </w:rPr>
            </w:pPr>
            <w:r>
              <w:rPr>
                <w:rFonts w:eastAsia="Times New Roman"/>
                <w:b/>
                <w:bCs/>
                <w:noProof/>
                <w:color w:val="auto"/>
                <w:lang w:eastAsia="en-IE"/>
              </w:rPr>
              <w:t>16.8</w:t>
            </w:r>
          </w:p>
        </w:tc>
        <w:tc>
          <w:tcPr>
            <w:tcW w:w="0" w:type="auto"/>
            <w:tcBorders>
              <w:top w:val="nil"/>
              <w:left w:val="nil"/>
              <w:bottom w:val="single" w:sz="8" w:space="0" w:color="auto"/>
              <w:right w:val="single" w:sz="8" w:space="0" w:color="auto"/>
            </w:tcBorders>
            <w:vAlign w:val="center"/>
            <w:hideMark/>
          </w:tcPr>
          <w:p w14:paraId="2A8EF798" w14:textId="412C55E2" w:rsidR="00A0443F" w:rsidRPr="000653A9" w:rsidRDefault="00971648" w:rsidP="00A0443F">
            <w:pPr>
              <w:spacing w:after="0"/>
              <w:jc w:val="center"/>
              <w:rPr>
                <w:rFonts w:eastAsia="Times New Roman"/>
                <w:b/>
                <w:bCs/>
                <w:noProof/>
                <w:color w:val="auto"/>
                <w:lang w:eastAsia="en-IE"/>
              </w:rPr>
            </w:pPr>
            <w:r>
              <w:rPr>
                <w:rFonts w:eastAsia="Times New Roman"/>
                <w:b/>
                <w:bCs/>
                <w:noProof/>
                <w:color w:val="auto"/>
                <w:lang w:eastAsia="en-IE"/>
              </w:rPr>
              <w:t>+102%</w:t>
            </w:r>
          </w:p>
        </w:tc>
        <w:tc>
          <w:tcPr>
            <w:tcW w:w="0" w:type="auto"/>
            <w:tcBorders>
              <w:top w:val="nil"/>
              <w:left w:val="nil"/>
              <w:bottom w:val="single" w:sz="8" w:space="0" w:color="auto"/>
              <w:right w:val="single" w:sz="8" w:space="0" w:color="auto"/>
            </w:tcBorders>
            <w:vAlign w:val="center"/>
            <w:hideMark/>
          </w:tcPr>
          <w:p w14:paraId="49BD4355" w14:textId="5CE786F5" w:rsidR="00A0443F" w:rsidRPr="000653A9" w:rsidRDefault="00971648" w:rsidP="00A0443F">
            <w:pPr>
              <w:spacing w:after="0"/>
              <w:jc w:val="center"/>
              <w:rPr>
                <w:rFonts w:eastAsia="Times New Roman"/>
                <w:b/>
                <w:bCs/>
                <w:noProof/>
                <w:color w:val="auto"/>
                <w:lang w:eastAsia="en-IE"/>
              </w:rPr>
            </w:pPr>
            <w:r>
              <w:rPr>
                <w:rFonts w:eastAsia="Times New Roman"/>
                <w:b/>
                <w:bCs/>
                <w:noProof/>
                <w:color w:val="auto"/>
                <w:lang w:eastAsia="en-IE"/>
              </w:rPr>
              <w:t>8.3</w:t>
            </w:r>
          </w:p>
        </w:tc>
      </w:tr>
    </w:tbl>
    <w:p w14:paraId="49833476" w14:textId="4CA87E1C" w:rsidR="00B749E3" w:rsidRPr="000653A9" w:rsidRDefault="00FE43A5" w:rsidP="00FE43A5">
      <w:pPr>
        <w:jc w:val="left"/>
        <w:rPr>
          <w:i/>
          <w:iCs/>
          <w:noProof/>
          <w:color w:val="auto"/>
          <w:sz w:val="20"/>
          <w:szCs w:val="20"/>
        </w:rPr>
      </w:pPr>
      <w:r w:rsidRPr="000653A9">
        <w:rPr>
          <w:i/>
          <w:iCs/>
          <w:noProof/>
          <w:color w:val="auto"/>
          <w:sz w:val="20"/>
          <w:szCs w:val="20"/>
        </w:rPr>
        <w:t>Source:</w:t>
      </w:r>
      <w:r w:rsidR="003321AC" w:rsidRPr="000653A9">
        <w:rPr>
          <w:i/>
          <w:iCs/>
          <w:noProof/>
          <w:color w:val="auto"/>
          <w:sz w:val="20"/>
          <w:szCs w:val="20"/>
        </w:rPr>
        <w:t xml:space="preserve"> European Commission </w:t>
      </w:r>
      <w:r w:rsidR="00F663B0" w:rsidRPr="000653A9">
        <w:rPr>
          <w:i/>
          <w:iCs/>
          <w:noProof/>
          <w:color w:val="auto"/>
          <w:sz w:val="20"/>
          <w:szCs w:val="20"/>
        </w:rPr>
        <w:t xml:space="preserve">analysis combining inputs from annual </w:t>
      </w:r>
      <w:r w:rsidR="003321AC" w:rsidRPr="000653A9">
        <w:rPr>
          <w:i/>
          <w:iCs/>
          <w:noProof/>
          <w:color w:val="auto"/>
          <w:sz w:val="20"/>
          <w:szCs w:val="20"/>
        </w:rPr>
        <w:t xml:space="preserve">reports on the functioning of the </w:t>
      </w:r>
      <w:r w:rsidR="00F663B0" w:rsidRPr="000653A9">
        <w:rPr>
          <w:i/>
          <w:iCs/>
          <w:noProof/>
          <w:color w:val="auto"/>
          <w:sz w:val="20"/>
          <w:szCs w:val="20"/>
        </w:rPr>
        <w:t>European carbon market,</w:t>
      </w:r>
      <w:r w:rsidRPr="000653A9">
        <w:rPr>
          <w:i/>
          <w:iCs/>
          <w:noProof/>
          <w:color w:val="auto"/>
          <w:sz w:val="20"/>
          <w:szCs w:val="20"/>
        </w:rPr>
        <w:t xml:space="preserve"> </w:t>
      </w:r>
      <w:r w:rsidR="007C5F97" w:rsidRPr="000653A9">
        <w:rPr>
          <w:i/>
          <w:iCs/>
          <w:noProof/>
          <w:color w:val="auto"/>
          <w:sz w:val="20"/>
          <w:szCs w:val="20"/>
        </w:rPr>
        <w:t>PRIMES</w:t>
      </w:r>
      <w:r w:rsidR="00A53090" w:rsidRPr="000653A9">
        <w:rPr>
          <w:i/>
          <w:iCs/>
          <w:noProof/>
          <w:color w:val="auto"/>
          <w:sz w:val="20"/>
          <w:szCs w:val="20"/>
        </w:rPr>
        <w:t xml:space="preserve">, Eurostat, </w:t>
      </w:r>
      <w:r w:rsidR="00B84FD1" w:rsidRPr="000653A9">
        <w:rPr>
          <w:i/>
          <w:iCs/>
          <w:noProof/>
          <w:color w:val="auto"/>
          <w:sz w:val="20"/>
          <w:szCs w:val="20"/>
        </w:rPr>
        <w:t>JRC analysis, Geis et al. (2025)</w:t>
      </w:r>
    </w:p>
    <w:p w14:paraId="1F933060" w14:textId="32614957" w:rsidR="00F56B55" w:rsidRPr="000653A9" w:rsidRDefault="00B42E72" w:rsidP="00FF38B3">
      <w:pPr>
        <w:rPr>
          <w:noProof/>
          <w:color w:val="auto"/>
        </w:rPr>
      </w:pPr>
      <w:r w:rsidRPr="000653A9">
        <w:rPr>
          <w:noProof/>
          <w:color w:val="auto"/>
        </w:rPr>
        <w:t xml:space="preserve">The above estimates imply </w:t>
      </w:r>
      <w:r w:rsidR="008F7A5F" w:rsidRPr="000653A9">
        <w:rPr>
          <w:noProof/>
          <w:color w:val="auto"/>
        </w:rPr>
        <w:t>a level of indirect costs equivalent to</w:t>
      </w:r>
      <w:r w:rsidR="00C164BB" w:rsidRPr="000653A9">
        <w:rPr>
          <w:noProof/>
          <w:color w:val="auto"/>
        </w:rPr>
        <w:t xml:space="preserve"> </w:t>
      </w:r>
      <w:r>
        <w:rPr>
          <w:noProof/>
          <w:color w:val="auto"/>
        </w:rPr>
        <w:t>11%</w:t>
      </w:r>
      <w:r w:rsidR="00C164BB" w:rsidRPr="000653A9">
        <w:rPr>
          <w:noProof/>
          <w:color w:val="auto"/>
        </w:rPr>
        <w:t xml:space="preserve"> to</w:t>
      </w:r>
      <w:r w:rsidR="000734FB">
        <w:rPr>
          <w:noProof/>
          <w:color w:val="auto"/>
        </w:rPr>
        <w:t xml:space="preserve"> </w:t>
      </w:r>
      <w:r>
        <w:rPr>
          <w:noProof/>
          <w:color w:val="auto"/>
        </w:rPr>
        <w:t>22%</w:t>
      </w:r>
      <w:r w:rsidR="00D0544B" w:rsidRPr="000653A9">
        <w:rPr>
          <w:noProof/>
          <w:color w:val="auto"/>
        </w:rPr>
        <w:t xml:space="preserve"> of total ETS revenues in the 2031-2040 period on average</w:t>
      </w:r>
      <w:r w:rsidR="000B0B3D" w:rsidRPr="000653A9">
        <w:rPr>
          <w:noProof/>
          <w:color w:val="auto"/>
        </w:rPr>
        <w:t xml:space="preserve">, which would constrain other </w:t>
      </w:r>
      <w:r w:rsidR="00F93F6D" w:rsidRPr="000653A9">
        <w:rPr>
          <w:noProof/>
          <w:color w:val="auto"/>
        </w:rPr>
        <w:t xml:space="preserve">uses of these resources. </w:t>
      </w:r>
    </w:p>
    <w:p w14:paraId="6DBC97B4" w14:textId="2EBDE58B" w:rsidR="00365391" w:rsidRPr="000653A9" w:rsidRDefault="00F93F6D" w:rsidP="00D53AD3">
      <w:pPr>
        <w:rPr>
          <w:noProof/>
          <w:color w:val="auto"/>
        </w:rPr>
      </w:pPr>
      <w:r w:rsidRPr="000653A9">
        <w:rPr>
          <w:noProof/>
          <w:color w:val="auto"/>
        </w:rPr>
        <w:t>In option ICC1</w:t>
      </w:r>
      <w:r w:rsidR="00E63697" w:rsidRPr="000653A9">
        <w:rPr>
          <w:noProof/>
          <w:color w:val="auto"/>
        </w:rPr>
        <w:t>, Member States would</w:t>
      </w:r>
      <w:r w:rsidR="007852AF" w:rsidRPr="000653A9">
        <w:rPr>
          <w:noProof/>
          <w:color w:val="auto"/>
        </w:rPr>
        <w:t xml:space="preserve"> decide how best to allocate their auction share between ICC compensation and other uses. </w:t>
      </w:r>
      <w:r w:rsidR="08EEC1EE" w:rsidRPr="000653A9">
        <w:rPr>
          <w:noProof/>
          <w:color w:val="auto"/>
        </w:rPr>
        <w:t xml:space="preserve">They may also use other national revenues to fund ICC. </w:t>
      </w:r>
    </w:p>
    <w:p w14:paraId="2317663C" w14:textId="2FC8D714" w:rsidR="00A060B3" w:rsidRPr="000653A9" w:rsidRDefault="007852AF" w:rsidP="00A060B3">
      <w:pPr>
        <w:spacing w:after="240"/>
        <w:rPr>
          <w:noProof/>
          <w:color w:val="auto"/>
        </w:rPr>
      </w:pPr>
      <w:r w:rsidRPr="6A12644F">
        <w:rPr>
          <w:noProof/>
          <w:color w:val="auto"/>
        </w:rPr>
        <w:t>In option ICC2</w:t>
      </w:r>
      <w:r w:rsidR="00E05421" w:rsidRPr="6A12644F">
        <w:rPr>
          <w:noProof/>
          <w:color w:val="auto"/>
        </w:rPr>
        <w:t xml:space="preserve">, it is suggested to limit the ICC </w:t>
      </w:r>
      <w:r w:rsidR="00267CC3" w:rsidRPr="6A12644F">
        <w:rPr>
          <w:noProof/>
          <w:color w:val="auto"/>
        </w:rPr>
        <w:t>f</w:t>
      </w:r>
      <w:r w:rsidR="00E05421" w:rsidRPr="6A12644F">
        <w:rPr>
          <w:noProof/>
          <w:color w:val="auto"/>
        </w:rPr>
        <w:t>und to 5% of total auction revenues</w:t>
      </w:r>
      <w:r w:rsidR="00D45039" w:rsidRPr="6A12644F">
        <w:rPr>
          <w:noProof/>
          <w:color w:val="auto"/>
        </w:rPr>
        <w:t xml:space="preserve"> in order to </w:t>
      </w:r>
      <w:r w:rsidR="00633DB8" w:rsidRPr="6A12644F">
        <w:rPr>
          <w:noProof/>
          <w:color w:val="auto"/>
        </w:rPr>
        <w:t>provide resources for other uses while</w:t>
      </w:r>
      <w:r w:rsidR="00365391" w:rsidRPr="6A12644F">
        <w:rPr>
          <w:noProof/>
          <w:color w:val="auto"/>
        </w:rPr>
        <w:t xml:space="preserve"> offering the benefits of a harmonised approach to ICC</w:t>
      </w:r>
      <w:r w:rsidR="00D735AA" w:rsidRPr="6A12644F">
        <w:rPr>
          <w:noProof/>
          <w:color w:val="auto"/>
        </w:rPr>
        <w:t xml:space="preserve"> to the extent it is covered by the ICC Fund</w:t>
      </w:r>
      <w:r w:rsidR="00D45039" w:rsidRPr="6A12644F">
        <w:rPr>
          <w:noProof/>
          <w:color w:val="auto"/>
        </w:rPr>
        <w:t xml:space="preserve"> </w:t>
      </w:r>
      <w:r w:rsidR="00365391" w:rsidRPr="6A12644F">
        <w:rPr>
          <w:noProof/>
          <w:color w:val="auto"/>
        </w:rPr>
        <w:t>(</w:t>
      </w:r>
      <w:r w:rsidR="00D45039" w:rsidRPr="6A12644F">
        <w:rPr>
          <w:noProof/>
          <w:color w:val="auto"/>
        </w:rPr>
        <w:t>certainty to firms and reduction in distortion of the single market</w:t>
      </w:r>
      <w:r w:rsidR="00365391" w:rsidRPr="6A12644F">
        <w:rPr>
          <w:noProof/>
          <w:color w:val="auto"/>
        </w:rPr>
        <w:t>)</w:t>
      </w:r>
      <w:r w:rsidR="00D45039" w:rsidRPr="6A12644F">
        <w:rPr>
          <w:noProof/>
          <w:color w:val="auto"/>
        </w:rPr>
        <w:t>.</w:t>
      </w:r>
      <w:r w:rsidR="00365391" w:rsidRPr="6A12644F">
        <w:rPr>
          <w:noProof/>
          <w:color w:val="auto"/>
        </w:rPr>
        <w:t xml:space="preserve"> Since this l</w:t>
      </w:r>
      <w:r w:rsidR="000A457A" w:rsidRPr="6A12644F">
        <w:rPr>
          <w:noProof/>
          <w:color w:val="auto"/>
        </w:rPr>
        <w:t xml:space="preserve">evel of resource may not fully compensate for the indirect carbon cost faced by industry, </w:t>
      </w:r>
      <w:r w:rsidR="006F7B13" w:rsidRPr="6A12644F">
        <w:rPr>
          <w:noProof/>
          <w:color w:val="auto"/>
        </w:rPr>
        <w:t>Member States would retain the</w:t>
      </w:r>
      <w:r w:rsidR="006D0BC8" w:rsidRPr="6A12644F">
        <w:rPr>
          <w:noProof/>
          <w:color w:val="auto"/>
        </w:rPr>
        <w:t xml:space="preserve"> possibility</w:t>
      </w:r>
      <w:r w:rsidR="006F7B13" w:rsidRPr="6A12644F">
        <w:rPr>
          <w:noProof/>
          <w:color w:val="auto"/>
        </w:rPr>
        <w:t xml:space="preserve"> option to provide additional compensation</w:t>
      </w:r>
      <w:r w:rsidR="007C1F9B" w:rsidRPr="6A12644F">
        <w:rPr>
          <w:noProof/>
          <w:color w:val="auto"/>
        </w:rPr>
        <w:t xml:space="preserve"> through State aid</w:t>
      </w:r>
      <w:r w:rsidR="006F7B13" w:rsidRPr="6A12644F">
        <w:rPr>
          <w:noProof/>
          <w:color w:val="auto"/>
        </w:rPr>
        <w:t>.</w:t>
      </w:r>
      <w:r>
        <w:rPr>
          <w:noProof/>
          <w:color w:val="auto"/>
        </w:rPr>
        <w:t xml:space="preserve"> </w:t>
      </w:r>
    </w:p>
    <w:p w14:paraId="207D6346" w14:textId="38C1B890" w:rsidR="00A316C8" w:rsidRPr="000653A9" w:rsidRDefault="00B54D62" w:rsidP="00A060B3">
      <w:pPr>
        <w:spacing w:after="240"/>
        <w:rPr>
          <w:noProof/>
          <w:color w:val="auto"/>
        </w:rPr>
      </w:pPr>
      <w:r w:rsidRPr="000653A9">
        <w:rPr>
          <w:noProof/>
          <w:color w:val="auto"/>
        </w:rPr>
        <w:t xml:space="preserve">The main economic impact of ICC2 compared to ICC1 would be to provide a minimum level of compensation </w:t>
      </w:r>
      <w:r w:rsidR="001718A0" w:rsidRPr="000653A9">
        <w:rPr>
          <w:noProof/>
          <w:color w:val="auto"/>
        </w:rPr>
        <w:t>to electro-intensive industries regardless of where they are located in the EU, thereby reducing the extent of fragmentation of the internal market.</w:t>
      </w:r>
      <w:r w:rsidR="00B32486" w:rsidRPr="000653A9">
        <w:rPr>
          <w:noProof/>
          <w:color w:val="auto"/>
        </w:rPr>
        <w:t xml:space="preserve"> The extent to which ICC2 is prefer</w:t>
      </w:r>
      <w:r w:rsidR="009F047D" w:rsidRPr="000653A9">
        <w:rPr>
          <w:noProof/>
          <w:color w:val="auto"/>
        </w:rPr>
        <w:t>able</w:t>
      </w:r>
      <w:r w:rsidR="00B32486" w:rsidRPr="000653A9">
        <w:rPr>
          <w:noProof/>
          <w:color w:val="auto"/>
        </w:rPr>
        <w:t xml:space="preserve"> over ICC1 therefore depends on the </w:t>
      </w:r>
      <w:r w:rsidR="009F047D" w:rsidRPr="000653A9">
        <w:rPr>
          <w:noProof/>
          <w:color w:val="auto"/>
        </w:rPr>
        <w:t>extent to which fragmented provision of ICC compensation is a problem</w:t>
      </w:r>
      <w:r w:rsidR="6A5ECCE5" w:rsidRPr="000653A9">
        <w:rPr>
          <w:noProof/>
          <w:color w:val="auto"/>
        </w:rPr>
        <w:t xml:space="preserve"> and on how this interplays with sufficient financial resources </w:t>
      </w:r>
      <w:r w:rsidR="3D22A187" w:rsidRPr="000653A9">
        <w:rPr>
          <w:noProof/>
          <w:color w:val="auto"/>
        </w:rPr>
        <w:t xml:space="preserve">being available </w:t>
      </w:r>
      <w:r w:rsidR="6A5ECCE5" w:rsidRPr="000653A9">
        <w:rPr>
          <w:noProof/>
          <w:color w:val="auto"/>
        </w:rPr>
        <w:t>for ICC</w:t>
      </w:r>
      <w:r w:rsidR="009F047D" w:rsidRPr="000653A9">
        <w:rPr>
          <w:noProof/>
          <w:color w:val="auto"/>
        </w:rPr>
        <w:t>.</w:t>
      </w:r>
      <w:r w:rsidR="00B32486" w:rsidRPr="000653A9">
        <w:rPr>
          <w:noProof/>
          <w:color w:val="auto"/>
        </w:rPr>
        <w:t xml:space="preserve"> </w:t>
      </w:r>
      <w:r w:rsidR="00DD61E1" w:rsidRPr="000653A9">
        <w:rPr>
          <w:noProof/>
          <w:color w:val="auto"/>
        </w:rPr>
        <w:t xml:space="preserve">Figure </w:t>
      </w:r>
      <w:r w:rsidR="00542F2B" w:rsidRPr="000653A9">
        <w:rPr>
          <w:noProof/>
          <w:color w:val="auto"/>
        </w:rPr>
        <w:t>9</w:t>
      </w:r>
      <w:r w:rsidR="00DD61E1" w:rsidRPr="000653A9">
        <w:rPr>
          <w:noProof/>
          <w:color w:val="auto"/>
        </w:rPr>
        <w:t xml:space="preserve"> provides insight into this issue by comparing </w:t>
      </w:r>
      <w:r w:rsidR="005323A4" w:rsidRPr="000653A9">
        <w:rPr>
          <w:noProof/>
          <w:color w:val="auto"/>
        </w:rPr>
        <w:t xml:space="preserve">each Member State’s share of indirect emissions </w:t>
      </w:r>
      <w:r w:rsidR="003A7B12" w:rsidRPr="000653A9">
        <w:rPr>
          <w:noProof/>
          <w:color w:val="auto"/>
        </w:rPr>
        <w:t>(estimated using Eurostat electricity consumption data</w:t>
      </w:r>
      <w:r w:rsidR="003603D3" w:rsidRPr="000653A9">
        <w:rPr>
          <w:noProof/>
          <w:color w:val="auto"/>
        </w:rPr>
        <w:fldChar w:fldCharType="begin"/>
      </w:r>
      <w:r w:rsidR="003603D3" w:rsidRPr="000653A9">
        <w:rPr>
          <w:noProof/>
          <w:color w:val="auto"/>
        </w:rPr>
        <w:instrText xml:space="preserve"> NOTEREF _Ref219825661 \f \h </w:instrText>
      </w:r>
      <w:r w:rsidR="003603D3" w:rsidRPr="000653A9">
        <w:rPr>
          <w:noProof/>
          <w:color w:val="auto"/>
        </w:rPr>
      </w:r>
      <w:r w:rsidR="003603D3" w:rsidRPr="000653A9">
        <w:rPr>
          <w:noProof/>
          <w:color w:val="auto"/>
        </w:rPr>
        <w:fldChar w:fldCharType="separate"/>
      </w:r>
      <w:r w:rsidR="00CC0ED0" w:rsidRPr="000653A9">
        <w:rPr>
          <w:rStyle w:val="FootnoteReference"/>
          <w:noProof/>
        </w:rPr>
        <w:t>19</w:t>
      </w:r>
      <w:r w:rsidR="003603D3" w:rsidRPr="000653A9">
        <w:rPr>
          <w:noProof/>
          <w:color w:val="auto"/>
        </w:rPr>
        <w:fldChar w:fldCharType="end"/>
      </w:r>
      <w:r w:rsidR="003A7B12" w:rsidRPr="000653A9">
        <w:rPr>
          <w:noProof/>
          <w:color w:val="auto"/>
        </w:rPr>
        <w:t xml:space="preserve"> and emission factors from the State aid guidelines</w:t>
      </w:r>
      <w:r w:rsidR="0069214D" w:rsidRPr="000653A9">
        <w:rPr>
          <w:noProof/>
          <w:color w:val="auto"/>
        </w:rPr>
        <w:t xml:space="preserve"> for 2021-2025</w:t>
      </w:r>
      <w:r w:rsidR="003A7B12" w:rsidRPr="000653A9">
        <w:rPr>
          <w:noProof/>
          <w:color w:val="auto"/>
        </w:rPr>
        <w:t xml:space="preserve">) </w:t>
      </w:r>
      <w:r w:rsidR="00CD7758" w:rsidRPr="000653A9">
        <w:rPr>
          <w:noProof/>
          <w:color w:val="auto"/>
        </w:rPr>
        <w:t xml:space="preserve">against </w:t>
      </w:r>
      <w:r w:rsidR="006D25C5" w:rsidRPr="000653A9">
        <w:rPr>
          <w:noProof/>
          <w:color w:val="auto"/>
        </w:rPr>
        <w:t>its</w:t>
      </w:r>
      <w:r w:rsidR="00CD7758" w:rsidRPr="000653A9">
        <w:rPr>
          <w:noProof/>
          <w:color w:val="auto"/>
        </w:rPr>
        <w:t xml:space="preserve"> level of ICC compensation </w:t>
      </w:r>
      <w:r w:rsidR="004109FC" w:rsidRPr="000653A9">
        <w:rPr>
          <w:noProof/>
          <w:color w:val="auto"/>
        </w:rPr>
        <w:t xml:space="preserve">paid </w:t>
      </w:r>
      <w:r w:rsidR="00CD7758" w:rsidRPr="000653A9">
        <w:rPr>
          <w:noProof/>
          <w:color w:val="auto"/>
        </w:rPr>
        <w:t>for the period 2021-2023.</w:t>
      </w:r>
      <w:r w:rsidR="003A7B12" w:rsidRPr="000653A9">
        <w:rPr>
          <w:noProof/>
          <w:color w:val="auto"/>
        </w:rPr>
        <w:t xml:space="preserve"> </w:t>
      </w:r>
      <w:r w:rsidR="00CF6EFC" w:rsidRPr="000653A9">
        <w:rPr>
          <w:noProof/>
          <w:color w:val="auto"/>
        </w:rPr>
        <w:t xml:space="preserve">Share of emissions is used as a proxy for indicating the </w:t>
      </w:r>
      <w:r w:rsidR="00CF6EFC" w:rsidRPr="000653A9">
        <w:rPr>
          <w:i/>
          <w:iCs/>
          <w:noProof/>
          <w:color w:val="auto"/>
        </w:rPr>
        <w:t>potential</w:t>
      </w:r>
      <w:r w:rsidR="00CF6EFC" w:rsidRPr="000653A9">
        <w:rPr>
          <w:noProof/>
          <w:color w:val="auto"/>
        </w:rPr>
        <w:t xml:space="preserve"> demand for compensation within each Member State. </w:t>
      </w:r>
      <w:r w:rsidR="00870FD5" w:rsidRPr="000653A9">
        <w:rPr>
          <w:noProof/>
          <w:color w:val="auto"/>
        </w:rPr>
        <w:t>It suggests that, in general, the Member States who do not currently provide ICC compensation have little need to do so.</w:t>
      </w:r>
      <w:r w:rsidR="001A7849" w:rsidRPr="000653A9">
        <w:rPr>
          <w:noProof/>
          <w:color w:val="auto"/>
        </w:rPr>
        <w:t xml:space="preserve"> </w:t>
      </w:r>
      <w:r w:rsidR="00E31365" w:rsidRPr="000653A9">
        <w:rPr>
          <w:noProof/>
          <w:color w:val="auto"/>
        </w:rPr>
        <w:t xml:space="preserve">Member States where indirect emissions appear high relative to the </w:t>
      </w:r>
      <w:r w:rsidR="000B410B" w:rsidRPr="000653A9">
        <w:rPr>
          <w:noProof/>
          <w:color w:val="auto"/>
        </w:rPr>
        <w:t>compensation paid include Spain, Austria, Italy, Romania, Slovakia and Portugal.</w:t>
      </w:r>
      <w:r w:rsidR="000C2A09" w:rsidRPr="000653A9">
        <w:rPr>
          <w:noProof/>
          <w:color w:val="auto"/>
        </w:rPr>
        <w:t xml:space="preserve"> </w:t>
      </w:r>
      <w:r w:rsidR="00D14C72" w:rsidRPr="000653A9">
        <w:rPr>
          <w:noProof/>
          <w:color w:val="auto"/>
        </w:rPr>
        <w:t xml:space="preserve">Indirect emissions also appear high </w:t>
      </w:r>
      <w:r w:rsidR="00241EBC" w:rsidRPr="000653A9">
        <w:rPr>
          <w:noProof/>
          <w:color w:val="auto"/>
        </w:rPr>
        <w:t>in Sweden and Finland</w:t>
      </w:r>
      <w:r w:rsidR="008A74CB" w:rsidRPr="000653A9">
        <w:rPr>
          <w:noProof/>
          <w:color w:val="auto"/>
        </w:rPr>
        <w:t xml:space="preserve"> in Figure </w:t>
      </w:r>
      <w:r w:rsidR="00542F2B" w:rsidRPr="000653A9">
        <w:rPr>
          <w:noProof/>
          <w:color w:val="auto"/>
        </w:rPr>
        <w:t>9</w:t>
      </w:r>
      <w:r w:rsidR="00241EBC" w:rsidRPr="000653A9">
        <w:rPr>
          <w:noProof/>
          <w:color w:val="auto"/>
        </w:rPr>
        <w:t>, but</w:t>
      </w:r>
      <w:r w:rsidR="00F34B57" w:rsidRPr="000653A9">
        <w:rPr>
          <w:noProof/>
          <w:color w:val="auto"/>
        </w:rPr>
        <w:t xml:space="preserve"> the actual indirect emissions and associated cost</w:t>
      </w:r>
      <w:r w:rsidR="00241EBC" w:rsidRPr="000653A9">
        <w:rPr>
          <w:noProof/>
          <w:color w:val="auto"/>
        </w:rPr>
        <w:t xml:space="preserve"> may be</w:t>
      </w:r>
      <w:r w:rsidR="00F34B57" w:rsidRPr="000653A9">
        <w:rPr>
          <w:noProof/>
          <w:color w:val="auto"/>
        </w:rPr>
        <w:t xml:space="preserve"> lower in these countries due</w:t>
      </w:r>
      <w:r w:rsidR="00241EBC" w:rsidRPr="000653A9">
        <w:rPr>
          <w:noProof/>
          <w:color w:val="auto"/>
        </w:rPr>
        <w:t xml:space="preserve"> </w:t>
      </w:r>
      <w:r w:rsidR="00045D0E" w:rsidRPr="000653A9">
        <w:rPr>
          <w:noProof/>
          <w:color w:val="auto"/>
        </w:rPr>
        <w:t xml:space="preserve">to zonal electricity pricing </w:t>
      </w:r>
      <w:r w:rsidR="00F34B57" w:rsidRPr="000653A9">
        <w:rPr>
          <w:noProof/>
          <w:color w:val="auto"/>
        </w:rPr>
        <w:t>in the Swedish case</w:t>
      </w:r>
      <w:r w:rsidR="001D3596" w:rsidRPr="000653A9">
        <w:rPr>
          <w:noProof/>
          <w:color w:val="auto"/>
        </w:rPr>
        <w:t>,</w:t>
      </w:r>
      <w:r w:rsidR="00F34B57" w:rsidRPr="000653A9">
        <w:rPr>
          <w:noProof/>
          <w:color w:val="auto"/>
        </w:rPr>
        <w:t xml:space="preserve"> and </w:t>
      </w:r>
      <w:r w:rsidR="00385845" w:rsidRPr="000653A9">
        <w:rPr>
          <w:noProof/>
          <w:color w:val="auto"/>
        </w:rPr>
        <w:t xml:space="preserve">industrial consumers </w:t>
      </w:r>
      <w:r w:rsidR="00CB28E2" w:rsidRPr="000653A9">
        <w:rPr>
          <w:noProof/>
          <w:color w:val="auto"/>
        </w:rPr>
        <w:t xml:space="preserve">generating their own electricity in the Finnish case </w:t>
      </w:r>
      <w:r w:rsidR="00421067" w:rsidRPr="000653A9">
        <w:rPr>
          <w:noProof/>
          <w:color w:val="auto"/>
        </w:rPr>
        <w:t>(</w:t>
      </w:r>
      <w:r w:rsidR="00CB28E2" w:rsidRPr="000653A9">
        <w:rPr>
          <w:noProof/>
          <w:color w:val="auto"/>
        </w:rPr>
        <w:t>especially in the pulp and paper sector</w:t>
      </w:r>
      <w:r w:rsidR="00CB28E2" w:rsidRPr="000653A9">
        <w:rPr>
          <w:rStyle w:val="FootnoteReference"/>
          <w:noProof/>
          <w:color w:val="auto"/>
        </w:rPr>
        <w:footnoteReference w:id="20"/>
      </w:r>
      <w:r w:rsidR="00CB28E2" w:rsidRPr="000653A9">
        <w:rPr>
          <w:noProof/>
          <w:color w:val="auto"/>
        </w:rPr>
        <w:t>).</w:t>
      </w:r>
    </w:p>
    <w:p w14:paraId="14178CD7" w14:textId="59474FA4" w:rsidR="00F81849" w:rsidRDefault="000C2A09" w:rsidP="00A060B3">
      <w:pPr>
        <w:spacing w:after="240"/>
        <w:rPr>
          <w:noProof/>
          <w:color w:val="auto"/>
        </w:rPr>
      </w:pPr>
      <w:r w:rsidRPr="000653A9">
        <w:rPr>
          <w:noProof/>
          <w:color w:val="auto"/>
        </w:rPr>
        <w:t xml:space="preserve">It is important to note that </w:t>
      </w:r>
      <w:r w:rsidR="007C5AA5" w:rsidRPr="000653A9">
        <w:rPr>
          <w:noProof/>
          <w:color w:val="auto"/>
        </w:rPr>
        <w:t>offering ICC compensation is a policy choice for each Member State</w:t>
      </w:r>
      <w:r w:rsidR="000179B4" w:rsidRPr="000653A9">
        <w:rPr>
          <w:noProof/>
          <w:color w:val="auto"/>
        </w:rPr>
        <w:t xml:space="preserve"> regarding how to use their auction revenues.</w:t>
      </w:r>
      <w:r w:rsidR="00F602F1" w:rsidRPr="000653A9">
        <w:rPr>
          <w:noProof/>
          <w:color w:val="auto"/>
        </w:rPr>
        <w:t xml:space="preserve"> While the ETS Directive encourages Member States to limit their compensation to 25% of annual auction revenues, the actual share used varies considerably (see </w:t>
      </w:r>
      <w:r w:rsidR="0008603E" w:rsidRPr="000653A9">
        <w:rPr>
          <w:noProof/>
          <w:color w:val="auto"/>
        </w:rPr>
        <w:t xml:space="preserve">Figure </w:t>
      </w:r>
      <w:r w:rsidR="0008603E" w:rsidRPr="000653A9">
        <w:rPr>
          <w:noProof/>
        </w:rPr>
        <w:t>9</w:t>
      </w:r>
      <w:r w:rsidR="00F602F1" w:rsidRPr="000653A9">
        <w:rPr>
          <w:noProof/>
          <w:color w:val="auto"/>
        </w:rPr>
        <w:t>).</w:t>
      </w:r>
      <w:r w:rsidR="001C3BC1" w:rsidRPr="000653A9">
        <w:rPr>
          <w:noProof/>
          <w:color w:val="auto"/>
        </w:rPr>
        <w:t xml:space="preserve"> </w:t>
      </w:r>
      <w:r w:rsidR="004C6633" w:rsidRPr="000653A9">
        <w:rPr>
          <w:noProof/>
          <w:color w:val="auto"/>
        </w:rPr>
        <w:t xml:space="preserve">Furthermore, </w:t>
      </w:r>
      <w:r w:rsidR="00A316C8" w:rsidRPr="000653A9">
        <w:rPr>
          <w:noProof/>
          <w:color w:val="auto"/>
        </w:rPr>
        <w:t>each Member State’s</w:t>
      </w:r>
      <w:r w:rsidR="004C6633" w:rsidRPr="000653A9">
        <w:rPr>
          <w:noProof/>
          <w:color w:val="auto"/>
        </w:rPr>
        <w:t xml:space="preserve"> </w:t>
      </w:r>
      <w:r w:rsidR="00A316C8" w:rsidRPr="000653A9">
        <w:rPr>
          <w:noProof/>
          <w:color w:val="auto"/>
        </w:rPr>
        <w:t>choice of whether to provide compensation and how much budget to allocate to it can vary year-on-year.</w:t>
      </w:r>
    </w:p>
    <w:p w14:paraId="42222569" w14:textId="1FC739E5" w:rsidR="00F81849" w:rsidRDefault="003103BC">
      <w:pPr>
        <w:spacing w:before="0" w:line="259" w:lineRule="auto"/>
        <w:rPr>
          <w:noProof/>
          <w:color w:val="auto"/>
        </w:rPr>
      </w:pPr>
      <w:r>
        <w:rPr>
          <w:noProof/>
          <w:color w:val="auto"/>
        </w:rPr>
        <w:br w:type="page"/>
      </w:r>
    </w:p>
    <w:p w14:paraId="3CC64F43" w14:textId="7D698E00" w:rsidR="004B770D" w:rsidRPr="000653A9" w:rsidRDefault="00F81849" w:rsidP="00C92FA9">
      <w:pPr>
        <w:pStyle w:val="Figuretitle"/>
        <w:rPr>
          <w:noProof/>
        </w:rPr>
      </w:pPr>
      <w:bookmarkStart w:id="355" w:name="_Toc224659143"/>
      <w:r>
        <w:rPr>
          <w:noProof/>
        </w:rPr>
        <w:t>Comparison</w:t>
      </w:r>
      <w:r w:rsidR="003103BC" w:rsidRPr="000653A9">
        <w:rPr>
          <w:noProof/>
        </w:rPr>
        <w:t xml:space="preserve"> of indirect cost compensation </w:t>
      </w:r>
      <w:r w:rsidR="00453E30" w:rsidRPr="000653A9">
        <w:rPr>
          <w:noProof/>
        </w:rPr>
        <w:t>and share of indirect emissions per Member State</w:t>
      </w:r>
      <w:r w:rsidR="003103BC" w:rsidRPr="000653A9">
        <w:rPr>
          <w:noProof/>
        </w:rPr>
        <w:t xml:space="preserve"> (2021-2023 average)</w:t>
      </w:r>
      <w:bookmarkEnd w:id="355"/>
    </w:p>
    <w:p w14:paraId="5B16D45F" w14:textId="445F1636" w:rsidR="00DE1377" w:rsidRPr="000653A9" w:rsidRDefault="004D568D" w:rsidP="00A04BF0">
      <w:pPr>
        <w:keepNext/>
        <w:spacing w:after="240"/>
        <w:jc w:val="center"/>
        <w:rPr>
          <w:noProof/>
          <w:color w:val="auto"/>
        </w:rPr>
      </w:pPr>
      <w:r w:rsidRPr="000653A9">
        <w:rPr>
          <w:noProof/>
          <w:color w:val="auto"/>
          <w:lang w:eastAsia="en-GB"/>
        </w:rPr>
        <w:drawing>
          <wp:inline distT="0" distB="0" distL="0" distR="0" wp14:anchorId="79702BD3" wp14:editId="36977DD2">
            <wp:extent cx="5683389" cy="3714750"/>
            <wp:effectExtent l="0" t="0" r="0" b="0"/>
            <wp:docPr id="672266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95983" cy="3722982"/>
                    </a:xfrm>
                    <a:prstGeom prst="rect">
                      <a:avLst/>
                    </a:prstGeom>
                    <a:noFill/>
                  </pic:spPr>
                </pic:pic>
              </a:graphicData>
            </a:graphic>
          </wp:inline>
        </w:drawing>
      </w:r>
    </w:p>
    <w:p w14:paraId="58569598" w14:textId="7EB47AD0" w:rsidR="00453E30" w:rsidRPr="000653A9" w:rsidRDefault="00453E30" w:rsidP="00A060B3">
      <w:pPr>
        <w:spacing w:after="240"/>
        <w:rPr>
          <w:i/>
          <w:iCs/>
          <w:noProof/>
          <w:color w:val="auto"/>
          <w:sz w:val="20"/>
          <w:szCs w:val="20"/>
        </w:rPr>
      </w:pPr>
      <w:r w:rsidRPr="000653A9">
        <w:rPr>
          <w:i/>
          <w:iCs/>
          <w:noProof/>
          <w:color w:val="auto"/>
          <w:sz w:val="20"/>
          <w:szCs w:val="20"/>
        </w:rPr>
        <w:t xml:space="preserve">Source: </w:t>
      </w:r>
      <w:r w:rsidR="00FC654C" w:rsidRPr="000653A9">
        <w:rPr>
          <w:i/>
          <w:iCs/>
          <w:noProof/>
          <w:color w:val="auto"/>
          <w:sz w:val="20"/>
          <w:szCs w:val="20"/>
        </w:rPr>
        <w:t>European Commission annual reports on the functioning of the European carbon market (</w:t>
      </w:r>
      <w:r w:rsidR="00E80CC7" w:rsidRPr="000653A9">
        <w:rPr>
          <w:i/>
          <w:iCs/>
          <w:noProof/>
          <w:color w:val="auto"/>
          <w:sz w:val="20"/>
          <w:szCs w:val="20"/>
        </w:rPr>
        <w:t xml:space="preserve">compensation), own </w:t>
      </w:r>
      <w:r w:rsidR="0072490E" w:rsidRPr="000653A9">
        <w:rPr>
          <w:i/>
          <w:iCs/>
          <w:noProof/>
          <w:color w:val="auto"/>
          <w:sz w:val="20"/>
          <w:szCs w:val="20"/>
        </w:rPr>
        <w:t>calculation-based</w:t>
      </w:r>
      <w:r w:rsidR="00E80CC7" w:rsidRPr="000653A9">
        <w:rPr>
          <w:i/>
          <w:iCs/>
          <w:noProof/>
          <w:color w:val="auto"/>
          <w:sz w:val="20"/>
          <w:szCs w:val="20"/>
        </w:rPr>
        <w:t xml:space="preserve"> Eurostat electricity consumption and emission factors from State aid guidelines (indirect emissions)</w:t>
      </w:r>
    </w:p>
    <w:p w14:paraId="75312218" w14:textId="57C66D46" w:rsidR="009674E6" w:rsidRPr="000653A9" w:rsidRDefault="006C43D7" w:rsidP="001B057C">
      <w:pPr>
        <w:spacing w:after="240"/>
        <w:rPr>
          <w:noProof/>
          <w:color w:val="auto"/>
        </w:rPr>
      </w:pPr>
      <w:r w:rsidRPr="000653A9">
        <w:rPr>
          <w:noProof/>
          <w:color w:val="auto"/>
        </w:rPr>
        <w:t>I</w:t>
      </w:r>
      <w:r w:rsidR="009674E6" w:rsidRPr="000653A9">
        <w:rPr>
          <w:noProof/>
          <w:color w:val="auto"/>
        </w:rPr>
        <w:t>n ICC1</w:t>
      </w:r>
      <w:r w:rsidRPr="000653A9">
        <w:rPr>
          <w:noProof/>
          <w:color w:val="auto"/>
        </w:rPr>
        <w:t xml:space="preserve">, each Member State retains the right to choose between ICC compensation and other revenue uses </w:t>
      </w:r>
      <w:r w:rsidR="0037399F" w:rsidRPr="000653A9">
        <w:rPr>
          <w:noProof/>
          <w:color w:val="auto"/>
        </w:rPr>
        <w:t xml:space="preserve">throughout the </w:t>
      </w:r>
      <w:r w:rsidR="00015ED3" w:rsidRPr="000653A9">
        <w:rPr>
          <w:noProof/>
          <w:color w:val="auto"/>
        </w:rPr>
        <w:t xml:space="preserve">period to 2040. </w:t>
      </w:r>
      <w:r w:rsidR="00E4257C" w:rsidRPr="000653A9">
        <w:rPr>
          <w:noProof/>
          <w:color w:val="auto"/>
        </w:rPr>
        <w:t xml:space="preserve">In ICC2, a share of </w:t>
      </w:r>
      <w:r w:rsidR="00A20D62" w:rsidRPr="000653A9">
        <w:rPr>
          <w:noProof/>
          <w:color w:val="auto"/>
        </w:rPr>
        <w:t xml:space="preserve">ETS </w:t>
      </w:r>
      <w:r w:rsidR="00E4257C" w:rsidRPr="000653A9">
        <w:rPr>
          <w:noProof/>
          <w:color w:val="auto"/>
        </w:rPr>
        <w:t xml:space="preserve">revenue </w:t>
      </w:r>
      <w:r w:rsidR="002200CB" w:rsidRPr="000653A9">
        <w:rPr>
          <w:noProof/>
          <w:color w:val="auto"/>
        </w:rPr>
        <w:t>(</w:t>
      </w:r>
      <w:r w:rsidR="00737323" w:rsidRPr="000653A9">
        <w:rPr>
          <w:noProof/>
          <w:color w:val="auto"/>
        </w:rPr>
        <w:t>that would otherwise have gone to each Member State or</w:t>
      </w:r>
      <w:r w:rsidR="002200CB" w:rsidRPr="000653A9">
        <w:rPr>
          <w:noProof/>
          <w:color w:val="auto"/>
        </w:rPr>
        <w:t xml:space="preserve"> to another EU-level instrument) </w:t>
      </w:r>
      <w:r w:rsidR="00776D2C" w:rsidRPr="000653A9">
        <w:rPr>
          <w:noProof/>
          <w:color w:val="auto"/>
        </w:rPr>
        <w:t>is used</w:t>
      </w:r>
      <w:r w:rsidR="002200CB" w:rsidRPr="000653A9">
        <w:rPr>
          <w:noProof/>
          <w:color w:val="auto"/>
        </w:rPr>
        <w:t xml:space="preserve"> to guarantee</w:t>
      </w:r>
      <w:r w:rsidR="00B74239" w:rsidRPr="000653A9">
        <w:rPr>
          <w:noProof/>
          <w:color w:val="auto"/>
        </w:rPr>
        <w:t xml:space="preserve"> a certain level of ICC compensation to electro-intensive industries. </w:t>
      </w:r>
      <w:r w:rsidR="00C552FA" w:rsidRPr="000653A9">
        <w:rPr>
          <w:noProof/>
          <w:color w:val="auto"/>
        </w:rPr>
        <w:t>Therefore, the</w:t>
      </w:r>
      <w:r w:rsidR="00C94008" w:rsidRPr="000653A9">
        <w:rPr>
          <w:noProof/>
          <w:color w:val="auto"/>
        </w:rPr>
        <w:t xml:space="preserve"> </w:t>
      </w:r>
      <w:r w:rsidR="003B2AE8" w:rsidRPr="000653A9">
        <w:rPr>
          <w:noProof/>
          <w:color w:val="auto"/>
        </w:rPr>
        <w:t xml:space="preserve">question of whether to harmonise ICC compensation </w:t>
      </w:r>
      <w:r w:rsidR="00C94008" w:rsidRPr="000653A9">
        <w:rPr>
          <w:noProof/>
          <w:color w:val="auto"/>
        </w:rPr>
        <w:t>also represent</w:t>
      </w:r>
      <w:r w:rsidR="003B2AE8" w:rsidRPr="000653A9">
        <w:rPr>
          <w:noProof/>
          <w:color w:val="auto"/>
        </w:rPr>
        <w:t>s</w:t>
      </w:r>
      <w:r w:rsidR="00C94008" w:rsidRPr="000653A9">
        <w:rPr>
          <w:noProof/>
          <w:color w:val="auto"/>
        </w:rPr>
        <w:t xml:space="preserve"> a choice between </w:t>
      </w:r>
      <w:r w:rsidR="00CB28A0" w:rsidRPr="000653A9">
        <w:rPr>
          <w:noProof/>
          <w:color w:val="auto"/>
        </w:rPr>
        <w:t>providing discretionary resources to Member States vs.</w:t>
      </w:r>
      <w:r w:rsidR="00376B9E" w:rsidRPr="000653A9">
        <w:rPr>
          <w:noProof/>
          <w:color w:val="auto"/>
        </w:rPr>
        <w:t xml:space="preserve"> providing</w:t>
      </w:r>
      <w:r w:rsidR="00CB28A0" w:rsidRPr="000653A9">
        <w:rPr>
          <w:noProof/>
          <w:color w:val="auto"/>
        </w:rPr>
        <w:t xml:space="preserve"> </w:t>
      </w:r>
      <w:r w:rsidR="00376B9E" w:rsidRPr="000653A9">
        <w:rPr>
          <w:noProof/>
          <w:color w:val="auto"/>
        </w:rPr>
        <w:t>guaranteed EU-level carbon leakage protection to firms.</w:t>
      </w:r>
      <w:r w:rsidR="00C552FA" w:rsidRPr="000653A9">
        <w:rPr>
          <w:noProof/>
          <w:color w:val="auto"/>
        </w:rPr>
        <w:t xml:space="preserve"> </w:t>
      </w:r>
    </w:p>
    <w:p w14:paraId="5FD1D61E" w14:textId="77777777" w:rsidR="00DC63F8" w:rsidRPr="000653A9" w:rsidRDefault="00DC63F8" w:rsidP="009539AB">
      <w:pPr>
        <w:pStyle w:val="Heading4COM"/>
        <w:outlineLvl w:val="4"/>
        <w:rPr>
          <w:noProof/>
        </w:rPr>
      </w:pPr>
      <w:bookmarkStart w:id="356" w:name="_Toc219902735"/>
      <w:bookmarkStart w:id="357" w:name="_Toc219902736"/>
      <w:bookmarkStart w:id="358" w:name="_Toc219902737"/>
      <w:bookmarkStart w:id="359" w:name="_Toc219902738"/>
      <w:bookmarkStart w:id="360" w:name="_Toc219902739"/>
      <w:bookmarkStart w:id="361" w:name="_Toc219902740"/>
      <w:bookmarkStart w:id="362" w:name="_Toc219902741"/>
      <w:bookmarkStart w:id="363" w:name="_Toc219902742"/>
      <w:bookmarkStart w:id="364" w:name="_Toc219902743"/>
      <w:bookmarkStart w:id="365" w:name="_Toc219902744"/>
      <w:bookmarkStart w:id="366" w:name="_Toc219902745"/>
      <w:bookmarkStart w:id="367" w:name="_Toc219902746"/>
      <w:bookmarkStart w:id="368" w:name="_Toc212049702"/>
      <w:bookmarkStart w:id="369" w:name="_Toc230857905"/>
      <w:bookmarkStart w:id="370" w:name="_Toc232751096"/>
      <w:bookmarkEnd w:id="356"/>
      <w:bookmarkEnd w:id="357"/>
      <w:bookmarkEnd w:id="358"/>
      <w:bookmarkEnd w:id="359"/>
      <w:bookmarkEnd w:id="360"/>
      <w:bookmarkEnd w:id="361"/>
      <w:bookmarkEnd w:id="362"/>
      <w:bookmarkEnd w:id="363"/>
      <w:bookmarkEnd w:id="364"/>
      <w:bookmarkEnd w:id="365"/>
      <w:bookmarkEnd w:id="366"/>
      <w:bookmarkEnd w:id="367"/>
      <w:r w:rsidRPr="000653A9">
        <w:rPr>
          <w:noProof/>
        </w:rPr>
        <w:t>Administrative costs on businesses</w:t>
      </w:r>
      <w:bookmarkEnd w:id="368"/>
      <w:bookmarkEnd w:id="369"/>
      <w:bookmarkEnd w:id="370"/>
    </w:p>
    <w:p w14:paraId="1010135E" w14:textId="77777777" w:rsidR="00DC63F8" w:rsidRPr="000653A9" w:rsidRDefault="00DC63F8" w:rsidP="009539AB">
      <w:pPr>
        <w:pStyle w:val="Heading5COM"/>
        <w:outlineLvl w:val="5"/>
        <w:rPr>
          <w:noProof/>
        </w:rPr>
      </w:pPr>
      <w:bookmarkStart w:id="371" w:name="_Toc212049703"/>
      <w:bookmarkStart w:id="372" w:name="_Toc230857906"/>
      <w:bookmarkStart w:id="373" w:name="_Toc232751097"/>
      <w:r w:rsidRPr="000653A9">
        <w:rPr>
          <w:noProof/>
        </w:rPr>
        <w:t>Carbon leakage prevention measures for direct emissions</w:t>
      </w:r>
      <w:bookmarkEnd w:id="371"/>
      <w:bookmarkEnd w:id="372"/>
      <w:bookmarkEnd w:id="373"/>
    </w:p>
    <w:p w14:paraId="7AFB4A13" w14:textId="1CA14AFC" w:rsidR="00CF7D70" w:rsidRPr="000653A9" w:rsidRDefault="00CF7D70" w:rsidP="00CF7D70">
      <w:pPr>
        <w:rPr>
          <w:noProof/>
          <w:color w:val="auto"/>
        </w:rPr>
      </w:pPr>
      <w:r w:rsidRPr="000653A9">
        <w:rPr>
          <w:noProof/>
          <w:color w:val="auto"/>
        </w:rPr>
        <w:t xml:space="preserve">According to the Better Regulation Guidelines, the </w:t>
      </w:r>
      <w:r w:rsidR="00531A0C" w:rsidRPr="000653A9">
        <w:rPr>
          <w:noProof/>
          <w:color w:val="auto"/>
        </w:rPr>
        <w:t>administrative</w:t>
      </w:r>
      <w:r w:rsidR="0082106E" w:rsidRPr="000653A9">
        <w:rPr>
          <w:noProof/>
          <w:color w:val="auto"/>
        </w:rPr>
        <w:t xml:space="preserve"> </w:t>
      </w:r>
      <w:r w:rsidRPr="000653A9">
        <w:rPr>
          <w:noProof/>
          <w:color w:val="auto"/>
        </w:rPr>
        <w:t xml:space="preserve">costs consist of two different cost components: </w:t>
      </w:r>
    </w:p>
    <w:p w14:paraId="1555B81C" w14:textId="7B884C58" w:rsidR="00CF7D70" w:rsidRPr="000653A9" w:rsidRDefault="00CF7D70" w:rsidP="00CD163F">
      <w:pPr>
        <w:pStyle w:val="ListParagraph"/>
        <w:numPr>
          <w:ilvl w:val="0"/>
          <w:numId w:val="24"/>
        </w:numPr>
        <w:rPr>
          <w:noProof/>
          <w:color w:val="auto"/>
        </w:rPr>
      </w:pPr>
      <w:r w:rsidRPr="000653A9">
        <w:rPr>
          <w:noProof/>
          <w:color w:val="auto"/>
        </w:rPr>
        <w:t>Business as usual costs (i.e. correspond to the costs resulting from collecting and processing information that would even be done in the absence of any legislation</w:t>
      </w:r>
      <w:r w:rsidR="00B245A5" w:rsidRPr="000653A9">
        <w:rPr>
          <w:noProof/>
          <w:color w:val="auto"/>
        </w:rPr>
        <w:t>).</w:t>
      </w:r>
    </w:p>
    <w:p w14:paraId="1484D1BB" w14:textId="316151C0" w:rsidR="00CF7D70" w:rsidRPr="000653A9" w:rsidRDefault="00CF7D70" w:rsidP="00CD163F">
      <w:pPr>
        <w:pStyle w:val="ListParagraph"/>
        <w:numPr>
          <w:ilvl w:val="0"/>
          <w:numId w:val="24"/>
        </w:numPr>
        <w:spacing w:after="120"/>
        <w:ind w:left="714" w:hanging="357"/>
        <w:rPr>
          <w:noProof/>
          <w:color w:val="auto"/>
        </w:rPr>
      </w:pPr>
      <w:r w:rsidRPr="000653A9">
        <w:rPr>
          <w:noProof/>
          <w:color w:val="auto"/>
        </w:rPr>
        <w:t xml:space="preserve">Administrative burdens (i.e. stem from the part of the process which </w:t>
      </w:r>
      <w:r w:rsidR="004B46DC" w:rsidRPr="000653A9">
        <w:rPr>
          <w:noProof/>
          <w:color w:val="auto"/>
        </w:rPr>
        <w:t xml:space="preserve">is </w:t>
      </w:r>
      <w:r w:rsidRPr="000653A9">
        <w:rPr>
          <w:noProof/>
          <w:color w:val="auto"/>
        </w:rPr>
        <w:t>done solely because of legal obligation).</w:t>
      </w:r>
    </w:p>
    <w:p w14:paraId="466EB851" w14:textId="77777777" w:rsidR="00CF7D70" w:rsidRPr="000653A9" w:rsidRDefault="00CF7D70" w:rsidP="00CF7D70">
      <w:pPr>
        <w:rPr>
          <w:noProof/>
          <w:color w:val="auto"/>
        </w:rPr>
      </w:pPr>
      <w:r w:rsidRPr="000653A9">
        <w:rPr>
          <w:noProof/>
          <w:color w:val="auto"/>
        </w:rPr>
        <w:t>The following tasks were considered as being an administrative burden on operators related to their application for free allocation:</w:t>
      </w:r>
    </w:p>
    <w:p w14:paraId="20A1DCE9" w14:textId="77777777" w:rsidR="00CF7D70" w:rsidRPr="000653A9" w:rsidRDefault="00CF7D70" w:rsidP="00CD163F">
      <w:pPr>
        <w:pStyle w:val="ListParagraph"/>
        <w:numPr>
          <w:ilvl w:val="0"/>
          <w:numId w:val="15"/>
        </w:numPr>
        <w:rPr>
          <w:noProof/>
          <w:color w:val="auto"/>
        </w:rPr>
      </w:pPr>
      <w:r w:rsidRPr="000653A9">
        <w:rPr>
          <w:noProof/>
          <w:color w:val="auto"/>
        </w:rPr>
        <w:t xml:space="preserve">Learning of rules, workshops and stakeholder meetings. </w:t>
      </w:r>
    </w:p>
    <w:p w14:paraId="7CA4962E" w14:textId="0DDD47A2" w:rsidR="00CF7D70" w:rsidRPr="000653A9" w:rsidRDefault="00CF7D70" w:rsidP="00CD163F">
      <w:pPr>
        <w:pStyle w:val="ListParagraph"/>
        <w:numPr>
          <w:ilvl w:val="0"/>
          <w:numId w:val="15"/>
        </w:numPr>
        <w:rPr>
          <w:noProof/>
          <w:color w:val="auto"/>
        </w:rPr>
      </w:pPr>
      <w:r w:rsidRPr="000653A9">
        <w:rPr>
          <w:noProof/>
          <w:color w:val="auto"/>
        </w:rPr>
        <w:t xml:space="preserve">Commission Delegated Regulation (EU) 2019/3312 outlines in Article 4(2) the following particulars that accompany an application for free allocation for allocation data from 2021 onwards from the operator of an incumbent installation (requirements for new entrants are further outlined in Article 5): </w:t>
      </w:r>
    </w:p>
    <w:p w14:paraId="5122641D" w14:textId="77777777" w:rsidR="00CF7D70" w:rsidRPr="000653A9" w:rsidRDefault="00CF7D70" w:rsidP="00CD163F">
      <w:pPr>
        <w:pStyle w:val="ListParagraph"/>
        <w:numPr>
          <w:ilvl w:val="0"/>
          <w:numId w:val="15"/>
        </w:numPr>
        <w:rPr>
          <w:noProof/>
          <w:color w:val="auto"/>
        </w:rPr>
      </w:pPr>
      <w:r w:rsidRPr="000653A9">
        <w:rPr>
          <w:noProof/>
          <w:color w:val="auto"/>
        </w:rPr>
        <w:t>Baseline data report</w:t>
      </w:r>
    </w:p>
    <w:p w14:paraId="2F677AB0" w14:textId="6C5EF126" w:rsidR="00CF7D70" w:rsidRPr="000653A9" w:rsidRDefault="00CF7D70" w:rsidP="00CD163F">
      <w:pPr>
        <w:pStyle w:val="ListParagraph"/>
        <w:numPr>
          <w:ilvl w:val="0"/>
          <w:numId w:val="15"/>
        </w:numPr>
        <w:rPr>
          <w:noProof/>
          <w:color w:val="auto"/>
        </w:rPr>
      </w:pPr>
      <w:r w:rsidRPr="000653A9">
        <w:rPr>
          <w:noProof/>
          <w:color w:val="auto"/>
        </w:rPr>
        <w:t>Monitoring methodology plan</w:t>
      </w:r>
    </w:p>
    <w:p w14:paraId="2FDA76B9" w14:textId="77777777" w:rsidR="00CF7D70" w:rsidRPr="000653A9" w:rsidRDefault="00CF7D70" w:rsidP="00CD163F">
      <w:pPr>
        <w:pStyle w:val="ListParagraph"/>
        <w:numPr>
          <w:ilvl w:val="0"/>
          <w:numId w:val="15"/>
        </w:numPr>
        <w:rPr>
          <w:noProof/>
          <w:color w:val="auto"/>
        </w:rPr>
      </w:pPr>
      <w:r w:rsidRPr="000653A9">
        <w:rPr>
          <w:noProof/>
          <w:color w:val="auto"/>
        </w:rPr>
        <w:t>Verification report</w:t>
      </w:r>
    </w:p>
    <w:p w14:paraId="62CCFBD7" w14:textId="7D11D5BC" w:rsidR="00CF7D70" w:rsidRPr="000653A9" w:rsidRDefault="00CF7D70" w:rsidP="00CD163F">
      <w:pPr>
        <w:pStyle w:val="ListParagraph"/>
        <w:numPr>
          <w:ilvl w:val="0"/>
          <w:numId w:val="15"/>
        </w:numPr>
        <w:rPr>
          <w:noProof/>
          <w:color w:val="auto"/>
        </w:rPr>
      </w:pPr>
      <w:r w:rsidRPr="000653A9">
        <w:rPr>
          <w:noProof/>
          <w:color w:val="auto"/>
        </w:rPr>
        <w:t xml:space="preserve">Commission Implementing Regulation (EU) 2019/1842 outlines in Article 3(1) that operators of installations to which free allocation has been given, in accordance with Article 10a of Directive 2003/87/EC, for the trading period from 2021 to 2030 shall </w:t>
      </w:r>
      <w:r w:rsidR="004E00BB" w:rsidRPr="000653A9">
        <w:rPr>
          <w:noProof/>
          <w:color w:val="auto"/>
        </w:rPr>
        <w:t>r</w:t>
      </w:r>
      <w:r w:rsidRPr="000653A9">
        <w:rPr>
          <w:noProof/>
          <w:color w:val="auto"/>
        </w:rPr>
        <w:t xml:space="preserve">eport annually on the activity level of each sub-installation in the preceding calendar year </w:t>
      </w:r>
    </w:p>
    <w:p w14:paraId="39580FAD" w14:textId="3088A109" w:rsidR="00CF7D70" w:rsidRPr="000653A9" w:rsidRDefault="00CF7D70" w:rsidP="00CD163F">
      <w:pPr>
        <w:pStyle w:val="ListParagraph"/>
        <w:numPr>
          <w:ilvl w:val="0"/>
          <w:numId w:val="15"/>
        </w:numPr>
        <w:rPr>
          <w:noProof/>
          <w:color w:val="auto"/>
        </w:rPr>
      </w:pPr>
      <w:r w:rsidRPr="000653A9">
        <w:rPr>
          <w:noProof/>
          <w:color w:val="auto"/>
        </w:rPr>
        <w:t>Commission Delegated Regulation – EU – 2024/873 outlines in Article 22</w:t>
      </w:r>
      <w:r w:rsidR="000944F4" w:rsidRPr="000653A9">
        <w:rPr>
          <w:noProof/>
          <w:color w:val="auto"/>
        </w:rPr>
        <w:t>a</w:t>
      </w:r>
      <w:r w:rsidRPr="000653A9">
        <w:rPr>
          <w:noProof/>
          <w:color w:val="auto"/>
        </w:rPr>
        <w:t xml:space="preserve"> conditionality of free allocation on implementation of energy efficiency improvement measures</w:t>
      </w:r>
      <w:r w:rsidR="00387547" w:rsidRPr="000653A9">
        <w:rPr>
          <w:noProof/>
          <w:color w:val="auto"/>
        </w:rPr>
        <w:t>, in which the</w:t>
      </w:r>
      <w:r w:rsidR="00853453" w:rsidRPr="000653A9">
        <w:rPr>
          <w:noProof/>
          <w:color w:val="auto"/>
        </w:rPr>
        <w:t xml:space="preserve"> o</w:t>
      </w:r>
      <w:r w:rsidRPr="000653A9">
        <w:rPr>
          <w:noProof/>
          <w:color w:val="auto"/>
        </w:rPr>
        <w:t>perator of an installation must demonstrate that recommendations from energy audits under Article 8 of Directive 2012/27/EU5 have been implemented</w:t>
      </w:r>
    </w:p>
    <w:p w14:paraId="025E3306" w14:textId="04969B0F" w:rsidR="00CF7D70" w:rsidRPr="000653A9" w:rsidRDefault="00126D85" w:rsidP="00CD163F">
      <w:pPr>
        <w:pStyle w:val="ListParagraph"/>
        <w:numPr>
          <w:ilvl w:val="0"/>
          <w:numId w:val="15"/>
        </w:numPr>
        <w:rPr>
          <w:noProof/>
          <w:color w:val="auto"/>
        </w:rPr>
      </w:pPr>
      <w:r w:rsidRPr="000653A9">
        <w:rPr>
          <w:noProof/>
          <w:color w:val="auto"/>
        </w:rPr>
        <w:t>Commission Delegated Regulation – EU – 2024/873 outlines in Article 22</w:t>
      </w:r>
      <w:r w:rsidR="00874C51" w:rsidRPr="000653A9">
        <w:rPr>
          <w:noProof/>
          <w:color w:val="auto"/>
        </w:rPr>
        <w:t>b</w:t>
      </w:r>
      <w:r w:rsidRPr="000653A9">
        <w:rPr>
          <w:noProof/>
          <w:color w:val="auto"/>
        </w:rPr>
        <w:t xml:space="preserve"> </w:t>
      </w:r>
      <w:r w:rsidR="00874C51" w:rsidRPr="000653A9">
        <w:rPr>
          <w:noProof/>
          <w:color w:val="auto"/>
        </w:rPr>
        <w:t>c</w:t>
      </w:r>
      <w:r w:rsidR="00CF7D70" w:rsidRPr="000653A9">
        <w:rPr>
          <w:noProof/>
          <w:color w:val="auto"/>
        </w:rPr>
        <w:t>onditionality of free allocation on climate neutrality plans</w:t>
      </w:r>
      <w:r w:rsidR="000A3561" w:rsidRPr="000653A9">
        <w:rPr>
          <w:noProof/>
          <w:color w:val="auto"/>
        </w:rPr>
        <w:t xml:space="preserve"> to be submitted by the operator of an installation.</w:t>
      </w:r>
    </w:p>
    <w:p w14:paraId="15293B92" w14:textId="7D340240" w:rsidR="000A1BCE" w:rsidRPr="000653A9" w:rsidRDefault="00CF7D70" w:rsidP="00CF7D70">
      <w:pPr>
        <w:spacing w:after="240"/>
        <w:rPr>
          <w:noProof/>
          <w:color w:val="auto"/>
        </w:rPr>
      </w:pPr>
      <w:r w:rsidRPr="000653A9">
        <w:rPr>
          <w:noProof/>
          <w:color w:val="auto"/>
        </w:rPr>
        <w:t>In accordance with the EU Standard Cost Model, it was necessary to identify and classify additional administrative obligations as well as any administrative obligations that may also be eliminated by the implementation of the policy measures</w:t>
      </w:r>
      <w:r w:rsidR="000A1BCE" w:rsidRPr="000653A9">
        <w:rPr>
          <w:noProof/>
          <w:color w:val="auto"/>
        </w:rPr>
        <w:t>.</w:t>
      </w:r>
      <w:r w:rsidRPr="000653A9">
        <w:rPr>
          <w:noProof/>
          <w:color w:val="auto"/>
        </w:rPr>
        <w:t xml:space="preserve"> </w:t>
      </w:r>
    </w:p>
    <w:p w14:paraId="5DEEE3EE" w14:textId="68DBA206" w:rsidR="00CF7D70" w:rsidRPr="000653A9" w:rsidRDefault="00376A96" w:rsidP="00CF7D70">
      <w:pPr>
        <w:rPr>
          <w:noProof/>
          <w:color w:val="auto"/>
        </w:rPr>
      </w:pPr>
      <w:r w:rsidRPr="000653A9">
        <w:rPr>
          <w:noProof/>
          <w:color w:val="auto"/>
        </w:rPr>
        <w:t>All</w:t>
      </w:r>
      <w:r w:rsidR="00CF7D70" w:rsidRPr="000653A9">
        <w:rPr>
          <w:noProof/>
          <w:color w:val="auto"/>
        </w:rPr>
        <w:t xml:space="preserve"> the policy measures include within their design that the carbon leakage list will not be updated for Phase V and the formula for determining free allocation will no longer include the carbon leakage exposure factor. This simplification will eliminate administrative obligations for ETS operators in </w:t>
      </w:r>
      <w:r w:rsidRPr="000653A9">
        <w:rPr>
          <w:noProof/>
          <w:color w:val="auto"/>
        </w:rPr>
        <w:t>all</w:t>
      </w:r>
      <w:r w:rsidR="00CF7D70" w:rsidRPr="000653A9">
        <w:rPr>
          <w:noProof/>
          <w:color w:val="auto"/>
        </w:rPr>
        <w:t xml:space="preserve"> the policy measures, with considerable time spent on administration expected to be saved </w:t>
      </w:r>
    </w:p>
    <w:p w14:paraId="30AB05A4" w14:textId="4CE3C1F4" w:rsidR="00CF7D70" w:rsidRPr="000653A9" w:rsidRDefault="00CF7D70" w:rsidP="00CF7D70">
      <w:pPr>
        <w:rPr>
          <w:noProof/>
          <w:color w:val="auto"/>
        </w:rPr>
      </w:pPr>
      <w:r w:rsidRPr="000653A9">
        <w:rPr>
          <w:noProof/>
          <w:color w:val="auto"/>
        </w:rPr>
        <w:t xml:space="preserve">Under CL1 there are no new administrative burdens added to ETS operators as the current approach is continued albeit with the modification to the formula for determining free allocation levels </w:t>
      </w:r>
      <w:r w:rsidR="00376A96" w:rsidRPr="000653A9">
        <w:rPr>
          <w:noProof/>
          <w:color w:val="auto"/>
        </w:rPr>
        <w:t>because of</w:t>
      </w:r>
      <w:r w:rsidRPr="000653A9">
        <w:rPr>
          <w:noProof/>
          <w:color w:val="auto"/>
        </w:rPr>
        <w:t xml:space="preserve"> the discontinuation of the carbon leakage list. The existing obligations for ETS operators (i.e. provision of a baseline data report, monitoring methodology plan and verification plan) would be sufficient to update the existing product benchmarks as under CL1 no change to the current definition of the product benchmarks is considered (so no further inputs into an update of benchmarks would be required and therefore CL1 is not associated with additional administrative obligations).</w:t>
      </w:r>
    </w:p>
    <w:p w14:paraId="2C0438CD" w14:textId="6134D1F1" w:rsidR="00CF7D70" w:rsidRPr="000653A9" w:rsidRDefault="00CF7D70" w:rsidP="00CF7D70">
      <w:pPr>
        <w:rPr>
          <w:noProof/>
          <w:color w:val="auto"/>
        </w:rPr>
      </w:pPr>
      <w:r w:rsidRPr="000653A9">
        <w:rPr>
          <w:noProof/>
          <w:color w:val="auto"/>
        </w:rPr>
        <w:t xml:space="preserve">New administrative requirements would, however, be introduced under CL2. Under this policy measure, it is expected that the conditionalities introduced for the period 2026-2030 would be expanded to include more ETS operators in Phase V of the EU ETS. The following complementary actions have been identified </w:t>
      </w:r>
      <w:r w:rsidR="00210828" w:rsidRPr="000653A9">
        <w:rPr>
          <w:noProof/>
          <w:color w:val="auto"/>
        </w:rPr>
        <w:t>because of</w:t>
      </w:r>
      <w:r w:rsidRPr="000653A9">
        <w:rPr>
          <w:noProof/>
          <w:color w:val="auto"/>
        </w:rPr>
        <w:t xml:space="preserve"> the additional administrative obligations:</w:t>
      </w:r>
    </w:p>
    <w:p w14:paraId="3903CA3E" w14:textId="77777777" w:rsidR="00CF7D70" w:rsidRPr="000653A9" w:rsidRDefault="00CF7D70" w:rsidP="00CD163F">
      <w:pPr>
        <w:pStyle w:val="ListParagraph"/>
        <w:numPr>
          <w:ilvl w:val="0"/>
          <w:numId w:val="16"/>
        </w:numPr>
        <w:rPr>
          <w:noProof/>
          <w:color w:val="auto"/>
        </w:rPr>
      </w:pPr>
      <w:r w:rsidRPr="000653A9">
        <w:rPr>
          <w:noProof/>
          <w:color w:val="auto"/>
        </w:rPr>
        <w:t>Time spent on learning rules, workshops, stakeholder meetings</w:t>
      </w:r>
    </w:p>
    <w:p w14:paraId="61728816" w14:textId="77777777" w:rsidR="00CF7D70" w:rsidRPr="000653A9" w:rsidRDefault="00CF7D70" w:rsidP="00CD163F">
      <w:pPr>
        <w:pStyle w:val="ListParagraph"/>
        <w:numPr>
          <w:ilvl w:val="0"/>
          <w:numId w:val="16"/>
        </w:numPr>
        <w:rPr>
          <w:noProof/>
          <w:color w:val="auto"/>
        </w:rPr>
      </w:pPr>
      <w:r w:rsidRPr="000653A9">
        <w:rPr>
          <w:noProof/>
          <w:color w:val="auto"/>
        </w:rPr>
        <w:t>Time spent demonstrating that all recommendations from energy audits under Article 8 of Directive 2012/27/EU have been implemented</w:t>
      </w:r>
    </w:p>
    <w:p w14:paraId="01DB8C7D" w14:textId="77777777" w:rsidR="00CF7D70" w:rsidRPr="000653A9" w:rsidRDefault="00CF7D70" w:rsidP="00CD163F">
      <w:pPr>
        <w:pStyle w:val="ListParagraph"/>
        <w:numPr>
          <w:ilvl w:val="0"/>
          <w:numId w:val="16"/>
        </w:numPr>
        <w:rPr>
          <w:noProof/>
          <w:color w:val="auto"/>
        </w:rPr>
      </w:pPr>
      <w:r w:rsidRPr="000653A9">
        <w:rPr>
          <w:noProof/>
          <w:color w:val="auto"/>
        </w:rPr>
        <w:t>Time spent preparing and submitting a carbon neutrality plan</w:t>
      </w:r>
    </w:p>
    <w:p w14:paraId="5EA93861" w14:textId="77777777" w:rsidR="00CF7D70" w:rsidRPr="000653A9" w:rsidRDefault="00CF7D70" w:rsidP="00CF7D70">
      <w:pPr>
        <w:rPr>
          <w:noProof/>
          <w:color w:val="auto"/>
        </w:rPr>
      </w:pPr>
      <w:r w:rsidRPr="000653A9">
        <w:rPr>
          <w:noProof/>
          <w:color w:val="auto"/>
        </w:rPr>
        <w:t xml:space="preserve">Defining the target group and the frequency of the obligated actions are required as part of the assessment of additional costs using the EU Standard Cost Model. </w:t>
      </w:r>
    </w:p>
    <w:p w14:paraId="1CE4B816" w14:textId="5B6015F5" w:rsidR="00CF7D70" w:rsidRPr="000653A9" w:rsidRDefault="00CF7D70" w:rsidP="00CF7D70">
      <w:pPr>
        <w:rPr>
          <w:noProof/>
          <w:color w:val="auto"/>
        </w:rPr>
      </w:pPr>
      <w:r w:rsidRPr="000653A9">
        <w:rPr>
          <w:noProof/>
          <w:color w:val="auto"/>
        </w:rPr>
        <w:t xml:space="preserve">Given that the extension of the conditionality requirement would be subject to further assessment, for the purpose of the impact assessment a range was used to identify the target group. It was assumed that the number of ETS operators that were subject to the conditionalities as applied in 2026-30 would increase by between 20% and 40% for 2031-40. </w:t>
      </w:r>
    </w:p>
    <w:p w14:paraId="0D76DC1E" w14:textId="0CB06439" w:rsidR="00CF7D70" w:rsidRPr="000653A9" w:rsidRDefault="00CF7D70" w:rsidP="00CF7D70">
      <w:pPr>
        <w:rPr>
          <w:noProof/>
          <w:color w:val="auto"/>
        </w:rPr>
      </w:pPr>
      <w:r w:rsidRPr="000653A9">
        <w:rPr>
          <w:noProof/>
          <w:color w:val="auto"/>
        </w:rPr>
        <w:t xml:space="preserve">The frequency of the required action would remain unchanged and so, for example, demonstrating that recommendations from energy audits have been implemented or the submission of climate neutrality plans would be a one-off activity at the start of Phase V. </w:t>
      </w:r>
    </w:p>
    <w:p w14:paraId="23E72040" w14:textId="58949E8E" w:rsidR="00CF7D70" w:rsidRPr="000653A9" w:rsidRDefault="00376A96" w:rsidP="00CF7D70">
      <w:pPr>
        <w:rPr>
          <w:noProof/>
          <w:color w:val="auto"/>
        </w:rPr>
      </w:pPr>
      <w:r w:rsidRPr="000653A9">
        <w:rPr>
          <w:noProof/>
          <w:color w:val="auto"/>
        </w:rPr>
        <w:t>To</w:t>
      </w:r>
      <w:r w:rsidR="00CF7D70" w:rsidRPr="000653A9">
        <w:rPr>
          <w:noProof/>
          <w:color w:val="auto"/>
        </w:rPr>
        <w:t xml:space="preserve"> estimate the additional administrative cost of the complementary actions outlined above for CL2, a survey was developed and circulated to industrial stakeholders to provide information on the time spent (in person hours) on average, per year in 2021-24. </w:t>
      </w:r>
    </w:p>
    <w:p w14:paraId="74CCF750" w14:textId="77777777" w:rsidR="00CF7D70" w:rsidRPr="000653A9" w:rsidRDefault="00CF7D70" w:rsidP="00CF7D70">
      <w:pPr>
        <w:rPr>
          <w:noProof/>
          <w:color w:val="auto"/>
        </w:rPr>
      </w:pPr>
      <w:r w:rsidRPr="000653A9">
        <w:rPr>
          <w:noProof/>
          <w:color w:val="auto"/>
        </w:rPr>
        <w:t>Respondents indicated that they spent on average:</w:t>
      </w:r>
    </w:p>
    <w:p w14:paraId="76389D83" w14:textId="66EC8088" w:rsidR="00CF7D70" w:rsidRPr="000653A9" w:rsidRDefault="00CF7D70" w:rsidP="00CD163F">
      <w:pPr>
        <w:pStyle w:val="ListParagraph"/>
        <w:numPr>
          <w:ilvl w:val="0"/>
          <w:numId w:val="23"/>
        </w:numPr>
        <w:rPr>
          <w:noProof/>
          <w:color w:val="auto"/>
        </w:rPr>
      </w:pPr>
      <w:r w:rsidRPr="000653A9">
        <w:rPr>
          <w:noProof/>
          <w:color w:val="auto"/>
        </w:rPr>
        <w:t xml:space="preserve">33 person/hours on learning rules, workshops, stakeholder meetings (median value: 15 person/hours) out of 83 total </w:t>
      </w:r>
      <w:r w:rsidR="00B245A5" w:rsidRPr="000653A9">
        <w:rPr>
          <w:noProof/>
          <w:color w:val="auto"/>
        </w:rPr>
        <w:t>responses.</w:t>
      </w:r>
    </w:p>
    <w:p w14:paraId="74FFA8B1" w14:textId="54149844" w:rsidR="00CF7D70" w:rsidRPr="000653A9" w:rsidRDefault="00CF7D70" w:rsidP="00CD163F">
      <w:pPr>
        <w:pStyle w:val="ListParagraph"/>
        <w:numPr>
          <w:ilvl w:val="0"/>
          <w:numId w:val="23"/>
        </w:numPr>
        <w:rPr>
          <w:noProof/>
          <w:color w:val="auto"/>
        </w:rPr>
      </w:pPr>
      <w:r w:rsidRPr="000653A9">
        <w:rPr>
          <w:noProof/>
          <w:color w:val="auto"/>
        </w:rPr>
        <w:t xml:space="preserve">17 person/hours on demonstrating that all recommendations from energy audits under Article 8 of Directive 2012/27/EU have been implemented (median value: 6 person/hours) out of 76 total </w:t>
      </w:r>
      <w:r w:rsidR="00B245A5" w:rsidRPr="000653A9">
        <w:rPr>
          <w:noProof/>
          <w:color w:val="auto"/>
        </w:rPr>
        <w:t>responses.</w:t>
      </w:r>
    </w:p>
    <w:p w14:paraId="0EF7831E" w14:textId="6655D113" w:rsidR="00CF7D70" w:rsidRPr="000653A9" w:rsidRDefault="00CF7D70" w:rsidP="00CD163F">
      <w:pPr>
        <w:pStyle w:val="ListParagraph"/>
        <w:numPr>
          <w:ilvl w:val="0"/>
          <w:numId w:val="23"/>
        </w:numPr>
        <w:rPr>
          <w:noProof/>
          <w:color w:val="auto"/>
        </w:rPr>
      </w:pPr>
      <w:r w:rsidRPr="000653A9">
        <w:rPr>
          <w:noProof/>
          <w:color w:val="auto"/>
        </w:rPr>
        <w:t>19 person/hours on preparing and submitting a carbon neutrality plan out of 69 total responses.</w:t>
      </w:r>
    </w:p>
    <w:p w14:paraId="486DD044" w14:textId="73DE6795" w:rsidR="00CF7D70" w:rsidRPr="000653A9" w:rsidRDefault="00CF7D70" w:rsidP="00CF7D70">
      <w:pPr>
        <w:rPr>
          <w:noProof/>
          <w:color w:val="auto"/>
        </w:rPr>
      </w:pPr>
      <w:r w:rsidRPr="000653A9">
        <w:rPr>
          <w:noProof/>
          <w:color w:val="auto"/>
        </w:rPr>
        <w:t>Considering an average cost of labour across Member States of EUR 40/hour (based on Eurostat data on Labour cost for LCI by country and industry for 2024), the average administrative cost per tonne of CO</w:t>
      </w:r>
      <w:r w:rsidRPr="000653A9">
        <w:rPr>
          <w:noProof/>
          <w:color w:val="auto"/>
          <w:vertAlign w:val="subscript"/>
        </w:rPr>
        <w:t>2</w:t>
      </w:r>
      <w:r w:rsidRPr="000653A9">
        <w:rPr>
          <w:noProof/>
          <w:color w:val="auto"/>
        </w:rPr>
        <w:t xml:space="preserve"> is EUR 0.02, which represent a very small share (approximately 0.026%) of the carbon price (assumed to be EUR 64.74, which was the average price of a EUA in 2024</w:t>
      </w:r>
      <w:r w:rsidR="001341E3" w:rsidRPr="000653A9">
        <w:rPr>
          <w:noProof/>
          <w:color w:val="auto"/>
        </w:rPr>
        <w:t xml:space="preserve"> and is expected to be </w:t>
      </w:r>
      <w:r w:rsidR="00A76778" w:rsidRPr="000653A9">
        <w:rPr>
          <w:noProof/>
          <w:color w:val="auto"/>
        </w:rPr>
        <w:t>a conservative value</w:t>
      </w:r>
      <w:r w:rsidRPr="000653A9">
        <w:rPr>
          <w:noProof/>
          <w:color w:val="auto"/>
        </w:rPr>
        <w:t>).</w:t>
      </w:r>
    </w:p>
    <w:p w14:paraId="37DBADA6" w14:textId="5893A386" w:rsidR="00CF7D70" w:rsidRPr="000653A9" w:rsidRDefault="00376A96" w:rsidP="00CF7D70">
      <w:pPr>
        <w:rPr>
          <w:noProof/>
          <w:color w:val="auto"/>
        </w:rPr>
      </w:pPr>
      <w:r w:rsidRPr="000653A9">
        <w:rPr>
          <w:noProof/>
          <w:color w:val="auto"/>
        </w:rPr>
        <w:t>To</w:t>
      </w:r>
      <w:r w:rsidR="388B25B7" w:rsidRPr="000653A9">
        <w:rPr>
          <w:noProof/>
          <w:color w:val="auto"/>
        </w:rPr>
        <w:t xml:space="preserve"> estimate the administrative cost, it is necessary to then scale the administrative cost per tonne by projected ETS</w:t>
      </w:r>
      <w:r w:rsidR="57E12269" w:rsidRPr="000653A9">
        <w:rPr>
          <w:noProof/>
          <w:color w:val="auto"/>
        </w:rPr>
        <w:t xml:space="preserve"> industrial</w:t>
      </w:r>
      <w:r w:rsidR="388B25B7" w:rsidRPr="000653A9">
        <w:rPr>
          <w:noProof/>
          <w:color w:val="auto"/>
        </w:rPr>
        <w:t xml:space="preserve"> emissions in 2031 (i.e. around 400 Mt) and this results in an illustrative one-off administrative cost of around 8 M EURs.</w:t>
      </w:r>
      <w:r w:rsidR="37394F3A" w:rsidRPr="000653A9">
        <w:rPr>
          <w:noProof/>
          <w:color w:val="auto"/>
        </w:rPr>
        <w:t xml:space="preserve"> This is negligible compared to the estimated value of free allocation.</w:t>
      </w:r>
    </w:p>
    <w:p w14:paraId="01A19732" w14:textId="1998E07C" w:rsidR="00CF7D70" w:rsidRPr="000653A9" w:rsidRDefault="00CF7D70" w:rsidP="00CF7D70">
      <w:pPr>
        <w:rPr>
          <w:noProof/>
          <w:color w:val="auto"/>
        </w:rPr>
      </w:pPr>
      <w:r w:rsidRPr="000653A9">
        <w:rPr>
          <w:noProof/>
          <w:color w:val="auto"/>
        </w:rPr>
        <w:t xml:space="preserve">The stakeholder consultation revealed very strong views from industrial associations opposing the expansion of conditionality requirements for free allocation. </w:t>
      </w:r>
      <w:r w:rsidR="11C36EBB" w:rsidRPr="000653A9">
        <w:rPr>
          <w:noProof/>
          <w:color w:val="auto"/>
        </w:rPr>
        <w:t>In interviews and position papers, t</w:t>
      </w:r>
      <w:r w:rsidRPr="000653A9">
        <w:rPr>
          <w:noProof/>
          <w:color w:val="auto"/>
        </w:rPr>
        <w:t>he argument was consistently advanced by these stakeholders that the purpose of free allocation is to protect industry from carbon costs and that it is not an instrument to directly influence other objectives such as promoting investments in low carbon technologies. Whilst this may indeed be seen as complementary and necessary to reduce industry’s exposure to the carbon price over Phase V</w:t>
      </w:r>
      <w:r w:rsidR="00AA7343" w:rsidRPr="000653A9">
        <w:rPr>
          <w:noProof/>
          <w:color w:val="auto"/>
        </w:rPr>
        <w:t>,</w:t>
      </w:r>
      <w:r w:rsidRPr="000653A9">
        <w:rPr>
          <w:noProof/>
          <w:color w:val="auto"/>
        </w:rPr>
        <w:t xml:space="preserve"> it was nevertheless a matter of principle for some stakeholders that the inclusion of conditionality requirements is not consistent with the original purpose of free allocation provision. However, results from the </w:t>
      </w:r>
      <w:r w:rsidR="001967DD" w:rsidRPr="000653A9">
        <w:rPr>
          <w:noProof/>
          <w:color w:val="auto"/>
        </w:rPr>
        <w:t>OPC also</w:t>
      </w:r>
      <w:r w:rsidR="309F9134" w:rsidRPr="000653A9">
        <w:rPr>
          <w:noProof/>
          <w:color w:val="auto"/>
        </w:rPr>
        <w:t xml:space="preserve"> showed support for conditionality, mainly among companies and business associations from the energy sector and NGOs. Overall, </w:t>
      </w:r>
      <w:r w:rsidR="02A26E04" w:rsidRPr="000653A9">
        <w:rPr>
          <w:noProof/>
          <w:color w:val="auto"/>
        </w:rPr>
        <w:t>making free allocation conditional on taking steps towards carbon neutrality was the fourth most frequently indicated preference (</w:t>
      </w:r>
      <w:r w:rsidR="309F9134" w:rsidRPr="000653A9">
        <w:rPr>
          <w:noProof/>
          <w:color w:val="auto"/>
        </w:rPr>
        <w:t>13% of all responses</w:t>
      </w:r>
      <w:r w:rsidR="0113F5B3" w:rsidRPr="000653A9">
        <w:rPr>
          <w:noProof/>
          <w:color w:val="auto"/>
        </w:rPr>
        <w:t>)</w:t>
      </w:r>
      <w:r w:rsidR="309F9134" w:rsidRPr="000653A9">
        <w:rPr>
          <w:noProof/>
          <w:color w:val="auto"/>
        </w:rPr>
        <w:t xml:space="preserve"> to the question “on what basis should free allocation be provided beyond 2030 for sectors not covered by the CBAM” (multiple options could be selected)</w:t>
      </w:r>
      <w:r w:rsidRPr="000653A9">
        <w:rPr>
          <w:noProof/>
          <w:color w:val="auto"/>
        </w:rPr>
        <w:t>.</w:t>
      </w:r>
      <w:r w:rsidRPr="000653A9">
        <w:rPr>
          <w:rStyle w:val="FootnoteReference"/>
          <w:noProof/>
          <w:color w:val="auto"/>
        </w:rPr>
        <w:footnoteReference w:id="21"/>
      </w:r>
    </w:p>
    <w:p w14:paraId="2F31FD22" w14:textId="051D2AE9" w:rsidR="00CF7D70" w:rsidRPr="000653A9" w:rsidRDefault="00CF7D70">
      <w:pPr>
        <w:rPr>
          <w:noProof/>
          <w:color w:val="auto"/>
        </w:rPr>
      </w:pPr>
      <w:r w:rsidRPr="000653A9">
        <w:rPr>
          <w:noProof/>
          <w:color w:val="auto"/>
        </w:rPr>
        <w:t xml:space="preserve">Article 10a </w:t>
      </w:r>
      <w:r w:rsidR="00E7625D" w:rsidRPr="000653A9">
        <w:rPr>
          <w:noProof/>
          <w:color w:val="auto"/>
        </w:rPr>
        <w:t xml:space="preserve">of the ETS Directive </w:t>
      </w:r>
      <w:r w:rsidRPr="000653A9">
        <w:rPr>
          <w:noProof/>
          <w:color w:val="auto"/>
        </w:rPr>
        <w:t xml:space="preserve">specifies that the free allocation rules </w:t>
      </w:r>
      <w:r w:rsidR="671C8E3F" w:rsidRPr="000653A9">
        <w:rPr>
          <w:noProof/>
          <w:color w:val="auto"/>
        </w:rPr>
        <w:t>shall be based on</w:t>
      </w:r>
      <w:r w:rsidRPr="000653A9">
        <w:rPr>
          <w:noProof/>
          <w:color w:val="auto"/>
        </w:rPr>
        <w:t xml:space="preserve"> benchmarks</w:t>
      </w:r>
      <w:r w:rsidR="1D4A688C" w:rsidRPr="000653A9">
        <w:rPr>
          <w:noProof/>
          <w:color w:val="auto"/>
        </w:rPr>
        <w:t xml:space="preserve">, which account for the 10% most efficient installations, </w:t>
      </w:r>
      <w:r w:rsidR="00210828" w:rsidRPr="000653A9">
        <w:rPr>
          <w:noProof/>
          <w:color w:val="auto"/>
        </w:rPr>
        <w:t>to</w:t>
      </w:r>
      <w:r w:rsidRPr="000653A9">
        <w:rPr>
          <w:noProof/>
          <w:color w:val="auto"/>
        </w:rPr>
        <w:t xml:space="preserve"> provide incentives for reductions in greenhouse gas emissions and energy efficient techniques (by </w:t>
      </w:r>
      <w:r w:rsidR="00376A96" w:rsidRPr="000653A9">
        <w:rPr>
          <w:noProof/>
          <w:color w:val="auto"/>
        </w:rPr>
        <w:t>considering</w:t>
      </w:r>
      <w:r w:rsidRPr="000653A9">
        <w:rPr>
          <w:noProof/>
          <w:color w:val="auto"/>
        </w:rPr>
        <w:t xml:space="preserve"> inter alia the most efficient techniques, substitutes and alternative production processes). It also states that free allocation shall not provide incentives to increase emissions. In this spirit, the option of placing mitigation-related conditions on free allocation is retained in this impact assessment.</w:t>
      </w:r>
    </w:p>
    <w:p w14:paraId="2BC8BC06" w14:textId="77777777" w:rsidR="00CF7D70" w:rsidRPr="000653A9" w:rsidRDefault="00CF7D70" w:rsidP="00CF7D70">
      <w:pPr>
        <w:rPr>
          <w:noProof/>
          <w:color w:val="auto"/>
        </w:rPr>
      </w:pPr>
      <w:r w:rsidRPr="000653A9">
        <w:rPr>
          <w:noProof/>
          <w:color w:val="auto"/>
        </w:rPr>
        <w:t xml:space="preserve">In practical terms, industrial stakeholders commented frequently in both the OPC and interviews with industrial associations that any expansion of conditionality would add significant administrative burdens to ETS operators. Indeed, this view is consistent with the findings of the impact assessment that PO2 adds the highest additional administrative cost out of the policy options under consideration albeit the value is expected to be </w:t>
      </w:r>
      <w:r w:rsidR="00961CCE" w:rsidRPr="000653A9">
        <w:rPr>
          <w:noProof/>
          <w:color w:val="auto"/>
        </w:rPr>
        <w:t xml:space="preserve">very </w:t>
      </w:r>
      <w:r w:rsidRPr="000653A9">
        <w:rPr>
          <w:noProof/>
          <w:color w:val="auto"/>
        </w:rPr>
        <w:t>low in comparison to the EUA price.</w:t>
      </w:r>
    </w:p>
    <w:p w14:paraId="0D0103CB" w14:textId="49A491F6" w:rsidR="00CF7D70" w:rsidRPr="000653A9" w:rsidRDefault="00CF7D70" w:rsidP="00E34591">
      <w:pPr>
        <w:spacing w:after="240"/>
        <w:rPr>
          <w:noProof/>
          <w:color w:val="auto"/>
        </w:rPr>
      </w:pPr>
      <w:r w:rsidRPr="000653A9">
        <w:rPr>
          <w:noProof/>
          <w:color w:val="auto"/>
        </w:rPr>
        <w:t xml:space="preserve">Given that free allocation would be phased out for non-CBAM sectors by 2034 and the time schedule for the reduction in the volume of free allowances received by ETS operators would be based on a declining share of their total verified emissions, it is to be expected that CL3 would result in a reduction in the administrative burden of businesses as they would no longer have the cost of applying for free allocation beyond 2034 and in the preceding years the input required would come from existing obligations (i.e. provision of a baseline data report, monitoring methodology plan and verification plan). It is important to add that whilst indeed the administrative costs would be lower if CL3 was adopted, this would lead to much higher carbon costs.  </w:t>
      </w:r>
    </w:p>
    <w:p w14:paraId="3ED711F4" w14:textId="77777777" w:rsidR="00DC63F8" w:rsidRPr="000653A9" w:rsidRDefault="00DC63F8" w:rsidP="009539AB">
      <w:pPr>
        <w:pStyle w:val="Heading5COM"/>
        <w:outlineLvl w:val="5"/>
        <w:rPr>
          <w:noProof/>
        </w:rPr>
      </w:pPr>
      <w:bookmarkStart w:id="374" w:name="_Toc212049704"/>
      <w:bookmarkStart w:id="375" w:name="_Toc230857907"/>
      <w:bookmarkStart w:id="376" w:name="_Toc232751098"/>
      <w:r w:rsidRPr="000653A9">
        <w:rPr>
          <w:noProof/>
        </w:rPr>
        <w:t>Carbon leakage prevention measures for indirect emissions</w:t>
      </w:r>
      <w:bookmarkEnd w:id="374"/>
      <w:bookmarkEnd w:id="375"/>
      <w:bookmarkEnd w:id="376"/>
    </w:p>
    <w:p w14:paraId="2F730FEF" w14:textId="0334A2FC" w:rsidR="006331A7" w:rsidRPr="00BC0529" w:rsidRDefault="00101948" w:rsidP="005152D8">
      <w:pPr>
        <w:rPr>
          <w:noProof/>
        </w:rPr>
      </w:pPr>
      <w:r w:rsidRPr="00BC0529">
        <w:rPr>
          <w:noProof/>
        </w:rPr>
        <w:t>For ICC compensation, Option ICC1 would</w:t>
      </w:r>
      <w:r>
        <w:rPr>
          <w:noProof/>
        </w:rPr>
        <w:t xml:space="preserve"> </w:t>
      </w:r>
      <w:r w:rsidR="00FF48D2" w:rsidRPr="00BC0529">
        <w:rPr>
          <w:noProof/>
        </w:rPr>
        <w:t>not involve sign</w:t>
      </w:r>
      <w:r w:rsidR="002B26F4" w:rsidRPr="00BC0529">
        <w:rPr>
          <w:noProof/>
        </w:rPr>
        <w:t>ificant change to the administrative cost</w:t>
      </w:r>
      <w:r>
        <w:rPr>
          <w:noProof/>
        </w:rPr>
        <w:t xml:space="preserve"> </w:t>
      </w:r>
      <w:r w:rsidR="00B52D1B" w:rsidRPr="00BC0529">
        <w:rPr>
          <w:noProof/>
        </w:rPr>
        <w:t>for private sector.</w:t>
      </w:r>
      <w:r>
        <w:rPr>
          <w:noProof/>
        </w:rPr>
        <w:t xml:space="preserve"> </w:t>
      </w:r>
      <w:r w:rsidR="005152D8" w:rsidRPr="00BC0529">
        <w:rPr>
          <w:noProof/>
        </w:rPr>
        <w:t>In this option,</w:t>
      </w:r>
      <w:r>
        <w:rPr>
          <w:noProof/>
        </w:rPr>
        <w:t xml:space="preserve"> </w:t>
      </w:r>
      <w:r w:rsidRPr="00BC0529">
        <w:rPr>
          <w:noProof/>
        </w:rPr>
        <w:t>monitoring, reporting, verification and condition</w:t>
      </w:r>
      <w:r w:rsidR="0063787C" w:rsidRPr="00BC0529">
        <w:rPr>
          <w:noProof/>
        </w:rPr>
        <w:t>s for receiving support</w:t>
      </w:r>
      <w:r>
        <w:rPr>
          <w:noProof/>
        </w:rPr>
        <w:t xml:space="preserve"> </w:t>
      </w:r>
      <w:r w:rsidRPr="00BC0529">
        <w:rPr>
          <w:noProof/>
        </w:rPr>
        <w:t>are</w:t>
      </w:r>
      <w:r>
        <w:rPr>
          <w:noProof/>
        </w:rPr>
        <w:t xml:space="preserve"> </w:t>
      </w:r>
      <w:r w:rsidR="0063787C" w:rsidRPr="00BC0529">
        <w:rPr>
          <w:noProof/>
        </w:rPr>
        <w:t>elaborated</w:t>
      </w:r>
      <w:r>
        <w:rPr>
          <w:noProof/>
        </w:rPr>
        <w:t xml:space="preserve"> </w:t>
      </w:r>
      <w:r w:rsidR="00BC0529" w:rsidRPr="00BC0529">
        <w:rPr>
          <w:noProof/>
        </w:rPr>
        <w:t>in successive iterations of State aid guidelines</w:t>
      </w:r>
      <w:r w:rsidRPr="00BC0529">
        <w:rPr>
          <w:noProof/>
        </w:rPr>
        <w:t>.</w:t>
      </w:r>
      <w:r>
        <w:rPr>
          <w:noProof/>
        </w:rPr>
        <w:t xml:space="preserve"> </w:t>
      </w:r>
    </w:p>
    <w:p w14:paraId="4120AB80" w14:textId="6CA9BA1C" w:rsidR="00954253" w:rsidRPr="000653A9" w:rsidRDefault="00101948" w:rsidP="00954253">
      <w:pPr>
        <w:rPr>
          <w:noProof/>
          <w:color w:val="auto"/>
        </w:rPr>
      </w:pPr>
      <w:r w:rsidRPr="000653A9">
        <w:rPr>
          <w:noProof/>
        </w:rPr>
        <w:t xml:space="preserve">Option ICC2 would create an additional administrative burden in cases where an installation receives support both from national State aid and from a harmonised EU system. </w:t>
      </w:r>
      <w:r w:rsidR="00BE1C8A" w:rsidRPr="000653A9">
        <w:rPr>
          <w:noProof/>
          <w:color w:val="auto"/>
        </w:rPr>
        <w:t>ICC2</w:t>
      </w:r>
      <w:r w:rsidR="006C19B5" w:rsidRPr="000653A9">
        <w:rPr>
          <w:noProof/>
          <w:color w:val="auto"/>
        </w:rPr>
        <w:t xml:space="preserve"> may also</w:t>
      </w:r>
      <w:r w:rsidR="00BE1C8A" w:rsidRPr="000653A9">
        <w:rPr>
          <w:noProof/>
          <w:color w:val="auto"/>
        </w:rPr>
        <w:t xml:space="preserve"> </w:t>
      </w:r>
      <w:r w:rsidR="00CE68E5" w:rsidRPr="000653A9">
        <w:rPr>
          <w:noProof/>
          <w:color w:val="auto"/>
        </w:rPr>
        <w:t>cover more firms than ICC1 (installations in Member States that do not offer national State aid)</w:t>
      </w:r>
      <w:r w:rsidR="00B57FEC" w:rsidRPr="000653A9">
        <w:rPr>
          <w:noProof/>
          <w:color w:val="auto"/>
        </w:rPr>
        <w:t>, leading to administrative costs for these firms</w:t>
      </w:r>
      <w:r w:rsidR="00383A52" w:rsidRPr="000653A9">
        <w:rPr>
          <w:noProof/>
          <w:color w:val="auto"/>
        </w:rPr>
        <w:t xml:space="preserve"> (but also benefits in the form of ICC compensation)</w:t>
      </w:r>
      <w:r w:rsidR="00954253" w:rsidRPr="000653A9">
        <w:rPr>
          <w:noProof/>
          <w:color w:val="auto"/>
        </w:rPr>
        <w:t>.</w:t>
      </w:r>
      <w:r w:rsidR="000416F4" w:rsidRPr="000653A9">
        <w:rPr>
          <w:noProof/>
          <w:color w:val="auto"/>
        </w:rPr>
        <w:t xml:space="preserve"> </w:t>
      </w:r>
    </w:p>
    <w:p w14:paraId="2C8D938D" w14:textId="0342DDBB" w:rsidR="00DC63F8" w:rsidRPr="000653A9" w:rsidRDefault="00DC63F8" w:rsidP="009539AB">
      <w:pPr>
        <w:pStyle w:val="Heading4COM"/>
        <w:outlineLvl w:val="4"/>
        <w:rPr>
          <w:noProof/>
        </w:rPr>
      </w:pPr>
      <w:bookmarkStart w:id="377" w:name="_Toc212049705"/>
      <w:bookmarkStart w:id="378" w:name="_Toc230857908"/>
      <w:bookmarkStart w:id="379" w:name="_Toc232751099"/>
      <w:r w:rsidRPr="000653A9">
        <w:rPr>
          <w:noProof/>
        </w:rPr>
        <w:t>SMEs</w:t>
      </w:r>
      <w:bookmarkEnd w:id="377"/>
      <w:bookmarkEnd w:id="378"/>
      <w:bookmarkEnd w:id="379"/>
    </w:p>
    <w:p w14:paraId="4E624DE8" w14:textId="77777777" w:rsidR="00DC63F8" w:rsidRPr="000653A9" w:rsidRDefault="00DC63F8" w:rsidP="009539AB">
      <w:pPr>
        <w:pStyle w:val="Heading5COM"/>
        <w:outlineLvl w:val="5"/>
        <w:rPr>
          <w:noProof/>
        </w:rPr>
      </w:pPr>
      <w:bookmarkStart w:id="380" w:name="_Toc212049706"/>
      <w:bookmarkStart w:id="381" w:name="_Toc230857909"/>
      <w:bookmarkStart w:id="382" w:name="_Toc232751100"/>
      <w:r w:rsidRPr="000653A9">
        <w:rPr>
          <w:noProof/>
        </w:rPr>
        <w:t>Carbon leakage prevention measures for direct emissions</w:t>
      </w:r>
      <w:bookmarkEnd w:id="380"/>
      <w:bookmarkEnd w:id="381"/>
      <w:bookmarkEnd w:id="382"/>
    </w:p>
    <w:p w14:paraId="209A31BE" w14:textId="77777777" w:rsidR="0062789B" w:rsidRPr="000653A9" w:rsidRDefault="0062789B" w:rsidP="0062789B">
      <w:pPr>
        <w:rPr>
          <w:noProof/>
          <w:color w:val="auto"/>
        </w:rPr>
      </w:pPr>
      <w:r w:rsidRPr="000653A9">
        <w:rPr>
          <w:noProof/>
          <w:color w:val="auto"/>
        </w:rPr>
        <w:t>The SME test was applied to identify and assess the impact of the policy measures (related to direct emissions) on SMEs. In accordance with the better regulation guidelines, the SME test comprises the following components:</w:t>
      </w:r>
    </w:p>
    <w:p w14:paraId="56731BD1" w14:textId="77777777" w:rsidR="0062789B" w:rsidRPr="000653A9" w:rsidRDefault="0062789B" w:rsidP="00CD163F">
      <w:pPr>
        <w:pStyle w:val="ListParagraph"/>
        <w:numPr>
          <w:ilvl w:val="0"/>
          <w:numId w:val="25"/>
        </w:numPr>
        <w:ind w:left="714" w:hanging="357"/>
        <w:rPr>
          <w:noProof/>
          <w:color w:val="auto"/>
        </w:rPr>
      </w:pPr>
      <w:r w:rsidRPr="000653A9">
        <w:rPr>
          <w:noProof/>
          <w:color w:val="auto"/>
        </w:rPr>
        <w:t>Identification of affected businesses</w:t>
      </w:r>
    </w:p>
    <w:p w14:paraId="18FEF9F1" w14:textId="77777777" w:rsidR="0062789B" w:rsidRPr="000653A9" w:rsidRDefault="0062789B" w:rsidP="00CD163F">
      <w:pPr>
        <w:pStyle w:val="ListParagraph"/>
        <w:numPr>
          <w:ilvl w:val="0"/>
          <w:numId w:val="25"/>
        </w:numPr>
        <w:ind w:left="714" w:hanging="357"/>
        <w:rPr>
          <w:noProof/>
          <w:color w:val="auto"/>
        </w:rPr>
      </w:pPr>
      <w:r w:rsidRPr="000653A9">
        <w:rPr>
          <w:noProof/>
          <w:color w:val="auto"/>
        </w:rPr>
        <w:t>Consultation of SME stakeholders</w:t>
      </w:r>
    </w:p>
    <w:p w14:paraId="08C7644D" w14:textId="77777777" w:rsidR="0062789B" w:rsidRPr="000653A9" w:rsidRDefault="0062789B" w:rsidP="00CD163F">
      <w:pPr>
        <w:pStyle w:val="ListParagraph"/>
        <w:numPr>
          <w:ilvl w:val="0"/>
          <w:numId w:val="25"/>
        </w:numPr>
        <w:ind w:left="714" w:hanging="357"/>
        <w:rPr>
          <w:noProof/>
          <w:color w:val="auto"/>
        </w:rPr>
      </w:pPr>
      <w:r w:rsidRPr="000653A9">
        <w:rPr>
          <w:noProof/>
          <w:color w:val="auto"/>
        </w:rPr>
        <w:t>Assessment of the impact on SMEs</w:t>
      </w:r>
    </w:p>
    <w:p w14:paraId="645F97F7" w14:textId="77777777" w:rsidR="0062789B" w:rsidRPr="000653A9" w:rsidRDefault="0062789B" w:rsidP="00CD163F">
      <w:pPr>
        <w:pStyle w:val="ListParagraph"/>
        <w:numPr>
          <w:ilvl w:val="0"/>
          <w:numId w:val="25"/>
        </w:numPr>
        <w:spacing w:after="120"/>
        <w:ind w:left="714" w:hanging="357"/>
        <w:rPr>
          <w:noProof/>
          <w:color w:val="auto"/>
        </w:rPr>
      </w:pPr>
      <w:r w:rsidRPr="000653A9">
        <w:rPr>
          <w:noProof/>
          <w:color w:val="auto"/>
        </w:rPr>
        <w:t>Minimising negative impacts on SMEs</w:t>
      </w:r>
    </w:p>
    <w:p w14:paraId="4255CF33" w14:textId="77777777" w:rsidR="0062789B" w:rsidRPr="000653A9" w:rsidRDefault="0062789B" w:rsidP="0062789B">
      <w:pPr>
        <w:rPr>
          <w:noProof/>
          <w:color w:val="auto"/>
        </w:rPr>
      </w:pPr>
      <w:r w:rsidRPr="000653A9">
        <w:rPr>
          <w:noProof/>
          <w:color w:val="auto"/>
        </w:rPr>
        <w:t>In a first step, the businesses most likely to be affected by the policy measures were identified by using the preliminary NIMs dataset to categorise sub-installation information for selected non-CBAM sectors into different tCO</w:t>
      </w:r>
      <w:r w:rsidRPr="000653A9">
        <w:rPr>
          <w:noProof/>
          <w:color w:val="auto"/>
          <w:vertAlign w:val="subscript"/>
        </w:rPr>
        <w:t>2</w:t>
      </w:r>
      <w:r w:rsidRPr="000653A9">
        <w:rPr>
          <w:noProof/>
          <w:color w:val="auto"/>
        </w:rPr>
        <w:t xml:space="preserve"> emission ranges. However, SMEs cannot be directly identified from the ETS data available and therefore proxy measures based on low emissions or low power consumption are adopted for the SME test.</w:t>
      </w:r>
    </w:p>
    <w:p w14:paraId="70FAA3A7" w14:textId="6A1ECD1B" w:rsidR="0062789B" w:rsidRPr="000653A9" w:rsidRDefault="0062789B" w:rsidP="0062789B">
      <w:pPr>
        <w:rPr>
          <w:noProof/>
          <w:color w:val="auto"/>
        </w:rPr>
      </w:pPr>
      <w:r w:rsidRPr="000653A9">
        <w:rPr>
          <w:noProof/>
          <w:color w:val="auto"/>
        </w:rPr>
        <w:t xml:space="preserve">For the non-CBAM sectors selected shown in </w:t>
      </w:r>
      <w:r w:rsidR="00DB5EC5">
        <w:rPr>
          <w:noProof/>
          <w:color w:val="auto"/>
        </w:rPr>
        <w:t>Figure 10</w:t>
      </w:r>
      <w:r w:rsidRPr="000653A9">
        <w:rPr>
          <w:noProof/>
          <w:color w:val="auto"/>
        </w:rPr>
        <w:t>, the lime and refined oil sectors have the lowest shares of their total sub-installations that emit under 5,000 tCO</w:t>
      </w:r>
      <w:r w:rsidRPr="000653A9">
        <w:rPr>
          <w:noProof/>
          <w:color w:val="auto"/>
          <w:vertAlign w:val="subscript"/>
        </w:rPr>
        <w:t>2</w:t>
      </w:r>
      <w:r w:rsidRPr="000653A9">
        <w:rPr>
          <w:noProof/>
          <w:color w:val="auto"/>
        </w:rPr>
        <w:t xml:space="preserve"> (under 20% and around 20% respectively) while the ceramics and paper and paperboard sectors have the highest shares accounting for over 60% and 50% of their total sub-installations respectively. The chemical sectors both organic and inorganic are within this range with a 34% and 36% share of their total sub-installations that emit under 5,000 tCO</w:t>
      </w:r>
      <w:r w:rsidRPr="000653A9">
        <w:rPr>
          <w:noProof/>
          <w:color w:val="auto"/>
          <w:vertAlign w:val="subscript"/>
        </w:rPr>
        <w:t>2</w:t>
      </w:r>
      <w:r w:rsidRPr="000653A9">
        <w:rPr>
          <w:noProof/>
          <w:color w:val="auto"/>
        </w:rPr>
        <w:t xml:space="preserve"> respectively. </w:t>
      </w:r>
    </w:p>
    <w:p w14:paraId="5A652C7C" w14:textId="77777777" w:rsidR="0062789B" w:rsidRPr="000653A9" w:rsidRDefault="0062789B" w:rsidP="0062789B">
      <w:pPr>
        <w:rPr>
          <w:noProof/>
          <w:color w:val="auto"/>
        </w:rPr>
      </w:pPr>
      <w:r w:rsidRPr="000653A9">
        <w:rPr>
          <w:noProof/>
          <w:color w:val="auto"/>
        </w:rPr>
        <w:t>The distribution of emissions across the different categories highlights some further key insights:</w:t>
      </w:r>
    </w:p>
    <w:p w14:paraId="766883C2" w14:textId="58ED51DC" w:rsidR="0062789B" w:rsidRPr="000653A9" w:rsidRDefault="0062789B" w:rsidP="00CD163F">
      <w:pPr>
        <w:pStyle w:val="ListParagraph"/>
        <w:numPr>
          <w:ilvl w:val="0"/>
          <w:numId w:val="26"/>
        </w:numPr>
        <w:rPr>
          <w:noProof/>
          <w:color w:val="auto"/>
        </w:rPr>
      </w:pPr>
      <w:r w:rsidRPr="000653A9">
        <w:rPr>
          <w:noProof/>
          <w:color w:val="auto"/>
        </w:rPr>
        <w:t>Around 70% of the refined oil sector’s average 2021-23 emissions were generated by around 20% of their total number of sub-installations that emitted CO</w:t>
      </w:r>
      <w:r w:rsidRPr="000653A9">
        <w:rPr>
          <w:noProof/>
          <w:color w:val="auto"/>
          <w:vertAlign w:val="subscript"/>
        </w:rPr>
        <w:t>2</w:t>
      </w:r>
      <w:r w:rsidRPr="000653A9">
        <w:rPr>
          <w:noProof/>
          <w:color w:val="auto"/>
        </w:rPr>
        <w:t xml:space="preserve"> above 1,000,000t.</w:t>
      </w:r>
    </w:p>
    <w:p w14:paraId="2293AD34" w14:textId="236A3B51" w:rsidR="0062789B" w:rsidRPr="000653A9" w:rsidRDefault="0062789B" w:rsidP="00CD163F">
      <w:pPr>
        <w:pStyle w:val="ListParagraph"/>
        <w:numPr>
          <w:ilvl w:val="0"/>
          <w:numId w:val="26"/>
        </w:numPr>
        <w:rPr>
          <w:noProof/>
          <w:color w:val="auto"/>
        </w:rPr>
      </w:pPr>
      <w:r w:rsidRPr="000653A9">
        <w:rPr>
          <w:noProof/>
          <w:color w:val="auto"/>
        </w:rPr>
        <w:t>Around 77% of the lime sector’s average 2021-23 emissions were generated by around 32% of their total number of sub-installations that emitted CO</w:t>
      </w:r>
      <w:r w:rsidRPr="000653A9">
        <w:rPr>
          <w:noProof/>
          <w:color w:val="auto"/>
          <w:vertAlign w:val="subscript"/>
        </w:rPr>
        <w:t>2</w:t>
      </w:r>
      <w:r w:rsidRPr="000653A9">
        <w:rPr>
          <w:noProof/>
          <w:color w:val="auto"/>
        </w:rPr>
        <w:t xml:space="preserve"> above 1,00,000t. </w:t>
      </w:r>
    </w:p>
    <w:p w14:paraId="166863F5" w14:textId="77777777" w:rsidR="0062789B" w:rsidRPr="000653A9" w:rsidRDefault="0062789B" w:rsidP="00CD163F">
      <w:pPr>
        <w:pStyle w:val="ListParagraph"/>
        <w:numPr>
          <w:ilvl w:val="0"/>
          <w:numId w:val="26"/>
        </w:numPr>
        <w:rPr>
          <w:noProof/>
          <w:color w:val="auto"/>
        </w:rPr>
      </w:pPr>
      <w:r w:rsidRPr="000653A9">
        <w:rPr>
          <w:noProof/>
          <w:color w:val="auto"/>
        </w:rPr>
        <w:t>Both inorganic and organic chemical sectors have a more even distribution of emission categories that contribute to their total emissions but still around 61% and 52% respectively of their average 2021-23 emissions were generated by around 7% and 5% respectively of their total number of sub-installations that emitted CO</w:t>
      </w:r>
      <w:r w:rsidRPr="000653A9">
        <w:rPr>
          <w:noProof/>
          <w:color w:val="auto"/>
          <w:vertAlign w:val="subscript"/>
        </w:rPr>
        <w:t>2</w:t>
      </w:r>
      <w:r w:rsidRPr="000653A9">
        <w:rPr>
          <w:noProof/>
          <w:color w:val="auto"/>
        </w:rPr>
        <w:t xml:space="preserve"> above 250,000 t.</w:t>
      </w:r>
    </w:p>
    <w:p w14:paraId="3DCF6D18" w14:textId="3D725676" w:rsidR="0062789B" w:rsidRPr="000653A9" w:rsidRDefault="0062789B" w:rsidP="00CD163F">
      <w:pPr>
        <w:pStyle w:val="ListParagraph"/>
        <w:numPr>
          <w:ilvl w:val="0"/>
          <w:numId w:val="26"/>
        </w:numPr>
        <w:rPr>
          <w:noProof/>
          <w:color w:val="auto"/>
        </w:rPr>
      </w:pPr>
      <w:r w:rsidRPr="000653A9">
        <w:rPr>
          <w:noProof/>
          <w:color w:val="auto"/>
        </w:rPr>
        <w:t>Around 86% of the paper and paperboard sector’s average 2021-23 emissions were generated by around 46% of their total number of sub-installations that emitted CO</w:t>
      </w:r>
      <w:r w:rsidRPr="000653A9">
        <w:rPr>
          <w:noProof/>
          <w:color w:val="auto"/>
          <w:vertAlign w:val="subscript"/>
        </w:rPr>
        <w:t>2</w:t>
      </w:r>
      <w:r w:rsidRPr="000653A9">
        <w:rPr>
          <w:noProof/>
          <w:color w:val="auto"/>
        </w:rPr>
        <w:t xml:space="preserve"> below 100,000t. </w:t>
      </w:r>
    </w:p>
    <w:p w14:paraId="5999094F" w14:textId="666BC402" w:rsidR="0062789B" w:rsidRPr="000653A9" w:rsidRDefault="0062789B" w:rsidP="00CD163F">
      <w:pPr>
        <w:pStyle w:val="ListParagraph"/>
        <w:numPr>
          <w:ilvl w:val="0"/>
          <w:numId w:val="26"/>
        </w:numPr>
        <w:rPr>
          <w:noProof/>
          <w:color w:val="auto"/>
        </w:rPr>
      </w:pPr>
      <w:r w:rsidRPr="000653A9">
        <w:rPr>
          <w:noProof/>
          <w:color w:val="auto"/>
        </w:rPr>
        <w:t>Around 81% of the ceramic sector’s average 2021-23 emissions were generated by around 36% of their total number of sub-installations that emitted CO</w:t>
      </w:r>
      <w:r w:rsidRPr="000653A9">
        <w:rPr>
          <w:noProof/>
          <w:color w:val="auto"/>
          <w:vertAlign w:val="subscript"/>
        </w:rPr>
        <w:t>2</w:t>
      </w:r>
      <w:r w:rsidRPr="000653A9">
        <w:rPr>
          <w:noProof/>
          <w:color w:val="auto"/>
        </w:rPr>
        <w:t xml:space="preserve"> below 50,000t. </w:t>
      </w:r>
    </w:p>
    <w:p w14:paraId="5F070280" w14:textId="77777777" w:rsidR="0062789B" w:rsidRPr="000653A9" w:rsidRDefault="0062789B" w:rsidP="0062789B">
      <w:pPr>
        <w:rPr>
          <w:noProof/>
          <w:color w:val="auto"/>
        </w:rPr>
      </w:pPr>
      <w:r w:rsidRPr="000653A9">
        <w:rPr>
          <w:noProof/>
          <w:color w:val="auto"/>
        </w:rPr>
        <w:t xml:space="preserve">The analysis of the preliminary NIMs dataset confirms that SMEs are likely to be impacted by the policy measures to phase out free allocation but that the impact on SMEs is likely to vary by non-CBAM sector. </w:t>
      </w:r>
    </w:p>
    <w:p w14:paraId="2AF7CA6F" w14:textId="2F5805AC" w:rsidR="0062789B" w:rsidRPr="000653A9" w:rsidRDefault="0062789B" w:rsidP="0062789B">
      <w:pPr>
        <w:spacing w:after="240"/>
        <w:rPr>
          <w:noProof/>
          <w:color w:val="auto"/>
        </w:rPr>
      </w:pPr>
      <w:r w:rsidRPr="000653A9">
        <w:rPr>
          <w:noProof/>
          <w:color w:val="auto"/>
        </w:rPr>
        <w:t xml:space="preserve">SME stakeholders were represented by their sector associations in the stakeholder interviews as well as having the opportunity to submit their views within the OPC itself.  In terms of the impact of the policy measures on SMEs within the non-CBAM sectors, the consultation exercise collected evidence that the concerns raised (i.e. increased direct carbon costs and a loss of international competitiveness) are very similar in nature to larger emitters but that the magnitude of the impact may be greater. It is to be expected that CL1 will have less of a negative impact on SMEs than CL2 or CL3 given that the non-CBAM sectors receive more free allowances under the current approach without </w:t>
      </w:r>
      <w:r w:rsidR="00521CED" w:rsidRPr="000653A9">
        <w:rPr>
          <w:noProof/>
          <w:color w:val="auto"/>
        </w:rPr>
        <w:t>imposing</w:t>
      </w:r>
      <w:r w:rsidRPr="000653A9">
        <w:rPr>
          <w:noProof/>
          <w:color w:val="auto"/>
        </w:rPr>
        <w:t xml:space="preserve"> additional requirements under CL2 to comply with conditionalities or receiving less allowances under the more rapid phase out of free allocation envisaged under CL3 to align with CBAM sectors. Indeed, interviews with industrial stakeholders confirmed that the introduction of further conditionalities as envisaged in CL2 would impose </w:t>
      </w:r>
      <w:r w:rsidR="00D64CE0" w:rsidRPr="000653A9">
        <w:rPr>
          <w:noProof/>
          <w:color w:val="auto"/>
        </w:rPr>
        <w:t xml:space="preserve">some </w:t>
      </w:r>
      <w:r w:rsidRPr="000653A9">
        <w:rPr>
          <w:noProof/>
          <w:color w:val="auto"/>
        </w:rPr>
        <w:t>additional administrative costs on operators and that these would impact SMEs</w:t>
      </w:r>
      <w:r w:rsidR="00311AFF" w:rsidRPr="000653A9">
        <w:rPr>
          <w:noProof/>
          <w:color w:val="auto"/>
        </w:rPr>
        <w:t xml:space="preserve"> more</w:t>
      </w:r>
      <w:r w:rsidRPr="000653A9">
        <w:rPr>
          <w:noProof/>
          <w:color w:val="auto"/>
        </w:rPr>
        <w:t>. Given the strong insistence from industrial sectors for the continuation of free allocation their view that measures to more rapidly phase out free allocation as under CL3 would increase the risk of carbon leakage and that this risk would be greater for SMEs.</w:t>
      </w:r>
    </w:p>
    <w:p w14:paraId="34740A60" w14:textId="5F2CA8BF" w:rsidR="0062789B" w:rsidRPr="000653A9" w:rsidRDefault="0062789B" w:rsidP="00C92FA9">
      <w:pPr>
        <w:pStyle w:val="Figuretitle"/>
        <w:rPr>
          <w:noProof/>
        </w:rPr>
      </w:pPr>
      <w:bookmarkStart w:id="383" w:name="_Toc224659144"/>
      <w:r w:rsidRPr="000653A9">
        <w:rPr>
          <w:noProof/>
        </w:rPr>
        <w:t>Share of sub-installations and emissions (average 2021-23) by category size in tCO2 for selected non-CBAM sectors</w:t>
      </w:r>
      <w:bookmarkEnd w:id="383"/>
    </w:p>
    <w:p w14:paraId="462A7F55" w14:textId="29EFD1E3" w:rsidR="00326E13" w:rsidRPr="000653A9" w:rsidRDefault="00326E13" w:rsidP="00BD01EE">
      <w:pPr>
        <w:jc w:val="center"/>
        <w:rPr>
          <w:noProof/>
          <w:color w:val="auto"/>
        </w:rPr>
      </w:pPr>
      <w:r w:rsidRPr="000653A9">
        <w:rPr>
          <w:noProof/>
          <w:color w:val="auto"/>
          <w:lang w:eastAsia="en-GB"/>
        </w:rPr>
        <w:drawing>
          <wp:inline distT="0" distB="0" distL="0" distR="0" wp14:anchorId="32B48AF0" wp14:editId="45E285E7">
            <wp:extent cx="5728358" cy="3743854"/>
            <wp:effectExtent l="0" t="0" r="5715" b="9525"/>
            <wp:docPr id="1583731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84235" cy="3780373"/>
                    </a:xfrm>
                    <a:prstGeom prst="rect">
                      <a:avLst/>
                    </a:prstGeom>
                    <a:noFill/>
                  </pic:spPr>
                </pic:pic>
              </a:graphicData>
            </a:graphic>
          </wp:inline>
        </w:drawing>
      </w:r>
    </w:p>
    <w:p w14:paraId="4FDA3672" w14:textId="47D4C906" w:rsidR="0006475C" w:rsidRPr="000653A9" w:rsidRDefault="0062789B" w:rsidP="0062789B">
      <w:pPr>
        <w:rPr>
          <w:i/>
          <w:iCs/>
          <w:noProof/>
          <w:color w:val="auto"/>
          <w:sz w:val="20"/>
          <w:szCs w:val="20"/>
        </w:rPr>
      </w:pPr>
      <w:r w:rsidRPr="000653A9">
        <w:rPr>
          <w:i/>
          <w:iCs/>
          <w:noProof/>
          <w:color w:val="auto"/>
          <w:sz w:val="20"/>
          <w:szCs w:val="20"/>
        </w:rPr>
        <w:t>Source: Own calculation based upon preliminary NIMs data for 2019-23</w:t>
      </w:r>
    </w:p>
    <w:p w14:paraId="319E7C01" w14:textId="77777777" w:rsidR="00F81849" w:rsidRDefault="00F81849">
      <w:pPr>
        <w:spacing w:before="0" w:line="259" w:lineRule="auto"/>
        <w:rPr>
          <w:rFonts w:eastAsia="Calibri"/>
          <w:i/>
          <w:noProof/>
          <w:color w:val="auto"/>
          <w:sz w:val="22"/>
        </w:rPr>
      </w:pPr>
      <w:bookmarkStart w:id="384" w:name="_Toc224659145"/>
      <w:r>
        <w:rPr>
          <w:noProof/>
        </w:rPr>
        <w:br w:type="page"/>
      </w:r>
    </w:p>
    <w:p w14:paraId="0B737853" w14:textId="557982DF" w:rsidR="00326E13" w:rsidRPr="000653A9" w:rsidRDefault="00326E13" w:rsidP="00C92FA9">
      <w:pPr>
        <w:pStyle w:val="Figuretitle"/>
        <w:rPr>
          <w:noProof/>
        </w:rPr>
      </w:pPr>
      <w:r w:rsidRPr="000653A9">
        <w:rPr>
          <w:noProof/>
        </w:rPr>
        <w:t>Share of sub-installations and emissions (average 2021-23) by category size in tCO2 for selected CBAM sectors</w:t>
      </w:r>
      <w:bookmarkEnd w:id="384"/>
    </w:p>
    <w:p w14:paraId="01342A87" w14:textId="7B1292AA" w:rsidR="008F00C6" w:rsidRPr="000653A9" w:rsidRDefault="008F00C6" w:rsidP="00376A96">
      <w:pPr>
        <w:jc w:val="center"/>
        <w:rPr>
          <w:noProof/>
          <w:color w:val="auto"/>
        </w:rPr>
      </w:pPr>
      <w:r w:rsidRPr="000653A9">
        <w:rPr>
          <w:noProof/>
          <w:color w:val="auto"/>
          <w:lang w:eastAsia="en-GB"/>
        </w:rPr>
        <w:drawing>
          <wp:inline distT="0" distB="0" distL="0" distR="0" wp14:anchorId="0B402A85" wp14:editId="6728417A">
            <wp:extent cx="5669251" cy="3705225"/>
            <wp:effectExtent l="0" t="0" r="8255" b="0"/>
            <wp:docPr id="991866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43141" cy="3753517"/>
                    </a:xfrm>
                    <a:prstGeom prst="rect">
                      <a:avLst/>
                    </a:prstGeom>
                    <a:noFill/>
                  </pic:spPr>
                </pic:pic>
              </a:graphicData>
            </a:graphic>
          </wp:inline>
        </w:drawing>
      </w:r>
    </w:p>
    <w:p w14:paraId="28E71D75" w14:textId="57054BA7" w:rsidR="00326E13" w:rsidRPr="000653A9" w:rsidRDefault="00326E13" w:rsidP="00326E13">
      <w:pPr>
        <w:rPr>
          <w:i/>
          <w:iCs/>
          <w:noProof/>
          <w:color w:val="auto"/>
          <w:sz w:val="20"/>
          <w:szCs w:val="20"/>
        </w:rPr>
      </w:pPr>
      <w:r w:rsidRPr="000653A9">
        <w:rPr>
          <w:i/>
          <w:iCs/>
          <w:noProof/>
          <w:color w:val="auto"/>
          <w:sz w:val="20"/>
          <w:szCs w:val="20"/>
        </w:rPr>
        <w:t>Source: Own calculation based upon preliminary NIMs data for 2019-23</w:t>
      </w:r>
    </w:p>
    <w:p w14:paraId="4E08B472" w14:textId="700747EE" w:rsidR="0062789B" w:rsidRPr="000653A9" w:rsidRDefault="00210828" w:rsidP="0062789B">
      <w:pPr>
        <w:spacing w:before="240"/>
        <w:rPr>
          <w:noProof/>
          <w:color w:val="auto"/>
        </w:rPr>
      </w:pPr>
      <w:r w:rsidRPr="000653A9">
        <w:rPr>
          <w:noProof/>
          <w:color w:val="auto"/>
        </w:rPr>
        <w:t>To</w:t>
      </w:r>
      <w:r w:rsidR="0062789B" w:rsidRPr="000653A9">
        <w:rPr>
          <w:noProof/>
          <w:color w:val="auto"/>
        </w:rPr>
        <w:t xml:space="preserve"> minimise the impact of the policy measures on SMEs</w:t>
      </w:r>
      <w:r w:rsidR="00D576BB" w:rsidRPr="000653A9">
        <w:rPr>
          <w:noProof/>
          <w:color w:val="auto"/>
        </w:rPr>
        <w:t>,</w:t>
      </w:r>
      <w:r w:rsidR="0062789B" w:rsidRPr="000653A9">
        <w:rPr>
          <w:noProof/>
          <w:color w:val="auto"/>
        </w:rPr>
        <w:t xml:space="preserve"> it was frequently advocated by industrial stakeholders to extend the opt-out eligibility for small emitters</w:t>
      </w:r>
      <w:r w:rsidR="00193B60" w:rsidRPr="000653A9">
        <w:rPr>
          <w:noProof/>
          <w:color w:val="auto"/>
        </w:rPr>
        <w:t>,</w:t>
      </w:r>
      <w:r w:rsidR="00287E35" w:rsidRPr="000653A9">
        <w:rPr>
          <w:noProof/>
          <w:color w:val="auto"/>
        </w:rPr>
        <w:t xml:space="preserve"> subject to </w:t>
      </w:r>
      <w:r w:rsidR="000F0441" w:rsidRPr="000653A9">
        <w:rPr>
          <w:noProof/>
          <w:color w:val="auto"/>
        </w:rPr>
        <w:t xml:space="preserve">national measures that will achieve an </w:t>
      </w:r>
      <w:r w:rsidR="00287E35" w:rsidRPr="000653A9">
        <w:rPr>
          <w:noProof/>
          <w:color w:val="auto"/>
        </w:rPr>
        <w:t xml:space="preserve">equivalent </w:t>
      </w:r>
      <w:r w:rsidR="000F0441" w:rsidRPr="000653A9">
        <w:rPr>
          <w:noProof/>
          <w:color w:val="auto"/>
        </w:rPr>
        <w:t>contribution</w:t>
      </w:r>
      <w:r w:rsidR="00193B60" w:rsidRPr="000653A9">
        <w:rPr>
          <w:noProof/>
          <w:color w:val="auto"/>
        </w:rPr>
        <w:t xml:space="preserve"> to emission reductions,</w:t>
      </w:r>
      <w:r w:rsidR="0062789B" w:rsidRPr="000653A9">
        <w:rPr>
          <w:noProof/>
          <w:color w:val="auto"/>
        </w:rPr>
        <w:t xml:space="preserve"> under Article 27 of the ETS Directive. An increase in th</w:t>
      </w:r>
      <w:r w:rsidR="00AE0B03" w:rsidRPr="000653A9">
        <w:rPr>
          <w:noProof/>
          <w:color w:val="auto"/>
        </w:rPr>
        <w:t>i</w:t>
      </w:r>
      <w:r w:rsidR="00287E35" w:rsidRPr="000653A9">
        <w:rPr>
          <w:noProof/>
          <w:color w:val="auto"/>
        </w:rPr>
        <w:t>s</w:t>
      </w:r>
      <w:r w:rsidR="0062789B" w:rsidRPr="000653A9">
        <w:rPr>
          <w:noProof/>
          <w:color w:val="auto"/>
        </w:rPr>
        <w:t xml:space="preserve"> threshold from 25,000 tCO</w:t>
      </w:r>
      <w:r w:rsidR="0062789B" w:rsidRPr="000653A9">
        <w:rPr>
          <w:noProof/>
          <w:color w:val="auto"/>
          <w:vertAlign w:val="subscript"/>
        </w:rPr>
        <w:t>2</w:t>
      </w:r>
      <w:r w:rsidR="0062789B" w:rsidRPr="000653A9">
        <w:rPr>
          <w:noProof/>
          <w:color w:val="auto"/>
        </w:rPr>
        <w:t>/year to 50,000 tCO</w:t>
      </w:r>
      <w:r w:rsidR="0062789B" w:rsidRPr="000653A9">
        <w:rPr>
          <w:noProof/>
          <w:color w:val="auto"/>
          <w:vertAlign w:val="subscript"/>
        </w:rPr>
        <w:t>2</w:t>
      </w:r>
      <w:r w:rsidR="0062789B" w:rsidRPr="000653A9">
        <w:rPr>
          <w:noProof/>
          <w:color w:val="auto"/>
        </w:rPr>
        <w:t xml:space="preserve"> </w:t>
      </w:r>
      <w:r w:rsidR="00287E35" w:rsidRPr="000653A9">
        <w:rPr>
          <w:noProof/>
          <w:color w:val="auto"/>
        </w:rPr>
        <w:t xml:space="preserve">per </w:t>
      </w:r>
      <w:r w:rsidR="0062789B" w:rsidRPr="000653A9">
        <w:rPr>
          <w:noProof/>
          <w:color w:val="auto"/>
        </w:rPr>
        <w:t>year was often referred to in the inputs provided under both the OPC and during subsequent interviews with industrial associations. This proposal would reduce the administrative burden for smaller emitters by:</w:t>
      </w:r>
    </w:p>
    <w:p w14:paraId="3EFF6756" w14:textId="00ACE5A9" w:rsidR="0062789B" w:rsidRPr="000653A9" w:rsidRDefault="0062789B" w:rsidP="00CD163F">
      <w:pPr>
        <w:pStyle w:val="ListParagraph"/>
        <w:numPr>
          <w:ilvl w:val="0"/>
          <w:numId w:val="27"/>
        </w:numPr>
        <w:rPr>
          <w:noProof/>
          <w:color w:val="auto"/>
        </w:rPr>
      </w:pPr>
      <w:r w:rsidRPr="000653A9">
        <w:rPr>
          <w:noProof/>
          <w:color w:val="auto"/>
        </w:rPr>
        <w:t xml:space="preserve">Simplifying monitoring </w:t>
      </w:r>
      <w:r w:rsidR="00B245A5" w:rsidRPr="000653A9">
        <w:rPr>
          <w:noProof/>
          <w:color w:val="auto"/>
        </w:rPr>
        <w:t>requirements.</w:t>
      </w:r>
      <w:r w:rsidRPr="000653A9">
        <w:rPr>
          <w:noProof/>
          <w:color w:val="auto"/>
        </w:rPr>
        <w:t xml:space="preserve"> </w:t>
      </w:r>
    </w:p>
    <w:p w14:paraId="672C13A0" w14:textId="248259E3" w:rsidR="0062789B" w:rsidRPr="000653A9" w:rsidRDefault="0062789B" w:rsidP="00CD163F">
      <w:pPr>
        <w:pStyle w:val="ListParagraph"/>
        <w:numPr>
          <w:ilvl w:val="0"/>
          <w:numId w:val="27"/>
        </w:numPr>
        <w:rPr>
          <w:noProof/>
          <w:color w:val="auto"/>
        </w:rPr>
      </w:pPr>
      <w:r w:rsidRPr="000653A9">
        <w:rPr>
          <w:noProof/>
          <w:color w:val="auto"/>
        </w:rPr>
        <w:t xml:space="preserve">Removing requirements for smaller emitters to hold an EU registry </w:t>
      </w:r>
      <w:r w:rsidR="00B245A5" w:rsidRPr="000653A9">
        <w:rPr>
          <w:noProof/>
          <w:color w:val="auto"/>
        </w:rPr>
        <w:t>account.</w:t>
      </w:r>
    </w:p>
    <w:p w14:paraId="20F9C29C" w14:textId="77777777" w:rsidR="0062789B" w:rsidRPr="000653A9" w:rsidRDefault="0062789B" w:rsidP="00CD163F">
      <w:pPr>
        <w:pStyle w:val="ListParagraph"/>
        <w:numPr>
          <w:ilvl w:val="0"/>
          <w:numId w:val="27"/>
        </w:numPr>
        <w:rPr>
          <w:noProof/>
          <w:color w:val="auto"/>
        </w:rPr>
      </w:pPr>
      <w:r w:rsidRPr="000653A9">
        <w:rPr>
          <w:noProof/>
          <w:color w:val="auto"/>
        </w:rPr>
        <w:t>No requirements to fulfil third-party verification of emissions data.</w:t>
      </w:r>
    </w:p>
    <w:p w14:paraId="53FAC856" w14:textId="110870CF" w:rsidR="00B040C4" w:rsidRPr="000653A9" w:rsidRDefault="0062789B" w:rsidP="00B21B91">
      <w:pPr>
        <w:spacing w:after="240"/>
        <w:rPr>
          <w:noProof/>
          <w:color w:val="auto"/>
        </w:rPr>
      </w:pPr>
      <w:r w:rsidRPr="000653A9">
        <w:rPr>
          <w:noProof/>
          <w:color w:val="auto"/>
        </w:rPr>
        <w:t>The argument was made repeatedly by industrial stakeholders that such an extension of the opt out eligibility under Article 27 would significantly reduce reporting and compliance burdens on SMEs without jeopardising the overall environmental aims of the system.</w:t>
      </w:r>
      <w:r w:rsidR="00FB38C5" w:rsidRPr="000653A9">
        <w:rPr>
          <w:noProof/>
          <w:color w:val="auto"/>
        </w:rPr>
        <w:t xml:space="preserve"> </w:t>
      </w:r>
    </w:p>
    <w:p w14:paraId="25689B54" w14:textId="155D42A4" w:rsidR="00FB38C5" w:rsidRPr="000653A9" w:rsidRDefault="6323DF25" w:rsidP="00B21B91">
      <w:pPr>
        <w:spacing w:after="240"/>
        <w:rPr>
          <w:noProof/>
          <w:color w:val="auto"/>
        </w:rPr>
      </w:pPr>
      <w:r w:rsidRPr="000653A9">
        <w:rPr>
          <w:noProof/>
          <w:color w:val="auto"/>
        </w:rPr>
        <w:t>S</w:t>
      </w:r>
      <w:r w:rsidR="00FB38C5" w:rsidRPr="000653A9">
        <w:rPr>
          <w:noProof/>
          <w:color w:val="auto"/>
        </w:rPr>
        <w:t>uch an increase in the exclusion threshold would mean that</w:t>
      </w:r>
      <w:r w:rsidR="00EE00FC" w:rsidRPr="000653A9">
        <w:rPr>
          <w:noProof/>
          <w:color w:val="auto"/>
        </w:rPr>
        <w:t xml:space="preserve"> </w:t>
      </w:r>
      <w:r w:rsidR="00AB36CF" w:rsidRPr="000653A9">
        <w:rPr>
          <w:noProof/>
          <w:color w:val="auto"/>
        </w:rPr>
        <w:t>for</w:t>
      </w:r>
      <w:r w:rsidR="00EE00FC" w:rsidRPr="000653A9">
        <w:rPr>
          <w:noProof/>
          <w:color w:val="auto"/>
        </w:rPr>
        <w:t xml:space="preserve"> some</w:t>
      </w:r>
      <w:r w:rsidR="00AB36CF" w:rsidRPr="000653A9">
        <w:rPr>
          <w:noProof/>
          <w:color w:val="auto"/>
        </w:rPr>
        <w:t xml:space="preserve"> sectors like ceramics, </w:t>
      </w:r>
      <w:r w:rsidR="00210828" w:rsidRPr="000653A9">
        <w:rPr>
          <w:noProof/>
          <w:color w:val="auto"/>
        </w:rPr>
        <w:t>most of</w:t>
      </w:r>
      <w:r w:rsidR="00AB36CF" w:rsidRPr="000653A9">
        <w:rPr>
          <w:noProof/>
          <w:color w:val="auto"/>
        </w:rPr>
        <w:t xml:space="preserve"> their emissions will </w:t>
      </w:r>
      <w:r w:rsidR="00650B52" w:rsidRPr="000653A9">
        <w:rPr>
          <w:noProof/>
          <w:color w:val="auto"/>
        </w:rPr>
        <w:t>be excluded from the scope of the ETS</w:t>
      </w:r>
      <w:r w:rsidR="1F119B81" w:rsidRPr="000653A9">
        <w:rPr>
          <w:noProof/>
          <w:color w:val="auto"/>
        </w:rPr>
        <w:t xml:space="preserve"> and covered by equivalent national measures instead</w:t>
      </w:r>
      <w:r w:rsidR="00650B52" w:rsidRPr="000653A9">
        <w:rPr>
          <w:noProof/>
          <w:color w:val="auto"/>
        </w:rPr>
        <w:t>.</w:t>
      </w:r>
      <w:r w:rsidR="768CD293" w:rsidRPr="000653A9">
        <w:rPr>
          <w:noProof/>
          <w:color w:val="auto"/>
        </w:rPr>
        <w:t xml:space="preserve"> The assessment of these national measures however goes beyond the scope of this impact assessment.</w:t>
      </w:r>
    </w:p>
    <w:p w14:paraId="12894954" w14:textId="77777777" w:rsidR="00DC63F8" w:rsidRPr="000653A9" w:rsidRDefault="00DC63F8" w:rsidP="009539AB">
      <w:pPr>
        <w:pStyle w:val="Heading5COM"/>
        <w:outlineLvl w:val="5"/>
        <w:rPr>
          <w:noProof/>
        </w:rPr>
      </w:pPr>
      <w:bookmarkStart w:id="385" w:name="_Toc212049707"/>
      <w:bookmarkStart w:id="386" w:name="_Toc230857910"/>
      <w:bookmarkStart w:id="387" w:name="_Toc232751101"/>
      <w:r w:rsidRPr="000653A9">
        <w:rPr>
          <w:noProof/>
        </w:rPr>
        <w:t>Carbon leakage prevention measures for indirect emissions</w:t>
      </w:r>
      <w:bookmarkEnd w:id="385"/>
      <w:bookmarkEnd w:id="386"/>
      <w:bookmarkEnd w:id="387"/>
    </w:p>
    <w:p w14:paraId="37AB7C1D" w14:textId="1937F0BF" w:rsidR="00B21B91" w:rsidRPr="000653A9" w:rsidRDefault="00210828" w:rsidP="006E4236">
      <w:pPr>
        <w:rPr>
          <w:noProof/>
          <w:color w:val="auto"/>
        </w:rPr>
      </w:pPr>
      <w:r w:rsidRPr="000653A9">
        <w:rPr>
          <w:noProof/>
          <w:color w:val="auto"/>
        </w:rPr>
        <w:t>Like</w:t>
      </w:r>
      <w:r w:rsidR="006E4236" w:rsidRPr="000653A9">
        <w:rPr>
          <w:noProof/>
          <w:color w:val="auto"/>
        </w:rPr>
        <w:t xml:space="preserve"> the previous subsection, t</w:t>
      </w:r>
      <w:r w:rsidR="00B21B91" w:rsidRPr="000653A9">
        <w:rPr>
          <w:noProof/>
          <w:color w:val="auto"/>
        </w:rPr>
        <w:t xml:space="preserve">he SME test was applied to identify and assess the impact of the policy measures related to indirect emissions on SMEs. </w:t>
      </w:r>
    </w:p>
    <w:p w14:paraId="339B58F9" w14:textId="3F14A9EA" w:rsidR="008C08B0" w:rsidRPr="000653A9" w:rsidRDefault="00B21B91" w:rsidP="00CE2C48">
      <w:pPr>
        <w:rPr>
          <w:noProof/>
        </w:rPr>
      </w:pPr>
      <w:r w:rsidRPr="000653A9">
        <w:rPr>
          <w:noProof/>
          <w:color w:val="auto"/>
        </w:rPr>
        <w:t>In a first step, the businesses most likely to be affected by the policy measures were identified by using the preliminary NIMs dataset to categorise installation information for selected sectors into different electricity consumption ranges</w:t>
      </w:r>
      <w:r w:rsidR="00C077DB" w:rsidRPr="000653A9">
        <w:rPr>
          <w:noProof/>
        </w:rPr>
        <w:t xml:space="preserve"> with a focus on </w:t>
      </w:r>
      <w:r w:rsidR="00CE2C48" w:rsidRPr="000653A9">
        <w:rPr>
          <w:noProof/>
        </w:rPr>
        <w:t>the sectors selected that are currently eligible for indirect cost compensation under Annex I  of the Guidance on certain state aid rules</w:t>
      </w:r>
      <w:r w:rsidR="00285B4C" w:rsidRPr="000653A9">
        <w:rPr>
          <w:noProof/>
        </w:rPr>
        <w:t>.</w:t>
      </w:r>
      <w:r w:rsidR="00CE2C48" w:rsidRPr="000653A9">
        <w:rPr>
          <w:rStyle w:val="FootnoteReference"/>
          <w:noProof/>
        </w:rPr>
        <w:footnoteReference w:id="22"/>
      </w:r>
      <w:r w:rsidR="00285B4C" w:rsidRPr="000653A9">
        <w:rPr>
          <w:noProof/>
        </w:rPr>
        <w:t xml:space="preserve"> </w:t>
      </w:r>
      <w:r w:rsidR="00285B4C" w:rsidRPr="001100D1">
        <w:rPr>
          <w:noProof/>
        </w:rPr>
        <w:t>See</w:t>
      </w:r>
      <w:r w:rsidR="00CE2C48" w:rsidRPr="001100D1">
        <w:rPr>
          <w:noProof/>
        </w:rPr>
        <w:t xml:space="preserve"> </w:t>
      </w:r>
      <w:r w:rsidR="00CE2C48" w:rsidRPr="001100D1">
        <w:rPr>
          <w:noProof/>
        </w:rPr>
        <w:fldChar w:fldCharType="begin"/>
      </w:r>
      <w:r w:rsidR="00CE2C48" w:rsidRPr="001100D1">
        <w:rPr>
          <w:noProof/>
        </w:rPr>
        <w:instrText xml:space="preserve"> REF _Ref212448595 \h  \* MERGEFORMAT </w:instrText>
      </w:r>
      <w:r w:rsidR="00CE2C48" w:rsidRPr="001100D1">
        <w:rPr>
          <w:noProof/>
        </w:rPr>
      </w:r>
      <w:r w:rsidR="00CE2C48" w:rsidRPr="001100D1">
        <w:rPr>
          <w:noProof/>
        </w:rPr>
        <w:fldChar w:fldCharType="separate"/>
      </w:r>
      <w:r w:rsidR="00CC0ED0" w:rsidRPr="001100D1">
        <w:rPr>
          <w:noProof/>
        </w:rPr>
        <w:t>Figure</w:t>
      </w:r>
      <w:r w:rsidR="00CC0ED0" w:rsidRPr="001100D1">
        <w:rPr>
          <w:noProof/>
          <w:color w:val="auto"/>
        </w:rPr>
        <w:t xml:space="preserve"> </w:t>
      </w:r>
      <w:r w:rsidR="00CE2C48" w:rsidRPr="001100D1">
        <w:rPr>
          <w:noProof/>
        </w:rPr>
        <w:fldChar w:fldCharType="end"/>
      </w:r>
      <w:r w:rsidR="001370F7" w:rsidRPr="001100D1">
        <w:rPr>
          <w:noProof/>
        </w:rPr>
        <w:t>12</w:t>
      </w:r>
      <w:r w:rsidR="00285B4C" w:rsidRPr="001100D1">
        <w:rPr>
          <w:noProof/>
        </w:rPr>
        <w:t xml:space="preserve"> below</w:t>
      </w:r>
      <w:r w:rsidR="008C08B0" w:rsidRPr="001100D1">
        <w:rPr>
          <w:noProof/>
        </w:rPr>
        <w:t>.</w:t>
      </w:r>
      <w:r w:rsidR="005862EF" w:rsidRPr="001100D1">
        <w:rPr>
          <w:noProof/>
        </w:rPr>
        <w:t xml:space="preserve"> While it</w:t>
      </w:r>
      <w:r w:rsidR="009A5FD6" w:rsidRPr="001100D1">
        <w:rPr>
          <w:noProof/>
        </w:rPr>
        <w:t xml:space="preserve"> is assumed that smaller installations are more likely to be operated by SMEs</w:t>
      </w:r>
      <w:r w:rsidR="005862EF" w:rsidRPr="001100D1">
        <w:rPr>
          <w:noProof/>
        </w:rPr>
        <w:t>,</w:t>
      </w:r>
      <w:r w:rsidR="005862EF" w:rsidRPr="000653A9">
        <w:rPr>
          <w:noProof/>
        </w:rPr>
        <w:t xml:space="preserve"> there is no specific SME threshold.</w:t>
      </w:r>
    </w:p>
    <w:p w14:paraId="7D8F775B" w14:textId="0B3A04BE" w:rsidR="00CE2C48" w:rsidRPr="000653A9" w:rsidRDefault="008C08B0" w:rsidP="00CE2C48">
      <w:pPr>
        <w:rPr>
          <w:noProof/>
        </w:rPr>
      </w:pPr>
      <w:r w:rsidRPr="000653A9">
        <w:rPr>
          <w:noProof/>
        </w:rPr>
        <w:t>O</w:t>
      </w:r>
      <w:r w:rsidR="00CE2C48" w:rsidRPr="000653A9">
        <w:rPr>
          <w:noProof/>
        </w:rPr>
        <w:t>nly 3% of the refined oil sector’s total number of installations annually consumed under 5,000 MWh.</w:t>
      </w:r>
      <w:r w:rsidR="00CE2C48" w:rsidRPr="000653A9">
        <w:rPr>
          <w:rStyle w:val="FootnoteReference"/>
          <w:noProof/>
        </w:rPr>
        <w:footnoteReference w:id="23"/>
      </w:r>
      <w:r w:rsidR="00CE2C48" w:rsidRPr="000653A9">
        <w:rPr>
          <w:noProof/>
        </w:rPr>
        <w:t xml:space="preserve"> In contrast, the share of the total number of installations that annually consumed under 5,000 MWh on average between 2021 and 2023 was much higher in the manufacture of other inorganic basic chemicals, aluminium production, the manufacture of basic iron and steel and ferro-alloys and copper production accounting for 35%, 32%, 24% and 20% respectively. Given the higher share of installations annually consuming electricity under 5,000 MWh it is more likely that any change to indirect cost compensation will have a greater impact on SMEs in these sectors relative to the other sectors that are also eligible for indirect cost compensation. It should also be noted that the manufacture of lead, zinc and tin production has a high share of installations consuming between 5,000 MWh and 10,000 MWh of electricity on average between 2021 and 2023 indicator that SMEs in this sector may also be impacted more by changes to indirect cost compensation.</w:t>
      </w:r>
    </w:p>
    <w:p w14:paraId="03E2C756" w14:textId="1F34BF05" w:rsidR="00B21B91" w:rsidRPr="000653A9" w:rsidRDefault="00B21B91" w:rsidP="00CE2C48">
      <w:pPr>
        <w:rPr>
          <w:noProof/>
        </w:rPr>
      </w:pPr>
      <w:r w:rsidRPr="000653A9">
        <w:rPr>
          <w:noProof/>
        </w:rPr>
        <w:t xml:space="preserve">The analysis of the preliminary NIMs dataset confirms that SMEs are likely to be impacted by </w:t>
      </w:r>
      <w:r w:rsidR="00CE2C48" w:rsidRPr="000653A9">
        <w:rPr>
          <w:noProof/>
        </w:rPr>
        <w:t>the policy measures related to indirect cost compensation but</w:t>
      </w:r>
      <w:r w:rsidRPr="000653A9">
        <w:rPr>
          <w:noProof/>
        </w:rPr>
        <w:t xml:space="preserve"> that the impact on SMEs is likely to vary by sector. The impact on SMEs will also depend upon the extent to which their production process is electrified, and the level of electrification varies across and within sectors.</w:t>
      </w:r>
    </w:p>
    <w:p w14:paraId="5CE399B0" w14:textId="542DC688" w:rsidR="00B21B91" w:rsidRPr="000653A9" w:rsidRDefault="00B21B91" w:rsidP="00B21B91">
      <w:pPr>
        <w:rPr>
          <w:noProof/>
        </w:rPr>
      </w:pPr>
      <w:r w:rsidRPr="000653A9">
        <w:rPr>
          <w:noProof/>
        </w:rPr>
        <w:t xml:space="preserve">SME stakeholders were represented by their sector associations in the stakeholder interviews as well as having the opportunity to submit their views within the OPC itself. </w:t>
      </w:r>
    </w:p>
    <w:p w14:paraId="571F6031" w14:textId="77777777" w:rsidR="00F81849" w:rsidRDefault="00F81849">
      <w:pPr>
        <w:spacing w:before="0" w:line="259" w:lineRule="auto"/>
        <w:rPr>
          <w:rFonts w:eastAsia="Calibri"/>
          <w:i/>
          <w:noProof/>
          <w:color w:val="auto"/>
          <w:sz w:val="22"/>
        </w:rPr>
      </w:pPr>
      <w:bookmarkStart w:id="388" w:name="_Toc224659146"/>
      <w:r>
        <w:rPr>
          <w:noProof/>
        </w:rPr>
        <w:br w:type="page"/>
      </w:r>
    </w:p>
    <w:p w14:paraId="228BCB2F" w14:textId="280807C9" w:rsidR="00CE2C48" w:rsidRPr="000653A9" w:rsidRDefault="00CE2C48" w:rsidP="00C92FA9">
      <w:pPr>
        <w:pStyle w:val="Figuretitle"/>
        <w:rPr>
          <w:noProof/>
        </w:rPr>
      </w:pPr>
      <w:r w:rsidRPr="000653A9">
        <w:rPr>
          <w:noProof/>
        </w:rPr>
        <w:t>Share of installations and electricity consumption (average 2021-23) by category size in MWh/ year for selected sectors that are currently eligible for indirect cost compensation</w:t>
      </w:r>
      <w:bookmarkEnd w:id="388"/>
    </w:p>
    <w:p w14:paraId="67FE802C" w14:textId="77777777" w:rsidR="00CE2C48" w:rsidRPr="000653A9" w:rsidRDefault="00CE2C48" w:rsidP="00DC581A">
      <w:pPr>
        <w:jc w:val="center"/>
        <w:rPr>
          <w:noProof/>
          <w:highlight w:val="yellow"/>
        </w:rPr>
      </w:pPr>
      <w:r w:rsidRPr="000653A9">
        <w:rPr>
          <w:noProof/>
          <w:lang w:eastAsia="en-GB"/>
        </w:rPr>
        <w:drawing>
          <wp:inline distT="0" distB="0" distL="0" distR="0" wp14:anchorId="3AE1CE74" wp14:editId="302EC00E">
            <wp:extent cx="5024438" cy="3282203"/>
            <wp:effectExtent l="0" t="0" r="5080" b="0"/>
            <wp:docPr id="1101377339"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77339" name="Picture 1" descr="A graph of a number of people&#10;&#10;AI-generated content may be incorrect."/>
                    <pic:cNvPicPr/>
                  </pic:nvPicPr>
                  <pic:blipFill>
                    <a:blip r:embed="rId26"/>
                    <a:stretch>
                      <a:fillRect/>
                    </a:stretch>
                  </pic:blipFill>
                  <pic:spPr>
                    <a:xfrm>
                      <a:off x="0" y="0"/>
                      <a:ext cx="5053543" cy="3301216"/>
                    </a:xfrm>
                    <a:prstGeom prst="rect">
                      <a:avLst/>
                    </a:prstGeom>
                  </pic:spPr>
                </pic:pic>
              </a:graphicData>
            </a:graphic>
          </wp:inline>
        </w:drawing>
      </w:r>
    </w:p>
    <w:p w14:paraId="2987F75F" w14:textId="77777777" w:rsidR="00CE2C48" w:rsidRPr="000653A9" w:rsidRDefault="00CE2C48" w:rsidP="00DC581A">
      <w:pPr>
        <w:jc w:val="center"/>
        <w:rPr>
          <w:noProof/>
          <w:highlight w:val="yellow"/>
        </w:rPr>
      </w:pPr>
      <w:r w:rsidRPr="000653A9">
        <w:rPr>
          <w:noProof/>
          <w:lang w:eastAsia="en-GB"/>
        </w:rPr>
        <w:drawing>
          <wp:inline distT="0" distB="0" distL="0" distR="0" wp14:anchorId="10FAE245" wp14:editId="583FD514">
            <wp:extent cx="5045700" cy="3296092"/>
            <wp:effectExtent l="0" t="0" r="3175" b="0"/>
            <wp:docPr id="3138968"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968" name="Picture 1" descr="A graph with numbers and lines&#10;&#10;AI-generated content may be incorrect."/>
                    <pic:cNvPicPr/>
                  </pic:nvPicPr>
                  <pic:blipFill>
                    <a:blip r:embed="rId27"/>
                    <a:stretch>
                      <a:fillRect/>
                    </a:stretch>
                  </pic:blipFill>
                  <pic:spPr>
                    <a:xfrm>
                      <a:off x="0" y="0"/>
                      <a:ext cx="5067970" cy="3310640"/>
                    </a:xfrm>
                    <a:prstGeom prst="rect">
                      <a:avLst/>
                    </a:prstGeom>
                  </pic:spPr>
                </pic:pic>
              </a:graphicData>
            </a:graphic>
          </wp:inline>
        </w:drawing>
      </w:r>
    </w:p>
    <w:p w14:paraId="6029B3C1" w14:textId="47EDF9E3" w:rsidR="00CE2C48" w:rsidRPr="000653A9" w:rsidRDefault="00CE2C48" w:rsidP="00CE2C48">
      <w:pPr>
        <w:spacing w:after="240"/>
        <w:rPr>
          <w:i/>
          <w:iCs/>
          <w:noProof/>
          <w:sz w:val="20"/>
          <w:szCs w:val="20"/>
        </w:rPr>
      </w:pPr>
      <w:r w:rsidRPr="000653A9">
        <w:rPr>
          <w:i/>
          <w:iCs/>
          <w:noProof/>
          <w:sz w:val="20"/>
          <w:szCs w:val="20"/>
        </w:rPr>
        <w:t>Source:</w:t>
      </w:r>
      <w:r w:rsidRPr="000653A9">
        <w:rPr>
          <w:i/>
          <w:iCs/>
          <w:noProof/>
          <w:sz w:val="20"/>
          <w:szCs w:val="20"/>
        </w:rPr>
        <w:tab/>
        <w:t>Own calculation based upon preliminary NIMs data for 2019-23</w:t>
      </w:r>
    </w:p>
    <w:p w14:paraId="3A24E0FF" w14:textId="77777777" w:rsidR="00DC63F8" w:rsidRPr="000653A9" w:rsidRDefault="00DC63F8" w:rsidP="009539AB">
      <w:pPr>
        <w:pStyle w:val="Heading4COM"/>
        <w:outlineLvl w:val="4"/>
        <w:rPr>
          <w:noProof/>
        </w:rPr>
      </w:pPr>
      <w:bookmarkStart w:id="389" w:name="_Toc219902753"/>
      <w:bookmarkStart w:id="390" w:name="_Toc212049708"/>
      <w:bookmarkStart w:id="391" w:name="_Toc230857911"/>
      <w:bookmarkStart w:id="392" w:name="_Toc232751102"/>
      <w:bookmarkEnd w:id="389"/>
      <w:r w:rsidRPr="000653A9">
        <w:rPr>
          <w:noProof/>
        </w:rPr>
        <w:t>Sectoral competitiveness, trade and investment flows</w:t>
      </w:r>
      <w:bookmarkEnd w:id="390"/>
      <w:bookmarkEnd w:id="391"/>
      <w:bookmarkEnd w:id="392"/>
    </w:p>
    <w:p w14:paraId="0C135BC9" w14:textId="5847E21D" w:rsidR="007A692B" w:rsidRPr="000653A9" w:rsidRDefault="00DC63F8" w:rsidP="009539AB">
      <w:pPr>
        <w:pStyle w:val="Heading5COM"/>
        <w:outlineLvl w:val="5"/>
        <w:rPr>
          <w:noProof/>
        </w:rPr>
      </w:pPr>
      <w:bookmarkStart w:id="393" w:name="_Ref205987231"/>
      <w:bookmarkStart w:id="394" w:name="_Toc212049709"/>
      <w:bookmarkStart w:id="395" w:name="_Toc230857912"/>
      <w:bookmarkStart w:id="396" w:name="_Toc232751103"/>
      <w:r w:rsidRPr="000653A9">
        <w:rPr>
          <w:noProof/>
        </w:rPr>
        <w:t>Carbon leakage prevention measures for direct emissions</w:t>
      </w:r>
      <w:bookmarkEnd w:id="393"/>
      <w:bookmarkEnd w:id="394"/>
      <w:bookmarkEnd w:id="395"/>
      <w:bookmarkEnd w:id="396"/>
      <w:r w:rsidR="00A63DA9" w:rsidRPr="000653A9">
        <w:rPr>
          <w:noProof/>
        </w:rPr>
        <w:t xml:space="preserve"> </w:t>
      </w:r>
    </w:p>
    <w:p w14:paraId="6D252CBF" w14:textId="77777777" w:rsidR="007A692B" w:rsidRPr="000653A9" w:rsidRDefault="007A692B" w:rsidP="007A692B">
      <w:pPr>
        <w:rPr>
          <w:i/>
          <w:iCs/>
          <w:noProof/>
          <w:color w:val="auto"/>
        </w:rPr>
      </w:pPr>
      <w:r w:rsidRPr="000653A9">
        <w:rPr>
          <w:i/>
          <w:iCs/>
          <w:noProof/>
          <w:color w:val="auto"/>
        </w:rPr>
        <w:t>Stakeholder consultation</w:t>
      </w:r>
    </w:p>
    <w:p w14:paraId="46328F14" w14:textId="2CCC6116" w:rsidR="007A692B" w:rsidRPr="000653A9" w:rsidRDefault="007A692B" w:rsidP="007A692B">
      <w:pPr>
        <w:rPr>
          <w:noProof/>
          <w:color w:val="auto"/>
        </w:rPr>
      </w:pPr>
      <w:r w:rsidRPr="000653A9">
        <w:rPr>
          <w:noProof/>
          <w:color w:val="auto"/>
        </w:rPr>
        <w:t>During the stakeholder consultation with industry, the increase in the carbon price</w:t>
      </w:r>
      <w:r w:rsidR="00390166" w:rsidRPr="000653A9">
        <w:rPr>
          <w:noProof/>
          <w:color w:val="auto"/>
        </w:rPr>
        <w:t xml:space="preserve"> </w:t>
      </w:r>
      <w:r w:rsidRPr="000653A9">
        <w:rPr>
          <w:noProof/>
          <w:color w:val="auto"/>
        </w:rPr>
        <w:t xml:space="preserve">in recent years has been highlighted by industrial associations as a key reason for the continuation of free allocation into Phase IV of the EU ETS.   </w:t>
      </w:r>
    </w:p>
    <w:p w14:paraId="1CA7CE35" w14:textId="37B562FB" w:rsidR="007A692B" w:rsidRPr="000653A9" w:rsidRDefault="007A692B" w:rsidP="007A692B">
      <w:pPr>
        <w:rPr>
          <w:noProof/>
          <w:color w:val="auto"/>
        </w:rPr>
      </w:pPr>
      <w:r w:rsidRPr="000653A9">
        <w:rPr>
          <w:noProof/>
          <w:color w:val="auto"/>
        </w:rPr>
        <w:t xml:space="preserve">There was a strong consensus during the interviews with industrial stakeholders that phasing out free allocation between 2031 and 2040 would be very likely to have a detrimental impact on their competitiveness if enabling conditions are not available to support the shift in production processes to low carbon alternatives. Although the </w:t>
      </w:r>
      <w:r w:rsidR="006F650A" w:rsidRPr="000653A9">
        <w:rPr>
          <w:noProof/>
          <w:color w:val="auto"/>
        </w:rPr>
        <w:t>circumstances</w:t>
      </w:r>
      <w:r w:rsidRPr="000653A9">
        <w:rPr>
          <w:noProof/>
          <w:color w:val="auto"/>
        </w:rPr>
        <w:t xml:space="preserve"> of industry varied, there was a commonly expressed view throughout the stakeholder consultation that the carbon cost is an additional cost that puts them at a disadvantage compared to international competitors based in jurisdictions with less stringent climate policies. </w:t>
      </w:r>
    </w:p>
    <w:p w14:paraId="6C9E75DB" w14:textId="455E1F9C" w:rsidR="007A692B" w:rsidRPr="000653A9" w:rsidRDefault="007A692B" w:rsidP="007A692B">
      <w:pPr>
        <w:rPr>
          <w:noProof/>
          <w:color w:val="auto"/>
        </w:rPr>
      </w:pPr>
      <w:r w:rsidRPr="000653A9">
        <w:rPr>
          <w:noProof/>
          <w:color w:val="auto"/>
        </w:rPr>
        <w:t xml:space="preserve">In terms of assessing the impact of the policy measures, </w:t>
      </w:r>
      <w:r w:rsidR="00210828" w:rsidRPr="000653A9">
        <w:rPr>
          <w:noProof/>
          <w:color w:val="auto"/>
        </w:rPr>
        <w:t>the</w:t>
      </w:r>
      <w:r w:rsidRPr="000653A9">
        <w:rPr>
          <w:noProof/>
          <w:color w:val="auto"/>
        </w:rPr>
        <w:t xml:space="preserve"> impact will vary depending upon the volume of EUAs distributed to each sector, the stringency of conditionality upon free allocation, or if the phase out of free allowances for non-CBAM sectors is aligned with the time schedule for CBAM sectors. More broadly the impact of these policy options will depend on the success of the EU ETS and other complementary policies in decarbonising industry and facilitating decarbonisation investments, thereby reducing industries’ direct and indirect carbon costs. </w:t>
      </w:r>
    </w:p>
    <w:p w14:paraId="161C5204" w14:textId="44A316CB" w:rsidR="007A692B" w:rsidRPr="000653A9" w:rsidRDefault="007A692B" w:rsidP="007A692B">
      <w:pPr>
        <w:rPr>
          <w:noProof/>
          <w:color w:val="auto"/>
        </w:rPr>
      </w:pPr>
      <w:r w:rsidRPr="000653A9">
        <w:rPr>
          <w:noProof/>
          <w:color w:val="auto"/>
        </w:rPr>
        <w:t xml:space="preserve">Industrial stakeholders during the consultation consistently argued that in many cases the unit cost of production is higher for products manufactured in the EU compared to international competitors. It was widely acknowledged that the key issue, driving such a differential in production cost in recent years, relates to dramatic shifts in the energy market following unexpected external events such as the global pandemic and subsequent geo-political volatility (i.e. illegal Russian invasion of Ukraine). The issue of competitiveness is further complicated by overcapacity in certain international markets and considerable changes in trading tariff regimes with certain key partners. While these developments are indeed very valid concerns that were expressed by industrial stakeholders, they are primarily addressed by other EU </w:t>
      </w:r>
      <w:r w:rsidR="006F650A" w:rsidRPr="000653A9">
        <w:rPr>
          <w:noProof/>
          <w:color w:val="auto"/>
        </w:rPr>
        <w:t>policies,</w:t>
      </w:r>
      <w:r w:rsidRPr="000653A9">
        <w:rPr>
          <w:noProof/>
          <w:color w:val="auto"/>
        </w:rPr>
        <w:t xml:space="preserve"> and the scope of this assessment is limited to the impact of measures related to changes in the provision of support to protect against carbon leakage. </w:t>
      </w:r>
    </w:p>
    <w:p w14:paraId="478EB5F0" w14:textId="0174189A" w:rsidR="00426F86" w:rsidRPr="000653A9" w:rsidRDefault="007A692B" w:rsidP="00210E87">
      <w:pPr>
        <w:spacing w:after="240"/>
        <w:rPr>
          <w:noProof/>
          <w:color w:val="auto"/>
        </w:rPr>
      </w:pPr>
      <w:r w:rsidRPr="000653A9">
        <w:rPr>
          <w:noProof/>
          <w:color w:val="auto"/>
        </w:rPr>
        <w:t xml:space="preserve">There was an acknowledgement by several industrial stakeholders during the interviews that the carbon price has not necessarily been the driving factor in the differential in the unit production cost between the EU and international competitors that has emerged in recent years. It was, however, consistently argued by several industrial stakeholders that the </w:t>
      </w:r>
      <w:r w:rsidR="00041E0F" w:rsidRPr="000653A9">
        <w:rPr>
          <w:noProof/>
          <w:color w:val="auto"/>
        </w:rPr>
        <w:t xml:space="preserve">EU </w:t>
      </w:r>
      <w:r w:rsidRPr="000653A9">
        <w:rPr>
          <w:noProof/>
          <w:color w:val="auto"/>
        </w:rPr>
        <w:t xml:space="preserve">carbon cost exacerbates an already unfavourable situation for EU producers and that the carbon price will have a greater impact if levels of free allocation decline without alternative measures in place to support industry with the decarbonisation required to avoid carbon costs in the future. </w:t>
      </w:r>
    </w:p>
    <w:p w14:paraId="0758DD94" w14:textId="59319970" w:rsidR="00B350F1" w:rsidRPr="000653A9" w:rsidRDefault="00B350F1" w:rsidP="00B350F1">
      <w:pPr>
        <w:rPr>
          <w:noProof/>
          <w:color w:val="auto"/>
          <w:highlight w:val="yellow"/>
          <w:lang w:eastAsia="en-GB"/>
        </w:rPr>
      </w:pPr>
      <w:r w:rsidRPr="000653A9">
        <w:rPr>
          <w:rFonts w:eastAsia="Times New Roman"/>
          <w:noProof/>
          <w:color w:val="auto"/>
        </w:rPr>
        <w:t>An important topic in this regard is the use of allowance revenue to solely be used to support industry, which was a frequent position advocated by industrial stakeholders during the consultation. As highlighted previously when discussing impacts of the measures on competitiveness, ultimately it will require the state and private sector to work together to ensure the enabling conditions (i.e. availability of green hydrogen, infrastructure for CCUS, availability of low cost and low carbon electricity, market demand for low carbon products) are available so that the ambitious trajectories already outlined by industrial sectors for their decarbonisation are achieved.</w:t>
      </w:r>
    </w:p>
    <w:p w14:paraId="7739357A" w14:textId="300A2DF7" w:rsidR="00B350F1" w:rsidRPr="000653A9" w:rsidRDefault="00B350F1" w:rsidP="00F276C1">
      <w:pPr>
        <w:rPr>
          <w:rFonts w:eastAsia="Times New Roman"/>
          <w:noProof/>
        </w:rPr>
      </w:pPr>
      <w:r w:rsidRPr="000653A9">
        <w:rPr>
          <w:rFonts w:eastAsia="Times New Roman"/>
          <w:noProof/>
        </w:rPr>
        <w:t xml:space="preserve">Other measures and initiatives announced by the European Commission, such as the Industrial Accelerator Act, the European Grids Package, or the CO2 Infrastructure Package will further complement </w:t>
      </w:r>
      <w:r w:rsidR="006D7469" w:rsidRPr="000653A9">
        <w:rPr>
          <w:rFonts w:eastAsia="Times New Roman"/>
          <w:noProof/>
        </w:rPr>
        <w:t>the</w:t>
      </w:r>
      <w:r w:rsidRPr="000653A9">
        <w:rPr>
          <w:rFonts w:eastAsia="Times New Roman"/>
          <w:noProof/>
        </w:rPr>
        <w:t xml:space="preserve"> </w:t>
      </w:r>
      <w:r w:rsidR="003D1FA0" w:rsidRPr="000653A9">
        <w:rPr>
          <w:rFonts w:eastAsia="Times New Roman"/>
          <w:noProof/>
        </w:rPr>
        <w:t>EU ETS</w:t>
      </w:r>
      <w:r w:rsidRPr="000653A9">
        <w:rPr>
          <w:rFonts w:eastAsia="Times New Roman"/>
          <w:noProof/>
        </w:rPr>
        <w:t xml:space="preserve"> and drive the process of industrial decarbonisation. </w:t>
      </w:r>
    </w:p>
    <w:p w14:paraId="480A4003" w14:textId="6A968133" w:rsidR="007A692B" w:rsidRPr="000653A9" w:rsidRDefault="007A692B" w:rsidP="007A692B">
      <w:pPr>
        <w:rPr>
          <w:noProof/>
          <w:color w:val="auto"/>
          <w:lang w:eastAsia="en-GB"/>
        </w:rPr>
      </w:pPr>
      <w:r w:rsidRPr="000653A9">
        <w:rPr>
          <w:noProof/>
          <w:color w:val="auto"/>
          <w:lang w:eastAsia="en-GB"/>
        </w:rPr>
        <w:t>The impact of phas</w:t>
      </w:r>
      <w:r w:rsidR="007A4D9D" w:rsidRPr="000653A9">
        <w:rPr>
          <w:noProof/>
          <w:color w:val="auto"/>
          <w:lang w:eastAsia="en-GB"/>
        </w:rPr>
        <w:t>ing</w:t>
      </w:r>
      <w:r w:rsidRPr="000653A9">
        <w:rPr>
          <w:noProof/>
          <w:color w:val="auto"/>
          <w:lang w:eastAsia="en-GB"/>
        </w:rPr>
        <w:t xml:space="preserve"> out free allocation on the competitiveness of industry is more nuanced</w:t>
      </w:r>
      <w:r w:rsidR="00A412FA" w:rsidRPr="000653A9">
        <w:rPr>
          <w:noProof/>
          <w:color w:val="auto"/>
          <w:lang w:eastAsia="en-GB"/>
        </w:rPr>
        <w:t xml:space="preserve">. </w:t>
      </w:r>
      <w:r w:rsidR="005E7360" w:rsidRPr="000653A9">
        <w:rPr>
          <w:noProof/>
          <w:color w:val="auto"/>
          <w:lang w:eastAsia="en-GB"/>
        </w:rPr>
        <w:t>According to the stakeholders consulted,</w:t>
      </w:r>
      <w:r w:rsidRPr="000653A9">
        <w:rPr>
          <w:noProof/>
          <w:color w:val="auto"/>
          <w:lang w:eastAsia="en-GB"/>
        </w:rPr>
        <w:t xml:space="preserve"> it will ultimately depend upon</w:t>
      </w:r>
      <w:r w:rsidR="005E7360" w:rsidRPr="000653A9">
        <w:rPr>
          <w:noProof/>
          <w:color w:val="auto"/>
          <w:lang w:eastAsia="en-GB"/>
        </w:rPr>
        <w:t xml:space="preserve"> </w:t>
      </w:r>
      <w:r w:rsidRPr="000653A9">
        <w:rPr>
          <w:noProof/>
          <w:color w:val="auto"/>
          <w:lang w:eastAsia="en-GB"/>
        </w:rPr>
        <w:t>enabling conditions</w:t>
      </w:r>
      <w:r w:rsidR="00381A3A" w:rsidRPr="000653A9">
        <w:rPr>
          <w:noProof/>
          <w:color w:val="auto"/>
          <w:lang w:eastAsia="en-GB"/>
        </w:rPr>
        <w:t>.</w:t>
      </w:r>
      <w:r w:rsidR="00FC5568" w:rsidRPr="000653A9">
        <w:rPr>
          <w:noProof/>
          <w:color w:val="auto"/>
          <w:lang w:eastAsia="en-GB"/>
        </w:rPr>
        <w:t xml:space="preserve"> For example, s</w:t>
      </w:r>
      <w:r w:rsidRPr="000653A9">
        <w:rPr>
          <w:noProof/>
          <w:color w:val="auto"/>
        </w:rPr>
        <w:t>takeholders across sectors pointed out</w:t>
      </w:r>
      <w:r w:rsidRPr="000653A9">
        <w:rPr>
          <w:noProof/>
          <w:color w:val="auto"/>
          <w:lang w:eastAsia="en-GB"/>
        </w:rPr>
        <w:t xml:space="preserve"> that an increased exposure to a higher carbon price will not on its own be sufficient to make the deployment of necessary technologies viable. Industrial stakeholders argued strongly that without complementary policies to support the deployment of abatement potentials the concern is that there will be deindustrialisation rather than decarbonisation. The main issues raised that industry believe is beyond their direct control to influence included</w:t>
      </w:r>
      <w:r w:rsidR="00BD2226" w:rsidRPr="000653A9">
        <w:rPr>
          <w:noProof/>
          <w:color w:val="auto"/>
          <w:lang w:eastAsia="en-GB"/>
        </w:rPr>
        <w:t xml:space="preserve"> the following</w:t>
      </w:r>
      <w:r w:rsidRPr="000653A9">
        <w:rPr>
          <w:noProof/>
          <w:color w:val="auto"/>
          <w:lang w:eastAsia="en-GB"/>
        </w:rPr>
        <w:t>:</w:t>
      </w:r>
    </w:p>
    <w:p w14:paraId="4C4691CC" w14:textId="77777777" w:rsidR="007A692B" w:rsidRPr="000653A9" w:rsidRDefault="007A692B" w:rsidP="004A1C30">
      <w:pPr>
        <w:pStyle w:val="ListParagraph"/>
        <w:numPr>
          <w:ilvl w:val="0"/>
          <w:numId w:val="28"/>
        </w:numPr>
        <w:rPr>
          <w:noProof/>
          <w:color w:val="auto"/>
          <w:lang w:eastAsia="en-GB"/>
        </w:rPr>
      </w:pPr>
      <w:r w:rsidRPr="000653A9">
        <w:rPr>
          <w:noProof/>
          <w:color w:val="auto"/>
          <w:lang w:eastAsia="en-GB"/>
        </w:rPr>
        <w:t xml:space="preserve">Availability of financial funding to support CAPEX and OPEX </w:t>
      </w:r>
    </w:p>
    <w:p w14:paraId="4A542FBA" w14:textId="00C75A80" w:rsidR="007A692B" w:rsidRPr="000653A9" w:rsidRDefault="007A692B" w:rsidP="004A1C30">
      <w:pPr>
        <w:pStyle w:val="ListParagraph"/>
        <w:numPr>
          <w:ilvl w:val="0"/>
          <w:numId w:val="28"/>
        </w:numPr>
        <w:rPr>
          <w:noProof/>
          <w:color w:val="auto"/>
          <w:lang w:eastAsia="en-GB"/>
        </w:rPr>
      </w:pPr>
      <w:r w:rsidRPr="000653A9">
        <w:rPr>
          <w:noProof/>
          <w:color w:val="auto"/>
          <w:lang w:eastAsia="en-GB"/>
        </w:rPr>
        <w:t>Availability of low carbon electricity a</w:t>
      </w:r>
      <w:r w:rsidR="00282A72" w:rsidRPr="000653A9">
        <w:rPr>
          <w:noProof/>
          <w:color w:val="auto"/>
          <w:lang w:eastAsia="en-GB"/>
        </w:rPr>
        <w:t>t</w:t>
      </w:r>
      <w:r w:rsidRPr="000653A9">
        <w:rPr>
          <w:noProof/>
          <w:color w:val="auto"/>
          <w:lang w:eastAsia="en-GB"/>
        </w:rPr>
        <w:t xml:space="preserve"> competitive prices</w:t>
      </w:r>
    </w:p>
    <w:p w14:paraId="1AB7CCA3" w14:textId="77777777" w:rsidR="007A692B" w:rsidRPr="000653A9" w:rsidRDefault="007A692B" w:rsidP="004A1C30">
      <w:pPr>
        <w:pStyle w:val="ListParagraph"/>
        <w:numPr>
          <w:ilvl w:val="0"/>
          <w:numId w:val="28"/>
        </w:numPr>
        <w:rPr>
          <w:noProof/>
          <w:color w:val="auto"/>
          <w:lang w:eastAsia="en-GB"/>
        </w:rPr>
      </w:pPr>
      <w:r w:rsidRPr="000653A9">
        <w:rPr>
          <w:noProof/>
          <w:color w:val="auto"/>
          <w:lang w:eastAsia="en-GB"/>
        </w:rPr>
        <w:t xml:space="preserve">Availability of green hydrogen </w:t>
      </w:r>
    </w:p>
    <w:p w14:paraId="1832496E" w14:textId="77777777" w:rsidR="007A692B" w:rsidRPr="000653A9" w:rsidRDefault="007A692B" w:rsidP="004A1C30">
      <w:pPr>
        <w:pStyle w:val="ListParagraph"/>
        <w:numPr>
          <w:ilvl w:val="0"/>
          <w:numId w:val="28"/>
        </w:numPr>
        <w:rPr>
          <w:noProof/>
          <w:color w:val="auto"/>
          <w:lang w:eastAsia="en-GB"/>
        </w:rPr>
      </w:pPr>
      <w:r w:rsidRPr="000653A9">
        <w:rPr>
          <w:noProof/>
          <w:color w:val="auto"/>
          <w:lang w:eastAsia="en-GB"/>
        </w:rPr>
        <w:t>Availability of biofuels</w:t>
      </w:r>
    </w:p>
    <w:p w14:paraId="7E4273A1" w14:textId="77777777" w:rsidR="007C169E" w:rsidRPr="000653A9" w:rsidRDefault="007A692B" w:rsidP="004A1C30">
      <w:pPr>
        <w:pStyle w:val="ListParagraph"/>
        <w:numPr>
          <w:ilvl w:val="0"/>
          <w:numId w:val="28"/>
        </w:numPr>
        <w:rPr>
          <w:noProof/>
          <w:color w:val="auto"/>
        </w:rPr>
      </w:pPr>
      <w:r w:rsidRPr="000653A9">
        <w:rPr>
          <w:noProof/>
          <w:color w:val="auto"/>
        </w:rPr>
        <w:t xml:space="preserve">Availability of a support infrastructure for CCS </w:t>
      </w:r>
    </w:p>
    <w:p w14:paraId="63E63242" w14:textId="3064E525" w:rsidR="007A692B" w:rsidRPr="000653A9" w:rsidRDefault="007A692B" w:rsidP="007A692B">
      <w:pPr>
        <w:rPr>
          <w:noProof/>
          <w:color w:val="auto"/>
        </w:rPr>
      </w:pPr>
      <w:r w:rsidRPr="000653A9">
        <w:rPr>
          <w:noProof/>
          <w:color w:val="auto"/>
        </w:rPr>
        <w:t xml:space="preserve">The ability to finance investments in these areas is </w:t>
      </w:r>
      <w:r w:rsidR="23234A58" w:rsidRPr="000653A9">
        <w:rPr>
          <w:noProof/>
          <w:color w:val="auto"/>
        </w:rPr>
        <w:t>partly</w:t>
      </w:r>
      <w:r w:rsidRPr="000653A9">
        <w:rPr>
          <w:noProof/>
          <w:color w:val="auto"/>
        </w:rPr>
        <w:t xml:space="preserve"> linked to the phase-out of free allocation, since </w:t>
      </w:r>
      <w:r w:rsidR="0078563E" w:rsidRPr="000653A9">
        <w:rPr>
          <w:noProof/>
          <w:color w:val="auto"/>
        </w:rPr>
        <w:t>al</w:t>
      </w:r>
      <w:r w:rsidRPr="000653A9">
        <w:rPr>
          <w:noProof/>
          <w:color w:val="auto"/>
        </w:rPr>
        <w:t>t</w:t>
      </w:r>
      <w:r w:rsidR="0078563E" w:rsidRPr="000653A9">
        <w:rPr>
          <w:noProof/>
          <w:color w:val="auto"/>
        </w:rPr>
        <w:t>ernativ</w:t>
      </w:r>
      <w:r w:rsidRPr="000653A9">
        <w:rPr>
          <w:noProof/>
          <w:color w:val="auto"/>
        </w:rPr>
        <w:t xml:space="preserve">e </w:t>
      </w:r>
      <w:r w:rsidR="0078563E" w:rsidRPr="000653A9">
        <w:rPr>
          <w:noProof/>
          <w:color w:val="auto"/>
        </w:rPr>
        <w:t>uses</w:t>
      </w:r>
      <w:r w:rsidRPr="000653A9">
        <w:rPr>
          <w:noProof/>
          <w:color w:val="auto"/>
        </w:rPr>
        <w:t xml:space="preserve"> within the EU ETS determines </w:t>
      </w:r>
      <w:r w:rsidR="0E034C9E" w:rsidRPr="000653A9">
        <w:rPr>
          <w:noProof/>
          <w:color w:val="auto"/>
        </w:rPr>
        <w:t xml:space="preserve">some of </w:t>
      </w:r>
      <w:r w:rsidRPr="000653A9">
        <w:rPr>
          <w:noProof/>
          <w:color w:val="auto"/>
        </w:rPr>
        <w:t xml:space="preserve">the </w:t>
      </w:r>
      <w:r w:rsidR="00142495" w:rsidRPr="000653A9">
        <w:rPr>
          <w:noProof/>
          <w:color w:val="auto"/>
        </w:rPr>
        <w:t>support available</w:t>
      </w:r>
      <w:r w:rsidRPr="000653A9">
        <w:rPr>
          <w:noProof/>
          <w:color w:val="auto"/>
        </w:rPr>
        <w:t xml:space="preserve"> for decarbonization through EU-wide instruments (such as the Innovation Fund and Industrial Decarbonisation Bank) and from Member States’ shares of auction </w:t>
      </w:r>
      <w:r w:rsidR="00B245A5" w:rsidRPr="000653A9">
        <w:rPr>
          <w:noProof/>
          <w:color w:val="auto"/>
        </w:rPr>
        <w:t>revenues.</w:t>
      </w:r>
    </w:p>
    <w:p w14:paraId="00FF0ECC" w14:textId="6F16B9D1" w:rsidR="007A692B" w:rsidRPr="000653A9" w:rsidRDefault="007A692B" w:rsidP="001A4ECD">
      <w:pPr>
        <w:spacing w:after="240"/>
        <w:rPr>
          <w:noProof/>
          <w:color w:val="auto"/>
        </w:rPr>
      </w:pPr>
      <w:r w:rsidRPr="000653A9">
        <w:rPr>
          <w:noProof/>
          <w:color w:val="auto"/>
        </w:rPr>
        <w:t xml:space="preserve">Beyond mechanisms linked to EU ETS, the argument was consistently advanced from a range of industrial stakeholders that the success of the transition to a net-zero economy will depend upon there being sufficient demand in the future for low carbon goods within the EU. If such a market is not supported then, in a worst-case scenario, industry fear decarbonising their production processes and then being out competed on price by international competitors on the EU market. In addition to the carbon leakage measures considered in this chapter, these risks are also being addressed by the introduction of the Carbon Border Adjustment Mechanism and ongoing efforts to develop lead markets in the context of the Clean Industrial Deal. </w:t>
      </w:r>
    </w:p>
    <w:p w14:paraId="06EE0D35" w14:textId="0CBAB4C8" w:rsidR="00344ADD" w:rsidRPr="000653A9" w:rsidRDefault="00344ADD" w:rsidP="00344ADD">
      <w:pPr>
        <w:spacing w:before="240"/>
        <w:rPr>
          <w:noProof/>
          <w:sz w:val="20"/>
          <w:szCs w:val="20"/>
          <w:lang w:eastAsia="en-GB"/>
        </w:rPr>
      </w:pPr>
      <w:r w:rsidRPr="000653A9">
        <w:rPr>
          <w:noProof/>
          <w:lang w:eastAsia="en-GB"/>
        </w:rPr>
        <w:t>GEM-E3 model results provides insights into how alternative ETS design choices translate into heterogenous sectoral and macroeconomic impacts, relative to the baseline scenario by taking into consideration key drivers within scenario assumptions such as the different free allocation distributions across industry, as well as the different ETS coverage and cap stringency and alternative revenue recycling. The policy scenarios assessed by the GEM-E3 model are described in section 1.4.1.</w:t>
      </w:r>
    </w:p>
    <w:p w14:paraId="757D64A8" w14:textId="36A67034" w:rsidR="00344ADD" w:rsidRPr="000653A9" w:rsidRDefault="00344ADD" w:rsidP="00344ADD">
      <w:pPr>
        <w:rPr>
          <w:rFonts w:eastAsia="Arial" w:cs="Arial"/>
          <w:noProof/>
          <w:lang w:eastAsia="en-GB"/>
        </w:rPr>
      </w:pPr>
      <w:r w:rsidRPr="00DA3A2A">
        <w:rPr>
          <w:rFonts w:eastAsia="Arial" w:cs="Arial"/>
          <w:noProof/>
          <w:lang w:eastAsia="en-GB"/>
        </w:rPr>
        <w:t xml:space="preserve">Changes in the unit cost of production </w:t>
      </w:r>
      <w:r w:rsidR="00376A96" w:rsidRPr="00DA3A2A">
        <w:rPr>
          <w:rFonts w:eastAsia="Arial" w:cs="Arial"/>
          <w:noProof/>
          <w:lang w:eastAsia="en-GB"/>
        </w:rPr>
        <w:t xml:space="preserve">(Table </w:t>
      </w:r>
      <w:r w:rsidR="0045781B">
        <w:rPr>
          <w:rFonts w:eastAsia="Arial" w:cs="Arial"/>
          <w:noProof/>
          <w:lang w:eastAsia="en-GB"/>
        </w:rPr>
        <w:t>14</w:t>
      </w:r>
      <w:r w:rsidRPr="00DA3A2A">
        <w:rPr>
          <w:rFonts w:eastAsia="Arial" w:cs="Arial"/>
          <w:noProof/>
          <w:lang w:eastAsia="en-GB"/>
        </w:rPr>
        <w:t>) are driven by specific scenario assumptions namely: (i) different shares of free</w:t>
      </w:r>
      <w:r w:rsidRPr="000653A9">
        <w:rPr>
          <w:rFonts w:eastAsia="Arial" w:cs="Arial"/>
          <w:noProof/>
          <w:lang w:eastAsia="en-GB"/>
        </w:rPr>
        <w:t xml:space="preserve"> allocation, with highest shares in PO2</w:t>
      </w:r>
      <w:r w:rsidR="00512D9B" w:rsidRPr="000653A9">
        <w:rPr>
          <w:rFonts w:eastAsia="Arial" w:cs="Arial"/>
          <w:noProof/>
          <w:lang w:eastAsia="en-GB"/>
        </w:rPr>
        <w:t>_</w:t>
      </w:r>
      <w:r w:rsidRPr="000653A9">
        <w:rPr>
          <w:rFonts w:eastAsia="Arial" w:cs="Arial"/>
          <w:noProof/>
          <w:lang w:eastAsia="en-GB"/>
        </w:rPr>
        <w:t xml:space="preserve">90, (ii) changes in carbon prices, notably in PO2 and PO3 where carbon prices are lower than the </w:t>
      </w:r>
      <w:r w:rsidR="0084495D">
        <w:rPr>
          <w:rFonts w:eastAsia="Arial" w:cs="Arial"/>
          <w:noProof/>
          <w:lang w:eastAsia="en-GB"/>
        </w:rPr>
        <w:t>baseline</w:t>
      </w:r>
      <w:r w:rsidR="0053679F">
        <w:rPr>
          <w:rFonts w:eastAsia="Arial" w:cs="Arial"/>
          <w:noProof/>
          <w:lang w:eastAsia="en-GB"/>
        </w:rPr>
        <w:t>,</w:t>
      </w:r>
      <w:r w:rsidRPr="000653A9">
        <w:rPr>
          <w:rFonts w:eastAsia="Arial" w:cs="Arial"/>
          <w:noProof/>
          <w:lang w:eastAsia="en-GB"/>
        </w:rPr>
        <w:t xml:space="preserve"> (iii) other scenario implications of waste inclusion in </w:t>
      </w:r>
      <w:r w:rsidR="006D7469" w:rsidRPr="000653A9">
        <w:rPr>
          <w:rFonts w:eastAsia="Arial" w:cs="Arial"/>
          <w:noProof/>
          <w:lang w:eastAsia="en-GB"/>
        </w:rPr>
        <w:t>the</w:t>
      </w:r>
      <w:r w:rsidRPr="000653A9">
        <w:rPr>
          <w:rFonts w:eastAsia="Arial" w:cs="Arial"/>
          <w:noProof/>
          <w:lang w:eastAsia="en-GB"/>
        </w:rPr>
        <w:t xml:space="preserve"> </w:t>
      </w:r>
      <w:r w:rsidR="003D1FA0" w:rsidRPr="000653A9">
        <w:rPr>
          <w:rFonts w:eastAsia="Arial" w:cs="Arial"/>
          <w:noProof/>
          <w:lang w:eastAsia="en-GB"/>
        </w:rPr>
        <w:t>EU ETS</w:t>
      </w:r>
      <w:r w:rsidR="0053679F">
        <w:rPr>
          <w:rFonts w:eastAsia="Arial" w:cs="Arial"/>
          <w:noProof/>
          <w:lang w:eastAsia="en-GB"/>
        </w:rPr>
        <w:t xml:space="preserve"> </w:t>
      </w:r>
      <w:r w:rsidRPr="000653A9">
        <w:rPr>
          <w:rFonts w:eastAsia="Arial" w:cs="Arial"/>
          <w:noProof/>
          <w:lang w:eastAsia="en-GB"/>
        </w:rPr>
        <w:t xml:space="preserve">(iv) the impact arising from revenue recycling. The dominant driver of the sectoral effects varies between these four mechanisms across sectors. </w:t>
      </w:r>
    </w:p>
    <w:p w14:paraId="668B84A4" w14:textId="7F74922F" w:rsidR="00344ADD" w:rsidRPr="000653A9" w:rsidRDefault="00344ADD" w:rsidP="00344ADD">
      <w:pPr>
        <w:rPr>
          <w:rFonts w:eastAsia="Arial" w:cs="Arial"/>
          <w:noProof/>
          <w:lang w:eastAsia="en-GB"/>
        </w:rPr>
      </w:pPr>
      <w:r w:rsidRPr="00DA3A2A">
        <w:rPr>
          <w:rFonts w:eastAsia="Arial" w:cs="Arial"/>
          <w:noProof/>
          <w:lang w:eastAsia="en-GB"/>
        </w:rPr>
        <w:t>Chemical p</w:t>
      </w:r>
      <w:r w:rsidRPr="000653A9">
        <w:rPr>
          <w:rFonts w:eastAsia="Arial" w:cs="Arial"/>
          <w:noProof/>
          <w:lang w:eastAsia="en-GB"/>
        </w:rPr>
        <w:t xml:space="preserve">roducts, which receive the largest share of additional free allocations, exhibit the steepest decline in unit production costs under the policy measures. Among the policy measures, PO3 shows the highest reduction in production costs relative to the baseline, despite the full phase-out of free allowances after 2034. This improvement in competitiveness is driven by the inclusion of waste emissions in </w:t>
      </w:r>
      <w:r w:rsidR="006D7469" w:rsidRPr="000653A9">
        <w:rPr>
          <w:rFonts w:eastAsia="Arial" w:cs="Arial"/>
          <w:noProof/>
          <w:lang w:eastAsia="en-GB"/>
        </w:rPr>
        <w:t>the</w:t>
      </w:r>
      <w:r w:rsidRPr="000653A9">
        <w:rPr>
          <w:rFonts w:eastAsia="Arial" w:cs="Arial"/>
          <w:noProof/>
          <w:lang w:eastAsia="en-GB"/>
        </w:rPr>
        <w:t xml:space="preserve"> </w:t>
      </w:r>
      <w:r w:rsidR="003D1FA0" w:rsidRPr="000653A9">
        <w:rPr>
          <w:rFonts w:eastAsia="Arial" w:cs="Arial"/>
          <w:noProof/>
          <w:lang w:eastAsia="en-GB"/>
        </w:rPr>
        <w:t>EU ETS</w:t>
      </w:r>
      <w:r w:rsidRPr="000653A9">
        <w:rPr>
          <w:rFonts w:eastAsia="Arial" w:cs="Arial"/>
          <w:noProof/>
          <w:lang w:eastAsia="en-GB"/>
        </w:rPr>
        <w:t xml:space="preserve">, </w:t>
      </w:r>
      <w:r w:rsidR="008671EC">
        <w:rPr>
          <w:rFonts w:eastAsia="Arial" w:cs="Arial"/>
          <w:noProof/>
          <w:lang w:eastAsia="en-GB"/>
        </w:rPr>
        <w:t>specifically the inclusion of landfills undeer PO3</w:t>
      </w:r>
      <w:r w:rsidRPr="000653A9">
        <w:rPr>
          <w:rFonts w:eastAsia="Arial" w:cs="Arial"/>
          <w:noProof/>
          <w:lang w:eastAsia="en-GB"/>
        </w:rPr>
        <w:t xml:space="preserve">, relaxing the ETS constraint and thereby reducing the carbon price need to meet the </w:t>
      </w:r>
      <w:r w:rsidR="003D1FA0" w:rsidRPr="000653A9">
        <w:rPr>
          <w:rFonts w:eastAsia="Arial" w:cs="Arial"/>
          <w:noProof/>
          <w:lang w:eastAsia="en-GB"/>
        </w:rPr>
        <w:t>EU ETS</w:t>
      </w:r>
      <w:r w:rsidRPr="000653A9">
        <w:rPr>
          <w:rFonts w:eastAsia="Arial" w:cs="Arial"/>
          <w:noProof/>
          <w:lang w:eastAsia="en-GB"/>
        </w:rPr>
        <w:t xml:space="preserve"> </w:t>
      </w:r>
      <w:r w:rsidR="008671EC">
        <w:rPr>
          <w:rFonts w:eastAsia="Arial" w:cs="Arial"/>
          <w:noProof/>
          <w:lang w:eastAsia="en-GB"/>
        </w:rPr>
        <w:t>cap</w:t>
      </w:r>
      <w:r w:rsidRPr="000653A9">
        <w:rPr>
          <w:rFonts w:eastAsia="Arial" w:cs="Arial"/>
          <w:noProof/>
          <w:lang w:eastAsia="en-GB"/>
        </w:rPr>
        <w:t xml:space="preserve"> and hence the unit cost of production for PO3. By contrast, policy options with alternative revenue recycling (PO3R and PO1R) exhibit lower competitiveness, as redirecting revenues away from power-sector investment towards households increases domestic demand, which in turn raises both capital and labour costs. Ferrous metals and paper products publishing sectors under PO2 experiences an increase in unit production cost as higher electricity costs offsets the benefits from free allocation (which are lower compared to other sectors) and lower labour and capital costs. It is noteworthy that when free allocation is extended to both CBAM and non-CBAM sectors, ferrous metals sector becomes more competitive compared to cases when only non-CBAM sectors received free allocation. This effect is driven by near doubling of free allocations when moving from PO2_50 and PO2_90 to PO2_50C and PO2_90C, respectively. Overall, the impact on unit production costs across policy measures and sectors relative to the Reference ranges from -0.18% to 0.19%.</w:t>
      </w:r>
    </w:p>
    <w:bookmarkStart w:id="397" w:name="_Ref212827499"/>
    <w:p w14:paraId="116C76B3" w14:textId="35D23DAF" w:rsidR="00344ADD" w:rsidRPr="000653A9" w:rsidRDefault="00CB3AB8" w:rsidP="00C92FA9">
      <w:pPr>
        <w:pStyle w:val="Tabletitle"/>
        <w:rPr>
          <w:noProof/>
        </w:rPr>
      </w:pPr>
      <w:r>
        <w:rPr>
          <w:noProof/>
        </w:rPr>
        <w:fldChar w:fldCharType="begin"/>
      </w:r>
      <w:r>
        <w:rPr>
          <w:noProof/>
        </w:rPr>
        <w:instrText xml:space="preserve"> SEQ Table \* ARABIC \s 1 </w:instrText>
      </w:r>
      <w:r>
        <w:rPr>
          <w:noProof/>
        </w:rPr>
        <w:fldChar w:fldCharType="end"/>
      </w:r>
      <w:bookmarkStart w:id="398" w:name="_Toc234435117"/>
      <w:bookmarkStart w:id="399" w:name="_Toc232003585"/>
      <w:bookmarkEnd w:id="397"/>
      <w:r w:rsidR="00344ADD" w:rsidRPr="001100D1">
        <w:rPr>
          <w:noProof/>
        </w:rPr>
        <w:t>Percentage</w:t>
      </w:r>
      <w:r w:rsidR="00344ADD" w:rsidRPr="000653A9">
        <w:rPr>
          <w:noProof/>
        </w:rPr>
        <w:t xml:space="preserve"> change in the unit cost of production relative to the </w:t>
      </w:r>
      <w:r w:rsidR="00DB1329" w:rsidRPr="000653A9">
        <w:rPr>
          <w:noProof/>
        </w:rPr>
        <w:t xml:space="preserve">baseline </w:t>
      </w:r>
      <w:r w:rsidR="00344ADD" w:rsidRPr="000653A9">
        <w:rPr>
          <w:noProof/>
        </w:rPr>
        <w:t>scenario (2040)</w:t>
      </w:r>
      <w:bookmarkEnd w:id="398"/>
      <w:bookmarkEnd w:id="3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703"/>
        <w:gridCol w:w="848"/>
        <w:gridCol w:w="1032"/>
        <w:gridCol w:w="1178"/>
        <w:gridCol w:w="1032"/>
        <w:gridCol w:w="1178"/>
        <w:gridCol w:w="702"/>
        <w:gridCol w:w="848"/>
      </w:tblGrid>
      <w:tr w:rsidR="00700167" w:rsidRPr="000653A9" w14:paraId="5140B446" w14:textId="77777777" w:rsidTr="0067074A">
        <w:trPr>
          <w:trHeight w:val="20"/>
        </w:trPr>
        <w:tc>
          <w:tcPr>
            <w:tcW w:w="0" w:type="auto"/>
            <w:vAlign w:val="center"/>
          </w:tcPr>
          <w:p w14:paraId="091272D1" w14:textId="77777777" w:rsidR="00700167" w:rsidRPr="000653A9" w:rsidRDefault="00700167" w:rsidP="0067074A">
            <w:pPr>
              <w:spacing w:after="0"/>
              <w:jc w:val="center"/>
              <w:rPr>
                <w:rFonts w:eastAsia="Arial" w:cs="Arial"/>
                <w:b/>
                <w:bCs/>
                <w:noProof/>
                <w:lang w:eastAsia="en-GB"/>
              </w:rPr>
            </w:pPr>
          </w:p>
        </w:tc>
        <w:tc>
          <w:tcPr>
            <w:tcW w:w="0" w:type="auto"/>
            <w:gridSpan w:val="8"/>
            <w:vAlign w:val="center"/>
          </w:tcPr>
          <w:p w14:paraId="23CB81D6" w14:textId="77777777" w:rsidR="00700167" w:rsidRPr="000653A9" w:rsidRDefault="00700167" w:rsidP="0067074A">
            <w:pPr>
              <w:spacing w:after="0"/>
              <w:jc w:val="center"/>
              <w:rPr>
                <w:rFonts w:eastAsia="Arial" w:cs="Arial"/>
                <w:b/>
                <w:bCs/>
                <w:noProof/>
                <w:lang w:eastAsia="en-GB"/>
              </w:rPr>
            </w:pPr>
            <w:r w:rsidRPr="000653A9">
              <w:rPr>
                <w:rFonts w:eastAsia="Arial" w:cs="Arial"/>
                <w:b/>
                <w:bCs/>
                <w:noProof/>
                <w:sz w:val="22"/>
                <w:szCs w:val="22"/>
                <w:lang w:eastAsia="en-GB"/>
              </w:rPr>
              <w:t>Policy measures</w:t>
            </w:r>
          </w:p>
        </w:tc>
      </w:tr>
      <w:tr w:rsidR="00892DC3" w:rsidRPr="000653A9" w14:paraId="4AB7C649" w14:textId="77777777" w:rsidTr="0067074A">
        <w:trPr>
          <w:trHeight w:val="20"/>
        </w:trPr>
        <w:tc>
          <w:tcPr>
            <w:tcW w:w="0" w:type="auto"/>
            <w:vAlign w:val="center"/>
          </w:tcPr>
          <w:p w14:paraId="3A50D0D9" w14:textId="77777777" w:rsidR="00892DC3" w:rsidRPr="000653A9" w:rsidRDefault="00892DC3" w:rsidP="0067074A">
            <w:pPr>
              <w:spacing w:after="0"/>
              <w:jc w:val="center"/>
              <w:rPr>
                <w:rFonts w:eastAsia="Arial"/>
                <w:noProof/>
                <w:sz w:val="22"/>
                <w:szCs w:val="22"/>
                <w:lang w:eastAsia="en-GB"/>
              </w:rPr>
            </w:pPr>
          </w:p>
        </w:tc>
        <w:tc>
          <w:tcPr>
            <w:tcW w:w="0" w:type="auto"/>
            <w:vAlign w:val="center"/>
          </w:tcPr>
          <w:p w14:paraId="4968F27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PO1 (%)</w:t>
            </w:r>
          </w:p>
        </w:tc>
        <w:tc>
          <w:tcPr>
            <w:tcW w:w="0" w:type="auto"/>
            <w:vAlign w:val="center"/>
          </w:tcPr>
          <w:p w14:paraId="5A2BA78F"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PO1R (%)</w:t>
            </w:r>
          </w:p>
        </w:tc>
        <w:tc>
          <w:tcPr>
            <w:tcW w:w="0" w:type="auto"/>
            <w:vAlign w:val="center"/>
          </w:tcPr>
          <w:p w14:paraId="57C80658"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PO2_50 (%)</w:t>
            </w:r>
          </w:p>
        </w:tc>
        <w:tc>
          <w:tcPr>
            <w:tcW w:w="0" w:type="auto"/>
            <w:vAlign w:val="center"/>
          </w:tcPr>
          <w:p w14:paraId="1F36DBB7" w14:textId="29F3A41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PO2_50C (%)</w:t>
            </w:r>
          </w:p>
        </w:tc>
        <w:tc>
          <w:tcPr>
            <w:tcW w:w="0" w:type="auto"/>
            <w:vAlign w:val="center"/>
          </w:tcPr>
          <w:p w14:paraId="649144F0" w14:textId="0C8AB21B"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PO2_90 (%)</w:t>
            </w:r>
          </w:p>
        </w:tc>
        <w:tc>
          <w:tcPr>
            <w:tcW w:w="0" w:type="auto"/>
            <w:vAlign w:val="center"/>
          </w:tcPr>
          <w:p w14:paraId="426CA405" w14:textId="1080EDB0"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PO2_90C (%)</w:t>
            </w:r>
          </w:p>
        </w:tc>
        <w:tc>
          <w:tcPr>
            <w:tcW w:w="0" w:type="auto"/>
            <w:vAlign w:val="center"/>
          </w:tcPr>
          <w:p w14:paraId="2D7C5EEC"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PO3 (%)</w:t>
            </w:r>
          </w:p>
        </w:tc>
        <w:tc>
          <w:tcPr>
            <w:tcW w:w="0" w:type="auto"/>
            <w:vAlign w:val="center"/>
          </w:tcPr>
          <w:p w14:paraId="17524899"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PO3R (%)</w:t>
            </w:r>
          </w:p>
        </w:tc>
      </w:tr>
      <w:tr w:rsidR="00892DC3" w:rsidRPr="000653A9" w14:paraId="4D6F6B08" w14:textId="77777777" w:rsidTr="0067074A">
        <w:trPr>
          <w:trHeight w:val="20"/>
        </w:trPr>
        <w:tc>
          <w:tcPr>
            <w:tcW w:w="0" w:type="auto"/>
            <w:vAlign w:val="center"/>
          </w:tcPr>
          <w:p w14:paraId="073EBAE9"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Ferrous metals</w:t>
            </w:r>
          </w:p>
        </w:tc>
        <w:tc>
          <w:tcPr>
            <w:tcW w:w="0" w:type="auto"/>
            <w:vAlign w:val="center"/>
          </w:tcPr>
          <w:p w14:paraId="0C952EB3"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522D4964"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0.16</w:t>
            </w:r>
          </w:p>
        </w:tc>
        <w:tc>
          <w:tcPr>
            <w:tcW w:w="0" w:type="auto"/>
            <w:vAlign w:val="center"/>
          </w:tcPr>
          <w:p w14:paraId="2E655C4B"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0.05</w:t>
            </w:r>
          </w:p>
        </w:tc>
        <w:tc>
          <w:tcPr>
            <w:tcW w:w="0" w:type="auto"/>
            <w:vAlign w:val="center"/>
          </w:tcPr>
          <w:p w14:paraId="4B765345" w14:textId="02EADDCD"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69ED14F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0.05</w:t>
            </w:r>
          </w:p>
        </w:tc>
        <w:tc>
          <w:tcPr>
            <w:tcW w:w="0" w:type="auto"/>
            <w:vAlign w:val="center"/>
          </w:tcPr>
          <w:p w14:paraId="2D945B0E" w14:textId="3D2B26B8"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2F0EB3C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6214A79F"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0.10</w:t>
            </w:r>
          </w:p>
        </w:tc>
      </w:tr>
      <w:tr w:rsidR="00892DC3" w:rsidRPr="000653A9" w14:paraId="2359D7F9" w14:textId="77777777" w:rsidTr="0067074A">
        <w:trPr>
          <w:trHeight w:val="20"/>
        </w:trPr>
        <w:tc>
          <w:tcPr>
            <w:tcW w:w="0" w:type="auto"/>
            <w:vAlign w:val="center"/>
          </w:tcPr>
          <w:p w14:paraId="4669FDC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Non-ferrous metals</w:t>
            </w:r>
          </w:p>
        </w:tc>
        <w:tc>
          <w:tcPr>
            <w:tcW w:w="0" w:type="auto"/>
            <w:vAlign w:val="center"/>
          </w:tcPr>
          <w:p w14:paraId="6B3A90E4"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40D5587D"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0.12</w:t>
            </w:r>
          </w:p>
        </w:tc>
        <w:tc>
          <w:tcPr>
            <w:tcW w:w="0" w:type="auto"/>
            <w:vAlign w:val="center"/>
          </w:tcPr>
          <w:p w14:paraId="53B08F59"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6E2DB595" w14:textId="074BB3FA"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-0.02</w:t>
            </w:r>
          </w:p>
        </w:tc>
        <w:tc>
          <w:tcPr>
            <w:tcW w:w="0" w:type="auto"/>
            <w:vAlign w:val="center"/>
          </w:tcPr>
          <w:p w14:paraId="162F4911"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3F6047E2" w14:textId="3B793A02"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-0.02</w:t>
            </w:r>
          </w:p>
        </w:tc>
        <w:tc>
          <w:tcPr>
            <w:tcW w:w="0" w:type="auto"/>
            <w:vAlign w:val="center"/>
          </w:tcPr>
          <w:p w14:paraId="7DE3EE47"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-0.08</w:t>
            </w:r>
          </w:p>
        </w:tc>
        <w:tc>
          <w:tcPr>
            <w:tcW w:w="0" w:type="auto"/>
            <w:vAlign w:val="center"/>
          </w:tcPr>
          <w:p w14:paraId="2C390AA3"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0.04</w:t>
            </w:r>
          </w:p>
        </w:tc>
      </w:tr>
      <w:tr w:rsidR="00892DC3" w:rsidRPr="000653A9" w14:paraId="2D50E62E" w14:textId="77777777" w:rsidTr="0067074A">
        <w:trPr>
          <w:trHeight w:val="20"/>
        </w:trPr>
        <w:tc>
          <w:tcPr>
            <w:tcW w:w="0" w:type="auto"/>
            <w:vAlign w:val="center"/>
          </w:tcPr>
          <w:p w14:paraId="48BF2D3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Chemical Products</w:t>
            </w:r>
          </w:p>
        </w:tc>
        <w:tc>
          <w:tcPr>
            <w:tcW w:w="0" w:type="auto"/>
            <w:vAlign w:val="center"/>
          </w:tcPr>
          <w:p w14:paraId="69378FCB"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-0.17</w:t>
            </w:r>
          </w:p>
        </w:tc>
        <w:tc>
          <w:tcPr>
            <w:tcW w:w="0" w:type="auto"/>
            <w:vAlign w:val="center"/>
          </w:tcPr>
          <w:p w14:paraId="13944AA5"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3B0064FF"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-0.07</w:t>
            </w:r>
          </w:p>
        </w:tc>
        <w:tc>
          <w:tcPr>
            <w:tcW w:w="0" w:type="auto"/>
            <w:vAlign w:val="center"/>
          </w:tcPr>
          <w:p w14:paraId="08804760" w14:textId="7E4441A1"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-0.07</w:t>
            </w:r>
          </w:p>
        </w:tc>
        <w:tc>
          <w:tcPr>
            <w:tcW w:w="0" w:type="auto"/>
            <w:vAlign w:val="center"/>
          </w:tcPr>
          <w:p w14:paraId="4AC10765"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-0.12</w:t>
            </w:r>
          </w:p>
        </w:tc>
        <w:tc>
          <w:tcPr>
            <w:tcW w:w="0" w:type="auto"/>
            <w:vAlign w:val="center"/>
          </w:tcPr>
          <w:p w14:paraId="5463D54B" w14:textId="34B33E69"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-0.12</w:t>
            </w:r>
          </w:p>
        </w:tc>
        <w:tc>
          <w:tcPr>
            <w:tcW w:w="0" w:type="auto"/>
            <w:vAlign w:val="center"/>
          </w:tcPr>
          <w:p w14:paraId="0B5B7C54"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-0.18</w:t>
            </w:r>
          </w:p>
        </w:tc>
        <w:tc>
          <w:tcPr>
            <w:tcW w:w="0" w:type="auto"/>
            <w:vAlign w:val="center"/>
          </w:tcPr>
          <w:p w14:paraId="4FBD541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-0.09</w:t>
            </w:r>
          </w:p>
        </w:tc>
      </w:tr>
      <w:tr w:rsidR="00892DC3" w:rsidRPr="000653A9" w14:paraId="2AD30A22" w14:textId="77777777" w:rsidTr="0067074A">
        <w:trPr>
          <w:trHeight w:val="20"/>
        </w:trPr>
        <w:tc>
          <w:tcPr>
            <w:tcW w:w="0" w:type="auto"/>
            <w:vAlign w:val="center"/>
          </w:tcPr>
          <w:p w14:paraId="139B400A"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Paper products, publishing</w:t>
            </w:r>
          </w:p>
        </w:tc>
        <w:tc>
          <w:tcPr>
            <w:tcW w:w="0" w:type="auto"/>
            <w:vAlign w:val="center"/>
          </w:tcPr>
          <w:p w14:paraId="45F4847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0.04</w:t>
            </w:r>
          </w:p>
        </w:tc>
        <w:tc>
          <w:tcPr>
            <w:tcW w:w="0" w:type="auto"/>
            <w:vAlign w:val="center"/>
          </w:tcPr>
          <w:p w14:paraId="508BACD7"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0.19</w:t>
            </w:r>
          </w:p>
        </w:tc>
        <w:tc>
          <w:tcPr>
            <w:tcW w:w="0" w:type="auto"/>
            <w:vAlign w:val="center"/>
          </w:tcPr>
          <w:p w14:paraId="1972907F"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5CA616CD" w14:textId="1B96BD16"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0.05</w:t>
            </w:r>
          </w:p>
        </w:tc>
        <w:tc>
          <w:tcPr>
            <w:tcW w:w="0" w:type="auto"/>
            <w:vAlign w:val="center"/>
          </w:tcPr>
          <w:p w14:paraId="2A79BA2A"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0.05</w:t>
            </w:r>
          </w:p>
        </w:tc>
        <w:tc>
          <w:tcPr>
            <w:tcW w:w="0" w:type="auto"/>
            <w:vAlign w:val="center"/>
          </w:tcPr>
          <w:p w14:paraId="1FDD3F2A" w14:textId="5B6E1A42"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0.06</w:t>
            </w:r>
          </w:p>
        </w:tc>
        <w:tc>
          <w:tcPr>
            <w:tcW w:w="0" w:type="auto"/>
            <w:vAlign w:val="center"/>
          </w:tcPr>
          <w:p w14:paraId="469329D0"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-0.02</w:t>
            </w:r>
          </w:p>
        </w:tc>
        <w:tc>
          <w:tcPr>
            <w:tcW w:w="0" w:type="auto"/>
            <w:vAlign w:val="center"/>
          </w:tcPr>
          <w:p w14:paraId="16B7F8D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0.11</w:t>
            </w:r>
          </w:p>
        </w:tc>
      </w:tr>
      <w:tr w:rsidR="00892DC3" w:rsidRPr="000653A9" w14:paraId="3E9BE48C" w14:textId="77777777" w:rsidTr="0067074A">
        <w:trPr>
          <w:trHeight w:val="20"/>
        </w:trPr>
        <w:tc>
          <w:tcPr>
            <w:tcW w:w="0" w:type="auto"/>
            <w:vAlign w:val="center"/>
          </w:tcPr>
          <w:p w14:paraId="7D3877A4"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Non-metallic minerals</w:t>
            </w:r>
          </w:p>
        </w:tc>
        <w:tc>
          <w:tcPr>
            <w:tcW w:w="0" w:type="auto"/>
            <w:vAlign w:val="center"/>
          </w:tcPr>
          <w:p w14:paraId="7A52BEBE"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536C7C14"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0.13</w:t>
            </w:r>
          </w:p>
        </w:tc>
        <w:tc>
          <w:tcPr>
            <w:tcW w:w="0" w:type="auto"/>
            <w:vAlign w:val="center"/>
          </w:tcPr>
          <w:p w14:paraId="03E0EB41"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1328CF0C" w14:textId="00E0A613"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-0.02</w:t>
            </w:r>
          </w:p>
        </w:tc>
        <w:tc>
          <w:tcPr>
            <w:tcW w:w="0" w:type="auto"/>
            <w:vAlign w:val="center"/>
          </w:tcPr>
          <w:p w14:paraId="3340491C"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65129B0E" w14:textId="29F24732"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1F823300"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-0.05</w:t>
            </w:r>
          </w:p>
        </w:tc>
        <w:tc>
          <w:tcPr>
            <w:tcW w:w="0" w:type="auto"/>
            <w:vAlign w:val="center"/>
          </w:tcPr>
          <w:p w14:paraId="60EB5154" w14:textId="77777777" w:rsidR="00892DC3" w:rsidRPr="000653A9" w:rsidRDefault="00892DC3" w:rsidP="0067074A">
            <w:pPr>
              <w:spacing w:after="0"/>
              <w:jc w:val="center"/>
              <w:rPr>
                <w:rFonts w:eastAsia="Arial"/>
                <w:noProof/>
                <w:sz w:val="22"/>
                <w:szCs w:val="22"/>
                <w:lang w:eastAsia="en-GB"/>
              </w:rPr>
            </w:pPr>
            <w:r w:rsidRPr="000653A9">
              <w:rPr>
                <w:rFonts w:eastAsia="Arial"/>
                <w:noProof/>
                <w:sz w:val="22"/>
                <w:szCs w:val="22"/>
                <w:lang w:eastAsia="en-GB"/>
              </w:rPr>
              <w:t>0.08</w:t>
            </w:r>
          </w:p>
        </w:tc>
      </w:tr>
    </w:tbl>
    <w:p w14:paraId="7D9BB150" w14:textId="38DC7CCB" w:rsidR="00344ADD" w:rsidRPr="000653A9" w:rsidRDefault="00344ADD" w:rsidP="00344ADD">
      <w:pPr>
        <w:rPr>
          <w:i/>
          <w:iCs/>
          <w:noProof/>
          <w:sz w:val="20"/>
          <w:szCs w:val="20"/>
          <w:lang w:eastAsia="en-GB"/>
        </w:rPr>
      </w:pPr>
      <w:r w:rsidRPr="000653A9">
        <w:rPr>
          <w:rFonts w:eastAsia="Arial" w:cs="Arial"/>
          <w:i/>
          <w:iCs/>
          <w:noProof/>
          <w:sz w:val="20"/>
          <w:szCs w:val="20"/>
          <w:lang w:eastAsia="en-GB"/>
        </w:rPr>
        <w:t>Source:</w:t>
      </w:r>
      <w:r w:rsidRPr="000653A9">
        <w:rPr>
          <w:i/>
          <w:iCs/>
          <w:noProof/>
          <w:sz w:val="20"/>
          <w:szCs w:val="20"/>
          <w:lang w:eastAsia="en-GB"/>
        </w:rPr>
        <w:t xml:space="preserve"> GEM-E3 model (2025)</w:t>
      </w:r>
    </w:p>
    <w:p w14:paraId="17EED997" w14:textId="71AB996A" w:rsidR="00996BDE" w:rsidRDefault="00CB350F" w:rsidP="00996BDE">
      <w:pPr>
        <w:rPr>
          <w:noProof/>
          <w:color w:val="auto"/>
        </w:rPr>
      </w:pPr>
      <w:r>
        <w:rPr>
          <w:noProof/>
          <w:color w:val="auto"/>
        </w:rPr>
        <w:t>T</w:t>
      </w:r>
      <w:r w:rsidR="00996BDE" w:rsidRPr="002D38A8">
        <w:rPr>
          <w:noProof/>
          <w:color w:val="auto"/>
        </w:rPr>
        <w:t xml:space="preserve">able </w:t>
      </w:r>
      <w:r w:rsidR="001100D1">
        <w:rPr>
          <w:noProof/>
          <w:color w:val="auto"/>
        </w:rPr>
        <w:t>15</w:t>
      </w:r>
      <w:r>
        <w:rPr>
          <w:noProof/>
          <w:color w:val="auto"/>
        </w:rPr>
        <w:t xml:space="preserve"> </w:t>
      </w:r>
      <w:r w:rsidR="00996BDE">
        <w:rPr>
          <w:noProof/>
          <w:color w:val="auto"/>
        </w:rPr>
        <w:t>below shows</w:t>
      </w:r>
      <w:r w:rsidR="00996BDE" w:rsidRPr="002D38A8">
        <w:rPr>
          <w:noProof/>
          <w:color w:val="auto"/>
        </w:rPr>
        <w:t xml:space="preserve"> </w:t>
      </w:r>
      <w:r w:rsidR="00996BDE">
        <w:rPr>
          <w:noProof/>
          <w:color w:val="auto"/>
        </w:rPr>
        <w:t>the</w:t>
      </w:r>
      <w:r w:rsidR="00996BDE" w:rsidRPr="002D38A8">
        <w:rPr>
          <w:noProof/>
          <w:color w:val="auto"/>
        </w:rPr>
        <w:t xml:space="preserve"> </w:t>
      </w:r>
      <w:r w:rsidR="00996BDE">
        <w:rPr>
          <w:noProof/>
          <w:color w:val="auto"/>
        </w:rPr>
        <w:t xml:space="preserve">effects on unit cost of production when using </w:t>
      </w:r>
      <w:r w:rsidR="00996BDE" w:rsidRPr="002D38A8">
        <w:rPr>
          <w:noProof/>
          <w:color w:val="auto"/>
        </w:rPr>
        <w:t xml:space="preserve">the </w:t>
      </w:r>
      <w:r w:rsidR="00996BDE">
        <w:rPr>
          <w:noProof/>
          <w:color w:val="auto"/>
        </w:rPr>
        <w:t xml:space="preserve">90-85% cap pathway (see section 1.3.1.1), compared with the reference scenario of 85% linear trajectory. This scenario shows that for most sectors, the more ambitious cap trajectory results in some decrease in EU27 emissions and increases in the non-EU27 emissions in 2035, indicating a marginally </w:t>
      </w:r>
      <w:r w:rsidR="008F4B83">
        <w:rPr>
          <w:noProof/>
          <w:color w:val="auto"/>
        </w:rPr>
        <w:t>higher production</w:t>
      </w:r>
      <w:r w:rsidR="00996BDE">
        <w:rPr>
          <w:noProof/>
          <w:color w:val="auto"/>
        </w:rPr>
        <w:t xml:space="preserve"> </w:t>
      </w:r>
      <w:r w:rsidR="008F4B83">
        <w:rPr>
          <w:noProof/>
          <w:color w:val="auto"/>
        </w:rPr>
        <w:t>costs</w:t>
      </w:r>
      <w:r w:rsidR="00996BDE">
        <w:rPr>
          <w:noProof/>
          <w:color w:val="auto"/>
        </w:rPr>
        <w:t xml:space="preserve">. The differences in the results for 2040 are marginal or 0. </w:t>
      </w:r>
    </w:p>
    <w:p w14:paraId="411E43C8" w14:textId="5DBCF16F" w:rsidR="00996BDE" w:rsidRPr="003E22BE" w:rsidRDefault="00996BDE" w:rsidP="00C92FA9">
      <w:pPr>
        <w:pStyle w:val="Tabletitle"/>
        <w:rPr>
          <w:noProof/>
        </w:rPr>
      </w:pPr>
      <w:bookmarkStart w:id="400" w:name="_Toc234435118"/>
      <w:bookmarkStart w:id="401" w:name="_Toc232003586"/>
      <w:r w:rsidRPr="00996BDE">
        <w:rPr>
          <w:rFonts w:eastAsia="Arial"/>
          <w:noProof/>
        </w:rPr>
        <w:t>Percentage</w:t>
      </w:r>
      <w:r>
        <w:rPr>
          <w:noProof/>
        </w:rPr>
        <w:t xml:space="preserve"> change in </w:t>
      </w:r>
      <w:r w:rsidR="0044269F">
        <w:rPr>
          <w:noProof/>
        </w:rPr>
        <w:t>unit cost of production</w:t>
      </w:r>
      <w:r>
        <w:rPr>
          <w:noProof/>
        </w:rPr>
        <w:t xml:space="preserve"> leve</w:t>
      </w:r>
      <w:r w:rsidR="0044269F">
        <w:rPr>
          <w:noProof/>
        </w:rPr>
        <w:t>l</w:t>
      </w:r>
      <w:r>
        <w:rPr>
          <w:noProof/>
        </w:rPr>
        <w:t xml:space="preserve">s </w:t>
      </w:r>
      <w:r w:rsidR="007E0BAC">
        <w:rPr>
          <w:noProof/>
        </w:rPr>
        <w:t>for variants CL290_9085 and CL290</w:t>
      </w:r>
      <w:r w:rsidR="00900CA9">
        <w:rPr>
          <w:noProof/>
        </w:rPr>
        <w:t>C</w:t>
      </w:r>
      <w:r w:rsidR="007E0BAC">
        <w:rPr>
          <w:noProof/>
        </w:rPr>
        <w:t xml:space="preserve">_9085 </w:t>
      </w:r>
      <w:r>
        <w:rPr>
          <w:noProof/>
        </w:rPr>
        <w:t xml:space="preserve">compared to </w:t>
      </w:r>
      <w:r w:rsidRPr="003E22BE">
        <w:rPr>
          <w:noProof/>
        </w:rPr>
        <w:t>scenarios</w:t>
      </w:r>
      <w:r>
        <w:rPr>
          <w:noProof/>
        </w:rPr>
        <w:t xml:space="preserve"> </w:t>
      </w:r>
      <w:r w:rsidRPr="003E22BE">
        <w:rPr>
          <w:noProof/>
        </w:rPr>
        <w:t>CL2_90 and CL2_90C.</w:t>
      </w:r>
      <w:bookmarkEnd w:id="400"/>
      <w:bookmarkEnd w:id="401"/>
      <w:r w:rsidRPr="003E22BE">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9"/>
        <w:gridCol w:w="1488"/>
        <w:gridCol w:w="1634"/>
        <w:gridCol w:w="1581"/>
        <w:gridCol w:w="1634"/>
      </w:tblGrid>
      <w:tr w:rsidR="001F1915" w:rsidRPr="004C2D15" w14:paraId="455809D6" w14:textId="5C7A8953" w:rsidTr="00C11E94">
        <w:trPr>
          <w:trHeight w:val="310"/>
        </w:trPr>
        <w:tc>
          <w:tcPr>
            <w:tcW w:w="1539" w:type="pct"/>
            <w:shd w:val="clear" w:color="auto" w:fill="FFFFFF"/>
            <w:noWrap/>
            <w:vAlign w:val="center"/>
          </w:tcPr>
          <w:p w14:paraId="411B25E6" w14:textId="77777777" w:rsidR="001F1915" w:rsidRPr="0044269F" w:rsidRDefault="001F1915">
            <w:pPr>
              <w:jc w:val="center"/>
              <w:rPr>
                <w:noProof/>
                <w:color w:val="auto"/>
                <w:sz w:val="22"/>
                <w:szCs w:val="22"/>
                <w:lang w:val="en-US"/>
              </w:rPr>
            </w:pPr>
          </w:p>
        </w:tc>
        <w:tc>
          <w:tcPr>
            <w:tcW w:w="1658" w:type="pct"/>
            <w:gridSpan w:val="2"/>
            <w:shd w:val="clear" w:color="auto" w:fill="FFFFFF"/>
            <w:noWrap/>
            <w:vAlign w:val="center"/>
          </w:tcPr>
          <w:p w14:paraId="4989C504" w14:textId="77777777" w:rsidR="001F1915" w:rsidRPr="0044269F" w:rsidRDefault="001F1915">
            <w:pPr>
              <w:jc w:val="center"/>
              <w:rPr>
                <w:noProof/>
                <w:color w:val="auto"/>
                <w:sz w:val="22"/>
                <w:szCs w:val="22"/>
                <w:lang w:val="en-US"/>
              </w:rPr>
            </w:pPr>
            <w:r w:rsidRPr="0044269F">
              <w:rPr>
                <w:noProof/>
                <w:color w:val="auto"/>
                <w:sz w:val="22"/>
                <w:szCs w:val="22"/>
              </w:rPr>
              <w:t>2035</w:t>
            </w:r>
          </w:p>
        </w:tc>
        <w:tc>
          <w:tcPr>
            <w:tcW w:w="1803" w:type="pct"/>
            <w:gridSpan w:val="2"/>
            <w:shd w:val="clear" w:color="auto" w:fill="FFFFFF"/>
          </w:tcPr>
          <w:p w14:paraId="63F30C4B" w14:textId="763E2FB8" w:rsidR="001F1915" w:rsidRPr="0044269F" w:rsidRDefault="001F1915">
            <w:pPr>
              <w:jc w:val="center"/>
              <w:rPr>
                <w:noProof/>
                <w:color w:val="auto"/>
                <w:sz w:val="22"/>
                <w:szCs w:val="22"/>
              </w:rPr>
            </w:pPr>
            <w:r>
              <w:rPr>
                <w:noProof/>
                <w:color w:val="auto"/>
                <w:sz w:val="22"/>
                <w:szCs w:val="22"/>
              </w:rPr>
              <w:t>2040</w:t>
            </w:r>
          </w:p>
        </w:tc>
      </w:tr>
      <w:tr w:rsidR="00900CA9" w:rsidRPr="004C2D15" w14:paraId="48483E3C" w14:textId="500BBEB9" w:rsidTr="007F1ECE">
        <w:trPr>
          <w:trHeight w:val="310"/>
        </w:trPr>
        <w:tc>
          <w:tcPr>
            <w:tcW w:w="1539" w:type="pct"/>
            <w:shd w:val="clear" w:color="auto" w:fill="FFFFFF"/>
            <w:noWrap/>
            <w:vAlign w:val="center"/>
            <w:hideMark/>
          </w:tcPr>
          <w:p w14:paraId="5D7E3959" w14:textId="77777777" w:rsidR="00C11E94" w:rsidRPr="003E22BE" w:rsidRDefault="00C11E94" w:rsidP="00C11E94">
            <w:pPr>
              <w:jc w:val="center"/>
              <w:rPr>
                <w:noProof/>
                <w:color w:val="auto"/>
                <w:sz w:val="22"/>
                <w:szCs w:val="22"/>
                <w:lang w:val="en-US"/>
              </w:rPr>
            </w:pPr>
          </w:p>
        </w:tc>
        <w:tc>
          <w:tcPr>
            <w:tcW w:w="785" w:type="pct"/>
            <w:tcBorders>
              <w:bottom w:val="single" w:sz="4" w:space="0" w:color="auto"/>
            </w:tcBorders>
            <w:shd w:val="clear" w:color="auto" w:fill="FFFFFF"/>
            <w:noWrap/>
            <w:vAlign w:val="center"/>
            <w:hideMark/>
          </w:tcPr>
          <w:p w14:paraId="4E6AE6AB" w14:textId="6911190B" w:rsidR="00C11E94" w:rsidRPr="003E22BE" w:rsidRDefault="00C11E94" w:rsidP="00C11E94">
            <w:pPr>
              <w:jc w:val="center"/>
              <w:rPr>
                <w:noProof/>
                <w:color w:val="auto"/>
                <w:sz w:val="22"/>
                <w:szCs w:val="22"/>
                <w:lang w:val="en-US"/>
              </w:rPr>
            </w:pPr>
            <w:r w:rsidRPr="00836624">
              <w:rPr>
                <w:noProof/>
                <w:color w:val="auto"/>
                <w:sz w:val="22"/>
                <w:szCs w:val="22"/>
              </w:rPr>
              <w:t>CL2_90_9085</w:t>
            </w:r>
          </w:p>
        </w:tc>
        <w:tc>
          <w:tcPr>
            <w:tcW w:w="873" w:type="pct"/>
            <w:tcBorders>
              <w:bottom w:val="single" w:sz="4" w:space="0" w:color="auto"/>
            </w:tcBorders>
            <w:shd w:val="clear" w:color="auto" w:fill="FFFFFF"/>
            <w:noWrap/>
            <w:vAlign w:val="center"/>
            <w:hideMark/>
          </w:tcPr>
          <w:p w14:paraId="76201811" w14:textId="3ADF08C9" w:rsidR="00C11E94" w:rsidRPr="003E22BE" w:rsidRDefault="00C11E94" w:rsidP="00C11E94">
            <w:pPr>
              <w:jc w:val="center"/>
              <w:rPr>
                <w:noProof/>
                <w:color w:val="auto"/>
                <w:sz w:val="22"/>
                <w:szCs w:val="22"/>
                <w:lang w:val="en-US"/>
              </w:rPr>
            </w:pPr>
            <w:r w:rsidRPr="001F1915">
              <w:rPr>
                <w:noProof/>
                <w:color w:val="auto"/>
                <w:sz w:val="22"/>
                <w:szCs w:val="22"/>
              </w:rPr>
              <w:t>CL2_90</w:t>
            </w:r>
            <w:r w:rsidR="00900CA9">
              <w:rPr>
                <w:noProof/>
                <w:color w:val="auto"/>
                <w:sz w:val="22"/>
                <w:szCs w:val="22"/>
              </w:rPr>
              <w:t>C</w:t>
            </w:r>
            <w:r w:rsidRPr="001F1915">
              <w:rPr>
                <w:noProof/>
                <w:color w:val="auto"/>
                <w:sz w:val="22"/>
                <w:szCs w:val="22"/>
              </w:rPr>
              <w:t>_9085</w:t>
            </w:r>
          </w:p>
        </w:tc>
        <w:tc>
          <w:tcPr>
            <w:tcW w:w="930" w:type="pct"/>
            <w:tcBorders>
              <w:bottom w:val="single" w:sz="4" w:space="0" w:color="auto"/>
            </w:tcBorders>
            <w:shd w:val="clear" w:color="auto" w:fill="FFFFFF"/>
            <w:vAlign w:val="center"/>
          </w:tcPr>
          <w:p w14:paraId="44F054A7" w14:textId="0407C43D" w:rsidR="00C11E94" w:rsidRPr="001F1915" w:rsidRDefault="00C11E94" w:rsidP="00C11E94">
            <w:pPr>
              <w:jc w:val="center"/>
              <w:rPr>
                <w:noProof/>
                <w:color w:val="auto"/>
                <w:sz w:val="22"/>
                <w:szCs w:val="22"/>
              </w:rPr>
            </w:pPr>
            <w:r w:rsidRPr="00836624">
              <w:rPr>
                <w:noProof/>
                <w:color w:val="auto"/>
                <w:sz w:val="22"/>
                <w:szCs w:val="22"/>
              </w:rPr>
              <w:t>CL2_90_9085</w:t>
            </w:r>
          </w:p>
        </w:tc>
        <w:tc>
          <w:tcPr>
            <w:tcW w:w="873" w:type="pct"/>
            <w:tcBorders>
              <w:bottom w:val="single" w:sz="4" w:space="0" w:color="auto"/>
            </w:tcBorders>
            <w:shd w:val="clear" w:color="auto" w:fill="FFFFFF"/>
            <w:vAlign w:val="center"/>
          </w:tcPr>
          <w:p w14:paraId="6DA0AEB3" w14:textId="32CA9EAD" w:rsidR="00C11E94" w:rsidRPr="001F1915" w:rsidRDefault="00C11E94" w:rsidP="00C11E94">
            <w:pPr>
              <w:jc w:val="center"/>
              <w:rPr>
                <w:noProof/>
                <w:color w:val="auto"/>
                <w:sz w:val="22"/>
                <w:szCs w:val="22"/>
              </w:rPr>
            </w:pPr>
            <w:r w:rsidRPr="001F1915">
              <w:rPr>
                <w:noProof/>
                <w:color w:val="auto"/>
                <w:sz w:val="22"/>
                <w:szCs w:val="22"/>
              </w:rPr>
              <w:t>CL2_90</w:t>
            </w:r>
            <w:r w:rsidR="00900CA9">
              <w:rPr>
                <w:noProof/>
                <w:color w:val="auto"/>
                <w:sz w:val="22"/>
                <w:szCs w:val="22"/>
              </w:rPr>
              <w:t>C</w:t>
            </w:r>
            <w:r w:rsidRPr="001F1915">
              <w:rPr>
                <w:noProof/>
                <w:color w:val="auto"/>
                <w:sz w:val="22"/>
                <w:szCs w:val="22"/>
              </w:rPr>
              <w:t>_9085</w:t>
            </w:r>
          </w:p>
        </w:tc>
      </w:tr>
      <w:tr w:rsidR="00900CA9" w:rsidRPr="004C2D15" w14:paraId="0B5A0828" w14:textId="65D0EF40" w:rsidTr="007F1ECE">
        <w:trPr>
          <w:trHeight w:val="300"/>
        </w:trPr>
        <w:tc>
          <w:tcPr>
            <w:tcW w:w="1539" w:type="pct"/>
            <w:shd w:val="clear" w:color="auto" w:fill="FFFFFF"/>
            <w:noWrap/>
            <w:vAlign w:val="center"/>
            <w:hideMark/>
          </w:tcPr>
          <w:p w14:paraId="16885998" w14:textId="77777777" w:rsidR="003B57B9" w:rsidRPr="003E22BE" w:rsidRDefault="003B57B9" w:rsidP="003B57B9">
            <w:pPr>
              <w:jc w:val="center"/>
              <w:rPr>
                <w:noProof/>
                <w:color w:val="auto"/>
                <w:sz w:val="22"/>
                <w:szCs w:val="22"/>
                <w:lang w:val="en-US"/>
              </w:rPr>
            </w:pPr>
            <w:r w:rsidRPr="003E22BE">
              <w:rPr>
                <w:noProof/>
                <w:color w:val="auto"/>
                <w:sz w:val="22"/>
                <w:szCs w:val="22"/>
                <w:lang w:val="en-US"/>
              </w:rPr>
              <w:t>Ferrous metals</w:t>
            </w:r>
          </w:p>
        </w:tc>
        <w:tc>
          <w:tcPr>
            <w:tcW w:w="785" w:type="pct"/>
            <w:tcBorders>
              <w:top w:val="single" w:sz="4" w:space="0" w:color="auto"/>
              <w:bottom w:val="single" w:sz="4" w:space="0" w:color="auto"/>
            </w:tcBorders>
            <w:shd w:val="clear" w:color="auto" w:fill="FFFFFF"/>
            <w:noWrap/>
            <w:vAlign w:val="center"/>
            <w:hideMark/>
          </w:tcPr>
          <w:p w14:paraId="07E1CEE0" w14:textId="7962EF8E"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0.00%</w:t>
            </w:r>
          </w:p>
        </w:tc>
        <w:tc>
          <w:tcPr>
            <w:tcW w:w="873" w:type="pct"/>
            <w:tcBorders>
              <w:top w:val="single" w:sz="4" w:space="0" w:color="auto"/>
              <w:bottom w:val="single" w:sz="4" w:space="0" w:color="auto"/>
            </w:tcBorders>
            <w:shd w:val="clear" w:color="auto" w:fill="FFFFFF"/>
            <w:noWrap/>
            <w:vAlign w:val="center"/>
            <w:hideMark/>
          </w:tcPr>
          <w:p w14:paraId="7CCA12C1" w14:textId="359D3C7A"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0.07%</w:t>
            </w:r>
          </w:p>
        </w:tc>
        <w:tc>
          <w:tcPr>
            <w:tcW w:w="930" w:type="pct"/>
            <w:tcBorders>
              <w:top w:val="single" w:sz="4" w:space="0" w:color="auto"/>
              <w:bottom w:val="single" w:sz="4" w:space="0" w:color="auto"/>
            </w:tcBorders>
            <w:shd w:val="clear" w:color="auto" w:fill="FFFFFF"/>
            <w:vAlign w:val="center"/>
          </w:tcPr>
          <w:p w14:paraId="3231745A" w14:textId="725C3238"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c>
          <w:tcPr>
            <w:tcW w:w="873" w:type="pct"/>
            <w:tcBorders>
              <w:top w:val="single" w:sz="4" w:space="0" w:color="auto"/>
              <w:left w:val="nil"/>
              <w:bottom w:val="single" w:sz="4" w:space="0" w:color="auto"/>
              <w:right w:val="single" w:sz="4" w:space="0" w:color="auto"/>
            </w:tcBorders>
            <w:shd w:val="clear" w:color="auto" w:fill="FFFFFF"/>
            <w:vAlign w:val="center"/>
          </w:tcPr>
          <w:p w14:paraId="1B774E22" w14:textId="6AF3393F"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r>
      <w:tr w:rsidR="00900CA9" w:rsidRPr="004C2D15" w14:paraId="2A016AE0" w14:textId="7848674E" w:rsidTr="007F1ECE">
        <w:trPr>
          <w:trHeight w:val="300"/>
        </w:trPr>
        <w:tc>
          <w:tcPr>
            <w:tcW w:w="1539" w:type="pct"/>
            <w:shd w:val="clear" w:color="auto" w:fill="FFFFFF"/>
            <w:noWrap/>
            <w:vAlign w:val="center"/>
            <w:hideMark/>
          </w:tcPr>
          <w:p w14:paraId="4B47E7FF" w14:textId="77777777" w:rsidR="003B57B9" w:rsidRPr="003E22BE" w:rsidRDefault="003B57B9" w:rsidP="003B57B9">
            <w:pPr>
              <w:jc w:val="center"/>
              <w:rPr>
                <w:noProof/>
                <w:color w:val="auto"/>
                <w:sz w:val="22"/>
                <w:szCs w:val="22"/>
                <w:lang w:val="en-US"/>
              </w:rPr>
            </w:pPr>
            <w:r w:rsidRPr="003E22BE">
              <w:rPr>
                <w:noProof/>
                <w:color w:val="auto"/>
                <w:sz w:val="22"/>
                <w:szCs w:val="22"/>
                <w:lang w:val="en-US"/>
              </w:rPr>
              <w:t>Non-ferrous metals</w:t>
            </w:r>
          </w:p>
        </w:tc>
        <w:tc>
          <w:tcPr>
            <w:tcW w:w="785" w:type="pct"/>
            <w:tcBorders>
              <w:top w:val="single" w:sz="4" w:space="0" w:color="auto"/>
              <w:bottom w:val="single" w:sz="4" w:space="0" w:color="auto"/>
            </w:tcBorders>
            <w:shd w:val="clear" w:color="auto" w:fill="FFFFFF"/>
            <w:noWrap/>
            <w:vAlign w:val="center"/>
            <w:hideMark/>
          </w:tcPr>
          <w:p w14:paraId="209BFBC7" w14:textId="027CB71E"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0.02%</w:t>
            </w:r>
          </w:p>
        </w:tc>
        <w:tc>
          <w:tcPr>
            <w:tcW w:w="873" w:type="pct"/>
            <w:tcBorders>
              <w:top w:val="single" w:sz="4" w:space="0" w:color="auto"/>
              <w:bottom w:val="single" w:sz="4" w:space="0" w:color="auto"/>
            </w:tcBorders>
            <w:shd w:val="clear" w:color="auto" w:fill="FFFFFF"/>
            <w:noWrap/>
            <w:vAlign w:val="center"/>
            <w:hideMark/>
          </w:tcPr>
          <w:p w14:paraId="1B16C87A" w14:textId="0FB5B791"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0.04%</w:t>
            </w:r>
          </w:p>
        </w:tc>
        <w:tc>
          <w:tcPr>
            <w:tcW w:w="930" w:type="pct"/>
            <w:tcBorders>
              <w:top w:val="single" w:sz="4" w:space="0" w:color="auto"/>
              <w:bottom w:val="single" w:sz="4" w:space="0" w:color="auto"/>
            </w:tcBorders>
            <w:shd w:val="clear" w:color="auto" w:fill="FFFFFF"/>
            <w:vAlign w:val="center"/>
          </w:tcPr>
          <w:p w14:paraId="3D2E9B4D" w14:textId="55FF82A2"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c>
          <w:tcPr>
            <w:tcW w:w="873" w:type="pct"/>
            <w:tcBorders>
              <w:top w:val="single" w:sz="4" w:space="0" w:color="auto"/>
              <w:left w:val="nil"/>
              <w:bottom w:val="single" w:sz="4" w:space="0" w:color="auto"/>
              <w:right w:val="single" w:sz="4" w:space="0" w:color="auto"/>
            </w:tcBorders>
            <w:shd w:val="clear" w:color="auto" w:fill="FFFFFF"/>
            <w:vAlign w:val="center"/>
          </w:tcPr>
          <w:p w14:paraId="0CB01A31" w14:textId="0FE80ABE"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r>
      <w:tr w:rsidR="00900CA9" w:rsidRPr="004C2D15" w14:paraId="1FDD0CD4" w14:textId="1D321ECE" w:rsidTr="007F1ECE">
        <w:trPr>
          <w:trHeight w:val="300"/>
        </w:trPr>
        <w:tc>
          <w:tcPr>
            <w:tcW w:w="1539" w:type="pct"/>
            <w:shd w:val="clear" w:color="auto" w:fill="FFFFFF"/>
            <w:noWrap/>
            <w:vAlign w:val="center"/>
            <w:hideMark/>
          </w:tcPr>
          <w:p w14:paraId="606FB5CB" w14:textId="77777777" w:rsidR="003B57B9" w:rsidRPr="003E22BE" w:rsidRDefault="003B57B9" w:rsidP="003B57B9">
            <w:pPr>
              <w:jc w:val="center"/>
              <w:rPr>
                <w:noProof/>
                <w:color w:val="auto"/>
                <w:sz w:val="22"/>
                <w:szCs w:val="22"/>
                <w:lang w:val="en-US"/>
              </w:rPr>
            </w:pPr>
            <w:r w:rsidRPr="003E22BE">
              <w:rPr>
                <w:noProof/>
                <w:color w:val="auto"/>
                <w:sz w:val="22"/>
                <w:szCs w:val="22"/>
                <w:lang w:val="en-US"/>
              </w:rPr>
              <w:t>Chemical Products</w:t>
            </w:r>
          </w:p>
        </w:tc>
        <w:tc>
          <w:tcPr>
            <w:tcW w:w="785" w:type="pct"/>
            <w:tcBorders>
              <w:top w:val="single" w:sz="4" w:space="0" w:color="auto"/>
              <w:bottom w:val="single" w:sz="4" w:space="0" w:color="auto"/>
            </w:tcBorders>
            <w:shd w:val="clear" w:color="auto" w:fill="FFFFFF"/>
            <w:noWrap/>
            <w:vAlign w:val="center"/>
            <w:hideMark/>
          </w:tcPr>
          <w:p w14:paraId="389E10C7" w14:textId="1B8FFD45"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0.11%</w:t>
            </w:r>
          </w:p>
        </w:tc>
        <w:tc>
          <w:tcPr>
            <w:tcW w:w="873" w:type="pct"/>
            <w:tcBorders>
              <w:top w:val="single" w:sz="4" w:space="0" w:color="auto"/>
              <w:bottom w:val="single" w:sz="4" w:space="0" w:color="auto"/>
            </w:tcBorders>
            <w:shd w:val="clear" w:color="auto" w:fill="FFFFFF"/>
            <w:noWrap/>
            <w:vAlign w:val="center"/>
            <w:hideMark/>
          </w:tcPr>
          <w:p w14:paraId="22F66894" w14:textId="162E6681"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0.10%</w:t>
            </w:r>
          </w:p>
        </w:tc>
        <w:tc>
          <w:tcPr>
            <w:tcW w:w="930" w:type="pct"/>
            <w:tcBorders>
              <w:top w:val="single" w:sz="4" w:space="0" w:color="auto"/>
              <w:bottom w:val="single" w:sz="4" w:space="0" w:color="auto"/>
            </w:tcBorders>
            <w:shd w:val="clear" w:color="auto" w:fill="FFFFFF"/>
            <w:vAlign w:val="center"/>
          </w:tcPr>
          <w:p w14:paraId="445C4691" w14:textId="46435718"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c>
          <w:tcPr>
            <w:tcW w:w="873" w:type="pct"/>
            <w:tcBorders>
              <w:top w:val="single" w:sz="4" w:space="0" w:color="auto"/>
              <w:left w:val="nil"/>
              <w:bottom w:val="single" w:sz="4" w:space="0" w:color="auto"/>
              <w:right w:val="single" w:sz="4" w:space="0" w:color="auto"/>
            </w:tcBorders>
            <w:shd w:val="clear" w:color="auto" w:fill="FFFFFF"/>
            <w:vAlign w:val="center"/>
          </w:tcPr>
          <w:p w14:paraId="26D48D98" w14:textId="53F0E161"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r>
      <w:tr w:rsidR="00900CA9" w:rsidRPr="004C2D15" w14:paraId="689A9A8A" w14:textId="14735165" w:rsidTr="007F1ECE">
        <w:trPr>
          <w:trHeight w:val="310"/>
        </w:trPr>
        <w:tc>
          <w:tcPr>
            <w:tcW w:w="1539" w:type="pct"/>
            <w:shd w:val="clear" w:color="auto" w:fill="FFFFFF"/>
            <w:noWrap/>
            <w:vAlign w:val="center"/>
            <w:hideMark/>
          </w:tcPr>
          <w:p w14:paraId="1C95281C" w14:textId="77777777" w:rsidR="003B57B9" w:rsidRPr="003E22BE" w:rsidRDefault="003B57B9" w:rsidP="003B57B9">
            <w:pPr>
              <w:jc w:val="center"/>
              <w:rPr>
                <w:noProof/>
                <w:color w:val="auto"/>
                <w:sz w:val="22"/>
                <w:szCs w:val="22"/>
                <w:lang w:val="en-US"/>
              </w:rPr>
            </w:pPr>
            <w:r w:rsidRPr="003E22BE">
              <w:rPr>
                <w:noProof/>
                <w:color w:val="auto"/>
                <w:sz w:val="22"/>
                <w:szCs w:val="22"/>
                <w:lang w:val="en-US"/>
              </w:rPr>
              <w:t>Paper products, publishing</w:t>
            </w:r>
          </w:p>
        </w:tc>
        <w:tc>
          <w:tcPr>
            <w:tcW w:w="785" w:type="pct"/>
            <w:tcBorders>
              <w:top w:val="single" w:sz="4" w:space="0" w:color="auto"/>
              <w:bottom w:val="single" w:sz="4" w:space="0" w:color="auto"/>
            </w:tcBorders>
            <w:shd w:val="clear" w:color="auto" w:fill="FFFFFF"/>
            <w:noWrap/>
            <w:vAlign w:val="center"/>
            <w:hideMark/>
          </w:tcPr>
          <w:p w14:paraId="21307358" w14:textId="7BEB21CF"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0.03%</w:t>
            </w:r>
          </w:p>
        </w:tc>
        <w:tc>
          <w:tcPr>
            <w:tcW w:w="873" w:type="pct"/>
            <w:tcBorders>
              <w:top w:val="single" w:sz="4" w:space="0" w:color="auto"/>
              <w:bottom w:val="single" w:sz="4" w:space="0" w:color="auto"/>
            </w:tcBorders>
            <w:shd w:val="clear" w:color="auto" w:fill="FFFFFF"/>
            <w:noWrap/>
            <w:vAlign w:val="center"/>
            <w:hideMark/>
          </w:tcPr>
          <w:p w14:paraId="5AC5C125" w14:textId="0544F5FF"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0.00%</w:t>
            </w:r>
          </w:p>
        </w:tc>
        <w:tc>
          <w:tcPr>
            <w:tcW w:w="930" w:type="pct"/>
            <w:tcBorders>
              <w:top w:val="single" w:sz="4" w:space="0" w:color="auto"/>
              <w:bottom w:val="single" w:sz="4" w:space="0" w:color="auto"/>
            </w:tcBorders>
            <w:shd w:val="clear" w:color="auto" w:fill="FFFFFF"/>
            <w:vAlign w:val="center"/>
          </w:tcPr>
          <w:p w14:paraId="1E66CFD9" w14:textId="2071102F"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c>
          <w:tcPr>
            <w:tcW w:w="873" w:type="pct"/>
            <w:tcBorders>
              <w:top w:val="single" w:sz="4" w:space="0" w:color="auto"/>
              <w:left w:val="nil"/>
              <w:bottom w:val="single" w:sz="4" w:space="0" w:color="auto"/>
              <w:right w:val="single" w:sz="4" w:space="0" w:color="auto"/>
            </w:tcBorders>
            <w:shd w:val="clear" w:color="auto" w:fill="FFFFFF"/>
            <w:vAlign w:val="center"/>
          </w:tcPr>
          <w:p w14:paraId="27065D05" w14:textId="5B033595"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r>
      <w:tr w:rsidR="00900CA9" w:rsidRPr="004C2D15" w14:paraId="5D11F00B" w14:textId="495272F6" w:rsidTr="007F1ECE">
        <w:trPr>
          <w:trHeight w:val="310"/>
        </w:trPr>
        <w:tc>
          <w:tcPr>
            <w:tcW w:w="1539" w:type="pct"/>
            <w:shd w:val="clear" w:color="auto" w:fill="FFFFFF"/>
            <w:noWrap/>
            <w:vAlign w:val="center"/>
            <w:hideMark/>
          </w:tcPr>
          <w:p w14:paraId="7442DF40" w14:textId="77777777" w:rsidR="003B57B9" w:rsidRPr="003E22BE" w:rsidRDefault="003B57B9" w:rsidP="003B57B9">
            <w:pPr>
              <w:jc w:val="center"/>
              <w:rPr>
                <w:noProof/>
                <w:color w:val="auto"/>
                <w:sz w:val="22"/>
                <w:szCs w:val="22"/>
                <w:lang w:val="en-US"/>
              </w:rPr>
            </w:pPr>
            <w:r w:rsidRPr="003E22BE">
              <w:rPr>
                <w:noProof/>
                <w:color w:val="auto"/>
                <w:sz w:val="22"/>
                <w:szCs w:val="22"/>
                <w:lang w:val="en-US"/>
              </w:rPr>
              <w:t>Non-metallic minerals</w:t>
            </w:r>
          </w:p>
        </w:tc>
        <w:tc>
          <w:tcPr>
            <w:tcW w:w="785" w:type="pct"/>
            <w:tcBorders>
              <w:top w:val="single" w:sz="4" w:space="0" w:color="auto"/>
              <w:bottom w:val="single" w:sz="4" w:space="0" w:color="auto"/>
              <w:right w:val="single" w:sz="4" w:space="0" w:color="auto"/>
            </w:tcBorders>
            <w:shd w:val="clear" w:color="auto" w:fill="FFFFFF"/>
            <w:noWrap/>
            <w:vAlign w:val="center"/>
            <w:hideMark/>
          </w:tcPr>
          <w:p w14:paraId="447B8D44" w14:textId="6196B19D"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0.03%</w:t>
            </w:r>
          </w:p>
        </w:tc>
        <w:tc>
          <w:tcPr>
            <w:tcW w:w="87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E73CA6" w14:textId="4C781DFC" w:rsidR="003B57B9" w:rsidRPr="003B57B9" w:rsidRDefault="003B57B9" w:rsidP="003B57B9">
            <w:pPr>
              <w:jc w:val="center"/>
              <w:rPr>
                <w:rFonts w:eastAsia="Times New Roman"/>
                <w:noProof/>
                <w:color w:val="000000"/>
                <w:sz w:val="22"/>
                <w:szCs w:val="22"/>
              </w:rPr>
            </w:pPr>
            <w:r w:rsidRPr="0044269F">
              <w:rPr>
                <w:rFonts w:eastAsia="Times New Roman"/>
                <w:noProof/>
                <w:color w:val="000000"/>
                <w:sz w:val="22"/>
                <w:szCs w:val="22"/>
              </w:rPr>
              <w:t>0.05%</w:t>
            </w:r>
          </w:p>
        </w:tc>
        <w:tc>
          <w:tcPr>
            <w:tcW w:w="930" w:type="pct"/>
            <w:tcBorders>
              <w:top w:val="single" w:sz="4" w:space="0" w:color="auto"/>
              <w:left w:val="single" w:sz="4" w:space="0" w:color="auto"/>
              <w:bottom w:val="single" w:sz="4" w:space="0" w:color="auto"/>
              <w:right w:val="single" w:sz="4" w:space="0" w:color="auto"/>
            </w:tcBorders>
            <w:shd w:val="clear" w:color="auto" w:fill="FFFFFF"/>
            <w:vAlign w:val="center"/>
          </w:tcPr>
          <w:p w14:paraId="255A0F8A" w14:textId="2C869419"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c>
          <w:tcPr>
            <w:tcW w:w="873" w:type="pct"/>
            <w:tcBorders>
              <w:top w:val="single" w:sz="4" w:space="0" w:color="auto"/>
              <w:left w:val="single" w:sz="4" w:space="0" w:color="auto"/>
              <w:bottom w:val="single" w:sz="4" w:space="0" w:color="auto"/>
              <w:right w:val="single" w:sz="4" w:space="0" w:color="auto"/>
            </w:tcBorders>
            <w:shd w:val="clear" w:color="auto" w:fill="FFFFFF"/>
            <w:vAlign w:val="center"/>
          </w:tcPr>
          <w:p w14:paraId="7B1122ED" w14:textId="252B6BD3" w:rsidR="003B57B9" w:rsidRPr="0044269F" w:rsidRDefault="003B57B9" w:rsidP="003B57B9">
            <w:pPr>
              <w:jc w:val="center"/>
              <w:rPr>
                <w:rFonts w:eastAsia="Times New Roman"/>
                <w:noProof/>
                <w:color w:val="000000"/>
                <w:sz w:val="22"/>
                <w:szCs w:val="22"/>
              </w:rPr>
            </w:pPr>
            <w:r w:rsidRPr="003B57B9">
              <w:rPr>
                <w:rFonts w:eastAsia="Times New Roman"/>
                <w:noProof/>
                <w:color w:val="000000"/>
                <w:sz w:val="22"/>
                <w:szCs w:val="22"/>
              </w:rPr>
              <w:t>0.00%</w:t>
            </w:r>
          </w:p>
        </w:tc>
      </w:tr>
    </w:tbl>
    <w:p w14:paraId="24AD2612" w14:textId="77777777" w:rsidR="00996BDE" w:rsidRDefault="00996BDE" w:rsidP="00996BDE">
      <w:pPr>
        <w:pStyle w:val="BodyText"/>
        <w:spacing w:after="240"/>
        <w:rPr>
          <w:rFonts w:cs="Times New Roman"/>
          <w:i/>
          <w:iCs/>
          <w:noProof/>
          <w:sz w:val="20"/>
          <w:szCs w:val="20"/>
          <w:lang w:eastAsia="en-GB"/>
        </w:rPr>
      </w:pPr>
      <w:r w:rsidRPr="000653A9">
        <w:rPr>
          <w:rFonts w:cs="Times New Roman"/>
          <w:i/>
          <w:iCs/>
          <w:noProof/>
          <w:sz w:val="20"/>
          <w:szCs w:val="20"/>
          <w:lang w:eastAsia="en-GB"/>
        </w:rPr>
        <w:t>Source:</w:t>
      </w:r>
      <w:r w:rsidRPr="000653A9">
        <w:rPr>
          <w:i/>
          <w:iCs/>
          <w:noProof/>
          <w:sz w:val="22"/>
          <w:szCs w:val="22"/>
        </w:rPr>
        <w:tab/>
      </w:r>
      <w:r w:rsidRPr="000653A9">
        <w:rPr>
          <w:rFonts w:cs="Times New Roman"/>
          <w:i/>
          <w:iCs/>
          <w:noProof/>
          <w:sz w:val="20"/>
          <w:szCs w:val="20"/>
          <w:lang w:eastAsia="en-GB"/>
        </w:rPr>
        <w:t>GEM-E3 model (2025)</w:t>
      </w:r>
    </w:p>
    <w:p w14:paraId="58EE3DD3" w14:textId="2E4748A7" w:rsidR="00344ADD" w:rsidRPr="000653A9" w:rsidRDefault="00344ADD" w:rsidP="00344ADD">
      <w:pPr>
        <w:rPr>
          <w:rFonts w:eastAsia="Arial" w:cs="Arial"/>
          <w:noProof/>
          <w:lang w:eastAsia="en-GB"/>
        </w:rPr>
      </w:pPr>
      <w:r w:rsidRPr="000653A9">
        <w:rPr>
          <w:rFonts w:eastAsia="Arial" w:cs="Arial"/>
          <w:noProof/>
          <w:lang w:eastAsia="en-GB"/>
        </w:rPr>
        <w:t xml:space="preserve">Production and exports respond heterogeneously across policy options relative to the </w:t>
      </w:r>
      <w:r w:rsidR="00C97A49" w:rsidRPr="000653A9">
        <w:rPr>
          <w:rFonts w:eastAsia="Arial" w:cs="Arial"/>
          <w:noProof/>
          <w:lang w:eastAsia="en-GB"/>
        </w:rPr>
        <w:t xml:space="preserve">baseline </w:t>
      </w:r>
      <w:r w:rsidRPr="000653A9">
        <w:rPr>
          <w:rFonts w:eastAsia="Arial" w:cs="Arial"/>
          <w:noProof/>
          <w:lang w:eastAsia="en-GB"/>
        </w:rPr>
        <w:t xml:space="preserve">scenario, reflecting differences in free allocation, sectoral coverage, and revenue recycling </w:t>
      </w:r>
      <w:r w:rsidR="00C97A49" w:rsidRPr="000653A9">
        <w:rPr>
          <w:rFonts w:eastAsia="Arial" w:cs="Arial"/>
          <w:noProof/>
          <w:lang w:eastAsia="en-GB"/>
        </w:rPr>
        <w:t>(</w:t>
      </w:r>
      <w:r w:rsidR="00CB3AB8" w:rsidRPr="000653A9">
        <w:rPr>
          <w:rFonts w:eastAsia="Arial" w:cs="Arial"/>
          <w:noProof/>
          <w:lang w:eastAsia="en-GB"/>
        </w:rPr>
        <w:t>Table</w:t>
      </w:r>
      <w:r w:rsidR="00C97A49" w:rsidRPr="000653A9">
        <w:rPr>
          <w:rFonts w:eastAsia="Arial" w:cs="Arial"/>
          <w:noProof/>
          <w:lang w:eastAsia="en-GB"/>
        </w:rPr>
        <w:t>s</w:t>
      </w:r>
      <w:r w:rsidR="00CB3AB8" w:rsidRPr="000653A9">
        <w:rPr>
          <w:rFonts w:eastAsia="Arial" w:cs="Arial"/>
          <w:noProof/>
          <w:lang w:eastAsia="en-GB"/>
        </w:rPr>
        <w:t xml:space="preserve"> </w:t>
      </w:r>
      <w:r w:rsidR="001100D1">
        <w:rPr>
          <w:rFonts w:eastAsia="Arial" w:cs="Arial"/>
          <w:noProof/>
          <w:lang w:eastAsia="en-GB"/>
        </w:rPr>
        <w:t>16</w:t>
      </w:r>
      <w:r w:rsidR="00CB3AB8" w:rsidRPr="000653A9">
        <w:rPr>
          <w:rFonts w:eastAsia="Arial" w:cs="Arial"/>
          <w:noProof/>
          <w:lang w:eastAsia="en-GB"/>
        </w:rPr>
        <w:t xml:space="preserve"> </w:t>
      </w:r>
      <w:r w:rsidRPr="000653A9">
        <w:rPr>
          <w:rFonts w:eastAsia="Arial" w:cs="Arial"/>
          <w:noProof/>
          <w:lang w:eastAsia="en-GB"/>
        </w:rPr>
        <w:t xml:space="preserve">and </w:t>
      </w:r>
      <w:r w:rsidR="001100D1">
        <w:rPr>
          <w:rFonts w:eastAsia="Arial" w:cs="Arial"/>
          <w:noProof/>
          <w:lang w:eastAsia="en-GB"/>
        </w:rPr>
        <w:t>18</w:t>
      </w:r>
      <w:r w:rsidRPr="000653A9">
        <w:rPr>
          <w:rFonts w:eastAsia="Arial" w:cs="Arial"/>
          <w:noProof/>
          <w:lang w:eastAsia="en-GB"/>
        </w:rPr>
        <w:t xml:space="preserve">). Chemical products and non-metallic minerals, which experience reductions in unit production costs relative to the </w:t>
      </w:r>
      <w:r w:rsidR="00C97A49" w:rsidRPr="000653A9">
        <w:rPr>
          <w:rFonts w:eastAsia="Arial" w:cs="Arial"/>
          <w:noProof/>
          <w:lang w:eastAsia="en-GB"/>
        </w:rPr>
        <w:t>baseline</w:t>
      </w:r>
      <w:r w:rsidRPr="000653A9">
        <w:rPr>
          <w:rFonts w:eastAsia="Arial" w:cs="Arial"/>
          <w:noProof/>
          <w:lang w:eastAsia="en-GB"/>
        </w:rPr>
        <w:t xml:space="preserve">, face higher domestic and external demand and therefore record higher levels of both production and exports across the policy options. PO3 also exhibits higher production and export levels relative to the Reference due to lower unit cost of production. By contrast, policy options with alternative recycling (PO3R and PO1R) show lower production and export level due to reduced competitiveness. Non-ferrous metals, chemical products, and non-metallic minerals display higher production and export levels due to improved competitiveness under PO2 scenarios. On the contrary, ferrous metals become competitive leading to higher production and exports only when free allocation is extended to both CBAM and non-CBAM sectors. Overall, the impact on production and export across policy measures and sectors relative to the </w:t>
      </w:r>
      <w:r w:rsidR="003D499C">
        <w:rPr>
          <w:rFonts w:eastAsia="Arial" w:cs="Arial"/>
          <w:noProof/>
          <w:lang w:eastAsia="en-GB"/>
        </w:rPr>
        <w:t>baseline</w:t>
      </w:r>
      <w:r w:rsidRPr="000653A9">
        <w:rPr>
          <w:rFonts w:eastAsia="Arial" w:cs="Arial"/>
          <w:noProof/>
          <w:lang w:eastAsia="en-GB"/>
        </w:rPr>
        <w:t xml:space="preserve"> ranges from -0.56% to 1.61% for production and -1.09% to 4.63% for exports. </w:t>
      </w:r>
    </w:p>
    <w:p w14:paraId="46C6B9EB" w14:textId="4DAB2747" w:rsidR="00344ADD" w:rsidRPr="000653A9" w:rsidRDefault="00344ADD" w:rsidP="714422F9">
      <w:pPr>
        <w:pStyle w:val="Tabletitle"/>
        <w:rPr>
          <w:rFonts w:eastAsia="Arial"/>
          <w:noProof/>
        </w:rPr>
      </w:pPr>
      <w:bookmarkStart w:id="402" w:name="_Toc234435119"/>
      <w:bookmarkStart w:id="403" w:name="_Toc232003587"/>
      <w:r w:rsidRPr="714422F9">
        <w:rPr>
          <w:rFonts w:eastAsia="Arial"/>
          <w:noProof/>
        </w:rPr>
        <w:t>Percentage</w:t>
      </w:r>
      <w:r w:rsidRPr="714422F9">
        <w:rPr>
          <w:noProof/>
          <w:lang w:eastAsia="en-GB"/>
        </w:rPr>
        <w:t xml:space="preserve"> change in production levels in 2040 relative to the </w:t>
      </w:r>
      <w:r w:rsidR="00CD3774" w:rsidRPr="714422F9">
        <w:rPr>
          <w:noProof/>
          <w:lang w:eastAsia="en-GB"/>
        </w:rPr>
        <w:t>baseline</w:t>
      </w:r>
      <w:r w:rsidRPr="714422F9">
        <w:rPr>
          <w:noProof/>
          <w:lang w:eastAsia="en-GB"/>
        </w:rPr>
        <w:t xml:space="preserve"> scenario</w:t>
      </w:r>
      <w:bookmarkEnd w:id="402"/>
      <w:bookmarkEnd w:id="4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23"/>
        <w:gridCol w:w="737"/>
        <w:gridCol w:w="883"/>
        <w:gridCol w:w="1067"/>
        <w:gridCol w:w="1008"/>
        <w:gridCol w:w="1068"/>
        <w:gridCol w:w="1008"/>
        <w:gridCol w:w="738"/>
        <w:gridCol w:w="884"/>
      </w:tblGrid>
      <w:tr w:rsidR="00061A2C" w:rsidRPr="000653A9" w14:paraId="1C40F52A" w14:textId="77777777" w:rsidTr="0067074A">
        <w:trPr>
          <w:trHeight w:val="20"/>
          <w:jc w:val="center"/>
        </w:trPr>
        <w:tc>
          <w:tcPr>
            <w:tcW w:w="0" w:type="auto"/>
            <w:tcMar>
              <w:top w:w="0" w:type="dxa"/>
              <w:left w:w="108" w:type="dxa"/>
              <w:bottom w:w="0" w:type="dxa"/>
              <w:right w:w="108" w:type="dxa"/>
            </w:tcMar>
            <w:vAlign w:val="center"/>
            <w:hideMark/>
          </w:tcPr>
          <w:p w14:paraId="50D74649" w14:textId="77777777" w:rsidR="00061A2C" w:rsidRPr="000653A9" w:rsidRDefault="00061A2C" w:rsidP="0067074A">
            <w:pPr>
              <w:spacing w:after="0"/>
              <w:jc w:val="center"/>
              <w:rPr>
                <w:rFonts w:eastAsia="Arial"/>
                <w:noProof/>
                <w:sz w:val="22"/>
                <w:szCs w:val="22"/>
                <w:lang w:eastAsia="en-GB"/>
              </w:rPr>
            </w:pPr>
          </w:p>
        </w:tc>
        <w:tc>
          <w:tcPr>
            <w:tcW w:w="0" w:type="auto"/>
            <w:gridSpan w:val="8"/>
            <w:vAlign w:val="center"/>
          </w:tcPr>
          <w:p w14:paraId="6DB03728" w14:textId="77777777" w:rsidR="00061A2C" w:rsidRPr="000653A9" w:rsidRDefault="00061A2C" w:rsidP="0067074A">
            <w:pPr>
              <w:spacing w:after="0"/>
              <w:jc w:val="center"/>
              <w:rPr>
                <w:rFonts w:eastAsia="Arial"/>
                <w:noProof/>
                <w:sz w:val="22"/>
                <w:szCs w:val="22"/>
                <w:lang w:eastAsia="en-GB"/>
              </w:rPr>
            </w:pPr>
            <w:r w:rsidRPr="000653A9">
              <w:rPr>
                <w:rFonts w:eastAsia="Arial"/>
                <w:b/>
                <w:bCs/>
                <w:noProof/>
                <w:sz w:val="22"/>
                <w:szCs w:val="22"/>
                <w:lang w:eastAsia="en-GB"/>
              </w:rPr>
              <w:t>Policy measures</w:t>
            </w:r>
          </w:p>
        </w:tc>
      </w:tr>
      <w:tr w:rsidR="00D141F3" w:rsidRPr="000653A9" w14:paraId="6396AEAD" w14:textId="77777777" w:rsidTr="0067074A">
        <w:trPr>
          <w:trHeight w:val="20"/>
          <w:jc w:val="center"/>
        </w:trPr>
        <w:tc>
          <w:tcPr>
            <w:tcW w:w="0" w:type="auto"/>
            <w:tcMar>
              <w:top w:w="0" w:type="dxa"/>
              <w:left w:w="108" w:type="dxa"/>
              <w:bottom w:w="0" w:type="dxa"/>
              <w:right w:w="108" w:type="dxa"/>
            </w:tcMar>
            <w:vAlign w:val="center"/>
            <w:hideMark/>
          </w:tcPr>
          <w:p w14:paraId="030A1B03" w14:textId="77777777" w:rsidR="00D141F3" w:rsidRPr="000653A9" w:rsidRDefault="00D141F3" w:rsidP="0067074A">
            <w:pPr>
              <w:spacing w:after="0"/>
              <w:jc w:val="center"/>
              <w:rPr>
                <w:rFonts w:eastAsia="Arial"/>
                <w:noProof/>
                <w:sz w:val="22"/>
                <w:szCs w:val="22"/>
                <w:lang w:eastAsia="en-GB"/>
              </w:rPr>
            </w:pPr>
          </w:p>
        </w:tc>
        <w:tc>
          <w:tcPr>
            <w:tcW w:w="0" w:type="auto"/>
            <w:tcMar>
              <w:top w:w="0" w:type="dxa"/>
              <w:left w:w="108" w:type="dxa"/>
              <w:bottom w:w="0" w:type="dxa"/>
              <w:right w:w="108" w:type="dxa"/>
            </w:tcMar>
            <w:vAlign w:val="center"/>
            <w:hideMark/>
          </w:tcPr>
          <w:p w14:paraId="35BAF1E5"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PO1 (%)</w:t>
            </w:r>
          </w:p>
        </w:tc>
        <w:tc>
          <w:tcPr>
            <w:tcW w:w="0" w:type="auto"/>
            <w:tcMar>
              <w:top w:w="0" w:type="dxa"/>
              <w:left w:w="108" w:type="dxa"/>
              <w:bottom w:w="0" w:type="dxa"/>
              <w:right w:w="108" w:type="dxa"/>
            </w:tcMar>
            <w:vAlign w:val="center"/>
            <w:hideMark/>
          </w:tcPr>
          <w:p w14:paraId="5FDEB3AF"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PO1R (%)</w:t>
            </w:r>
          </w:p>
        </w:tc>
        <w:tc>
          <w:tcPr>
            <w:tcW w:w="0" w:type="auto"/>
            <w:tcMar>
              <w:top w:w="0" w:type="dxa"/>
              <w:left w:w="108" w:type="dxa"/>
              <w:bottom w:w="0" w:type="dxa"/>
              <w:right w:w="108" w:type="dxa"/>
            </w:tcMar>
            <w:vAlign w:val="center"/>
            <w:hideMark/>
          </w:tcPr>
          <w:p w14:paraId="7DA03B14"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PO2_50 (%)</w:t>
            </w:r>
          </w:p>
        </w:tc>
        <w:tc>
          <w:tcPr>
            <w:tcW w:w="0" w:type="auto"/>
            <w:vAlign w:val="center"/>
          </w:tcPr>
          <w:p w14:paraId="773E0B9A" w14:textId="0B8F42CC"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PO2_50C (%)</w:t>
            </w:r>
          </w:p>
        </w:tc>
        <w:tc>
          <w:tcPr>
            <w:tcW w:w="0" w:type="auto"/>
            <w:tcMar>
              <w:top w:w="0" w:type="dxa"/>
              <w:left w:w="108" w:type="dxa"/>
              <w:bottom w:w="0" w:type="dxa"/>
              <w:right w:w="108" w:type="dxa"/>
            </w:tcMar>
            <w:vAlign w:val="center"/>
            <w:hideMark/>
          </w:tcPr>
          <w:p w14:paraId="430BE494" w14:textId="4015BC6E"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PO2_90 (%)</w:t>
            </w:r>
          </w:p>
        </w:tc>
        <w:tc>
          <w:tcPr>
            <w:tcW w:w="0" w:type="auto"/>
            <w:vAlign w:val="center"/>
          </w:tcPr>
          <w:p w14:paraId="32F448DD" w14:textId="1E03CDDB"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PO2_90C (%)</w:t>
            </w:r>
          </w:p>
        </w:tc>
        <w:tc>
          <w:tcPr>
            <w:tcW w:w="0" w:type="auto"/>
            <w:tcMar>
              <w:top w:w="0" w:type="dxa"/>
              <w:left w:w="108" w:type="dxa"/>
              <w:bottom w:w="0" w:type="dxa"/>
              <w:right w:w="108" w:type="dxa"/>
            </w:tcMar>
            <w:vAlign w:val="center"/>
            <w:hideMark/>
          </w:tcPr>
          <w:p w14:paraId="336625E7"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PO3 (%)</w:t>
            </w:r>
          </w:p>
        </w:tc>
        <w:tc>
          <w:tcPr>
            <w:tcW w:w="0" w:type="auto"/>
            <w:tcMar>
              <w:top w:w="0" w:type="dxa"/>
              <w:left w:w="108" w:type="dxa"/>
              <w:bottom w:w="0" w:type="dxa"/>
              <w:right w:w="108" w:type="dxa"/>
            </w:tcMar>
            <w:vAlign w:val="center"/>
            <w:hideMark/>
          </w:tcPr>
          <w:p w14:paraId="70C8D4C0"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PO3R (%)</w:t>
            </w:r>
          </w:p>
        </w:tc>
      </w:tr>
      <w:tr w:rsidR="00D141F3" w:rsidRPr="000653A9" w14:paraId="6A898E17" w14:textId="77777777" w:rsidTr="0067074A">
        <w:trPr>
          <w:trHeight w:val="20"/>
          <w:jc w:val="center"/>
        </w:trPr>
        <w:tc>
          <w:tcPr>
            <w:tcW w:w="0" w:type="auto"/>
            <w:tcMar>
              <w:top w:w="0" w:type="dxa"/>
              <w:left w:w="108" w:type="dxa"/>
              <w:bottom w:w="0" w:type="dxa"/>
              <w:right w:w="108" w:type="dxa"/>
            </w:tcMar>
            <w:vAlign w:val="center"/>
            <w:hideMark/>
          </w:tcPr>
          <w:p w14:paraId="26B81677"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Ferrous metals</w:t>
            </w:r>
          </w:p>
        </w:tc>
        <w:tc>
          <w:tcPr>
            <w:tcW w:w="0" w:type="auto"/>
            <w:tcMar>
              <w:top w:w="0" w:type="dxa"/>
              <w:left w:w="108" w:type="dxa"/>
              <w:bottom w:w="0" w:type="dxa"/>
              <w:right w:w="108" w:type="dxa"/>
            </w:tcMar>
            <w:vAlign w:val="center"/>
            <w:hideMark/>
          </w:tcPr>
          <w:p w14:paraId="7F42911E"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-0.02</w:t>
            </w:r>
          </w:p>
        </w:tc>
        <w:tc>
          <w:tcPr>
            <w:tcW w:w="0" w:type="auto"/>
            <w:tcMar>
              <w:top w:w="0" w:type="dxa"/>
              <w:left w:w="108" w:type="dxa"/>
              <w:bottom w:w="0" w:type="dxa"/>
              <w:right w:w="108" w:type="dxa"/>
            </w:tcMar>
            <w:vAlign w:val="center"/>
            <w:hideMark/>
          </w:tcPr>
          <w:p w14:paraId="37C62D73"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-0.56</w:t>
            </w:r>
          </w:p>
        </w:tc>
        <w:tc>
          <w:tcPr>
            <w:tcW w:w="0" w:type="auto"/>
            <w:tcMar>
              <w:top w:w="0" w:type="dxa"/>
              <w:left w:w="108" w:type="dxa"/>
              <w:bottom w:w="0" w:type="dxa"/>
              <w:right w:w="108" w:type="dxa"/>
            </w:tcMar>
            <w:vAlign w:val="center"/>
            <w:hideMark/>
          </w:tcPr>
          <w:p w14:paraId="48CA70DD"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-0.08</w:t>
            </w:r>
          </w:p>
        </w:tc>
        <w:tc>
          <w:tcPr>
            <w:tcW w:w="0" w:type="auto"/>
            <w:vAlign w:val="center"/>
          </w:tcPr>
          <w:p w14:paraId="418FD8FF" w14:textId="12023852"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0.21</w:t>
            </w:r>
          </w:p>
        </w:tc>
        <w:tc>
          <w:tcPr>
            <w:tcW w:w="0" w:type="auto"/>
            <w:tcMar>
              <w:top w:w="0" w:type="dxa"/>
              <w:left w:w="108" w:type="dxa"/>
              <w:bottom w:w="0" w:type="dxa"/>
              <w:right w:w="108" w:type="dxa"/>
            </w:tcMar>
            <w:vAlign w:val="center"/>
            <w:hideMark/>
          </w:tcPr>
          <w:p w14:paraId="7A9275A5"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-0.08</w:t>
            </w:r>
          </w:p>
        </w:tc>
        <w:tc>
          <w:tcPr>
            <w:tcW w:w="0" w:type="auto"/>
            <w:vAlign w:val="center"/>
          </w:tcPr>
          <w:p w14:paraId="054A5276" w14:textId="12FD1112"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0.16</w:t>
            </w:r>
          </w:p>
        </w:tc>
        <w:tc>
          <w:tcPr>
            <w:tcW w:w="0" w:type="auto"/>
            <w:tcMar>
              <w:top w:w="0" w:type="dxa"/>
              <w:left w:w="108" w:type="dxa"/>
              <w:bottom w:w="0" w:type="dxa"/>
              <w:right w:w="108" w:type="dxa"/>
            </w:tcMar>
            <w:vAlign w:val="center"/>
            <w:hideMark/>
          </w:tcPr>
          <w:p w14:paraId="39B36CE9"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0.20</w:t>
            </w:r>
          </w:p>
        </w:tc>
        <w:tc>
          <w:tcPr>
            <w:tcW w:w="0" w:type="auto"/>
            <w:tcMar>
              <w:top w:w="0" w:type="dxa"/>
              <w:left w:w="108" w:type="dxa"/>
              <w:bottom w:w="0" w:type="dxa"/>
              <w:right w:w="108" w:type="dxa"/>
            </w:tcMar>
            <w:vAlign w:val="center"/>
            <w:hideMark/>
          </w:tcPr>
          <w:p w14:paraId="3365FC37"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-0.23</w:t>
            </w:r>
          </w:p>
        </w:tc>
      </w:tr>
      <w:tr w:rsidR="00D141F3" w:rsidRPr="000653A9" w14:paraId="7105A45B" w14:textId="77777777" w:rsidTr="0067074A">
        <w:trPr>
          <w:trHeight w:val="20"/>
          <w:jc w:val="center"/>
        </w:trPr>
        <w:tc>
          <w:tcPr>
            <w:tcW w:w="0" w:type="auto"/>
            <w:tcMar>
              <w:top w:w="0" w:type="dxa"/>
              <w:left w:w="108" w:type="dxa"/>
              <w:bottom w:w="0" w:type="dxa"/>
              <w:right w:w="108" w:type="dxa"/>
            </w:tcMar>
            <w:vAlign w:val="center"/>
            <w:hideMark/>
          </w:tcPr>
          <w:p w14:paraId="3A1CE677"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Non-ferrous metals</w:t>
            </w:r>
          </w:p>
        </w:tc>
        <w:tc>
          <w:tcPr>
            <w:tcW w:w="0" w:type="auto"/>
            <w:tcMar>
              <w:top w:w="0" w:type="dxa"/>
              <w:left w:w="108" w:type="dxa"/>
              <w:bottom w:w="0" w:type="dxa"/>
              <w:right w:w="108" w:type="dxa"/>
            </w:tcMar>
            <w:vAlign w:val="center"/>
            <w:hideMark/>
          </w:tcPr>
          <w:p w14:paraId="01C24278"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0.26</w:t>
            </w:r>
          </w:p>
        </w:tc>
        <w:tc>
          <w:tcPr>
            <w:tcW w:w="0" w:type="auto"/>
            <w:tcMar>
              <w:top w:w="0" w:type="dxa"/>
              <w:left w:w="108" w:type="dxa"/>
              <w:bottom w:w="0" w:type="dxa"/>
              <w:right w:w="108" w:type="dxa"/>
            </w:tcMar>
            <w:vAlign w:val="center"/>
            <w:hideMark/>
          </w:tcPr>
          <w:p w14:paraId="147CA3E7"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-0.40</w:t>
            </w:r>
          </w:p>
        </w:tc>
        <w:tc>
          <w:tcPr>
            <w:tcW w:w="0" w:type="auto"/>
            <w:tcMar>
              <w:top w:w="0" w:type="dxa"/>
              <w:left w:w="108" w:type="dxa"/>
              <w:bottom w:w="0" w:type="dxa"/>
              <w:right w:w="108" w:type="dxa"/>
            </w:tcMar>
            <w:vAlign w:val="center"/>
            <w:hideMark/>
          </w:tcPr>
          <w:p w14:paraId="0CA89224"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0.12</w:t>
            </w:r>
          </w:p>
        </w:tc>
        <w:tc>
          <w:tcPr>
            <w:tcW w:w="0" w:type="auto"/>
            <w:vAlign w:val="center"/>
          </w:tcPr>
          <w:p w14:paraId="052E572F" w14:textId="7A375BB5"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0.26</w:t>
            </w:r>
          </w:p>
        </w:tc>
        <w:tc>
          <w:tcPr>
            <w:tcW w:w="0" w:type="auto"/>
            <w:tcMar>
              <w:top w:w="0" w:type="dxa"/>
              <w:left w:w="108" w:type="dxa"/>
              <w:bottom w:w="0" w:type="dxa"/>
              <w:right w:w="108" w:type="dxa"/>
            </w:tcMar>
            <w:vAlign w:val="center"/>
            <w:hideMark/>
          </w:tcPr>
          <w:p w14:paraId="72697341"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0.20</w:t>
            </w:r>
          </w:p>
        </w:tc>
        <w:tc>
          <w:tcPr>
            <w:tcW w:w="0" w:type="auto"/>
            <w:vAlign w:val="center"/>
          </w:tcPr>
          <w:p w14:paraId="3E0B89DF" w14:textId="11849019"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0.31</w:t>
            </w:r>
          </w:p>
        </w:tc>
        <w:tc>
          <w:tcPr>
            <w:tcW w:w="0" w:type="auto"/>
            <w:tcMar>
              <w:top w:w="0" w:type="dxa"/>
              <w:left w:w="108" w:type="dxa"/>
              <w:bottom w:w="0" w:type="dxa"/>
              <w:right w:w="108" w:type="dxa"/>
            </w:tcMar>
            <w:vAlign w:val="center"/>
            <w:hideMark/>
          </w:tcPr>
          <w:p w14:paraId="4E1DD873"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0.60</w:t>
            </w:r>
          </w:p>
        </w:tc>
        <w:tc>
          <w:tcPr>
            <w:tcW w:w="0" w:type="auto"/>
            <w:tcMar>
              <w:top w:w="0" w:type="dxa"/>
              <w:left w:w="108" w:type="dxa"/>
              <w:bottom w:w="0" w:type="dxa"/>
              <w:right w:w="108" w:type="dxa"/>
            </w:tcMar>
            <w:vAlign w:val="center"/>
            <w:hideMark/>
          </w:tcPr>
          <w:p w14:paraId="6A05867F"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0.04</w:t>
            </w:r>
          </w:p>
        </w:tc>
      </w:tr>
      <w:tr w:rsidR="00D141F3" w:rsidRPr="000653A9" w14:paraId="7A725CCD" w14:textId="77777777" w:rsidTr="0067074A">
        <w:trPr>
          <w:trHeight w:val="20"/>
          <w:jc w:val="center"/>
        </w:trPr>
        <w:tc>
          <w:tcPr>
            <w:tcW w:w="0" w:type="auto"/>
            <w:tcMar>
              <w:top w:w="0" w:type="dxa"/>
              <w:left w:w="108" w:type="dxa"/>
              <w:bottom w:w="0" w:type="dxa"/>
              <w:right w:w="108" w:type="dxa"/>
            </w:tcMar>
            <w:vAlign w:val="center"/>
            <w:hideMark/>
          </w:tcPr>
          <w:p w14:paraId="007F1852"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Chemical Products</w:t>
            </w:r>
          </w:p>
        </w:tc>
        <w:tc>
          <w:tcPr>
            <w:tcW w:w="0" w:type="auto"/>
            <w:tcMar>
              <w:top w:w="0" w:type="dxa"/>
              <w:left w:w="108" w:type="dxa"/>
              <w:bottom w:w="0" w:type="dxa"/>
              <w:right w:w="108" w:type="dxa"/>
            </w:tcMar>
            <w:vAlign w:val="center"/>
            <w:hideMark/>
          </w:tcPr>
          <w:p w14:paraId="26D4AC93"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1.15</w:t>
            </w:r>
          </w:p>
        </w:tc>
        <w:tc>
          <w:tcPr>
            <w:tcW w:w="0" w:type="auto"/>
            <w:tcMar>
              <w:top w:w="0" w:type="dxa"/>
              <w:left w:w="108" w:type="dxa"/>
              <w:bottom w:w="0" w:type="dxa"/>
              <w:right w:w="108" w:type="dxa"/>
            </w:tcMar>
            <w:vAlign w:val="center"/>
            <w:hideMark/>
          </w:tcPr>
          <w:p w14:paraId="47ED5261"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0.74</w:t>
            </w:r>
          </w:p>
        </w:tc>
        <w:tc>
          <w:tcPr>
            <w:tcW w:w="0" w:type="auto"/>
            <w:tcMar>
              <w:top w:w="0" w:type="dxa"/>
              <w:left w:w="108" w:type="dxa"/>
              <w:bottom w:w="0" w:type="dxa"/>
              <w:right w:w="108" w:type="dxa"/>
            </w:tcMar>
            <w:vAlign w:val="center"/>
            <w:hideMark/>
          </w:tcPr>
          <w:p w14:paraId="767E2372"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0.60</w:t>
            </w:r>
          </w:p>
        </w:tc>
        <w:tc>
          <w:tcPr>
            <w:tcW w:w="0" w:type="auto"/>
            <w:vAlign w:val="center"/>
          </w:tcPr>
          <w:p w14:paraId="6874B606" w14:textId="38C61841"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0.69</w:t>
            </w:r>
          </w:p>
        </w:tc>
        <w:tc>
          <w:tcPr>
            <w:tcW w:w="0" w:type="auto"/>
            <w:tcMar>
              <w:top w:w="0" w:type="dxa"/>
              <w:left w:w="108" w:type="dxa"/>
              <w:bottom w:w="0" w:type="dxa"/>
              <w:right w:w="108" w:type="dxa"/>
            </w:tcMar>
            <w:vAlign w:val="center"/>
            <w:hideMark/>
          </w:tcPr>
          <w:p w14:paraId="31C2FE90"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0.95</w:t>
            </w:r>
          </w:p>
        </w:tc>
        <w:tc>
          <w:tcPr>
            <w:tcW w:w="0" w:type="auto"/>
            <w:vAlign w:val="center"/>
          </w:tcPr>
          <w:p w14:paraId="2660E89F" w14:textId="2598B72C"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1.03</w:t>
            </w:r>
          </w:p>
        </w:tc>
        <w:tc>
          <w:tcPr>
            <w:tcW w:w="0" w:type="auto"/>
            <w:tcMar>
              <w:top w:w="0" w:type="dxa"/>
              <w:left w:w="108" w:type="dxa"/>
              <w:bottom w:w="0" w:type="dxa"/>
              <w:right w:w="108" w:type="dxa"/>
            </w:tcMar>
            <w:vAlign w:val="center"/>
            <w:hideMark/>
          </w:tcPr>
          <w:p w14:paraId="1BE43537"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0.66</w:t>
            </w:r>
          </w:p>
        </w:tc>
        <w:tc>
          <w:tcPr>
            <w:tcW w:w="0" w:type="auto"/>
            <w:tcMar>
              <w:top w:w="0" w:type="dxa"/>
              <w:left w:w="108" w:type="dxa"/>
              <w:bottom w:w="0" w:type="dxa"/>
              <w:right w:w="108" w:type="dxa"/>
            </w:tcMar>
            <w:vAlign w:val="center"/>
            <w:hideMark/>
          </w:tcPr>
          <w:p w14:paraId="1CDA36BB"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0.44</w:t>
            </w:r>
          </w:p>
        </w:tc>
      </w:tr>
      <w:tr w:rsidR="00D141F3" w:rsidRPr="000653A9" w14:paraId="136AE6DA" w14:textId="77777777" w:rsidTr="0067074A">
        <w:trPr>
          <w:trHeight w:val="20"/>
          <w:jc w:val="center"/>
        </w:trPr>
        <w:tc>
          <w:tcPr>
            <w:tcW w:w="0" w:type="auto"/>
            <w:tcMar>
              <w:top w:w="0" w:type="dxa"/>
              <w:left w:w="108" w:type="dxa"/>
              <w:bottom w:w="0" w:type="dxa"/>
              <w:right w:w="108" w:type="dxa"/>
            </w:tcMar>
            <w:vAlign w:val="center"/>
            <w:hideMark/>
          </w:tcPr>
          <w:p w14:paraId="105F1F82"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Paper products, publishing</w:t>
            </w:r>
          </w:p>
        </w:tc>
        <w:tc>
          <w:tcPr>
            <w:tcW w:w="0" w:type="auto"/>
            <w:tcMar>
              <w:top w:w="0" w:type="dxa"/>
              <w:left w:w="108" w:type="dxa"/>
              <w:bottom w:w="0" w:type="dxa"/>
              <w:right w:w="108" w:type="dxa"/>
            </w:tcMar>
            <w:vAlign w:val="center"/>
            <w:hideMark/>
          </w:tcPr>
          <w:p w14:paraId="2C487B98"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0.01</w:t>
            </w:r>
          </w:p>
        </w:tc>
        <w:tc>
          <w:tcPr>
            <w:tcW w:w="0" w:type="auto"/>
            <w:tcMar>
              <w:top w:w="0" w:type="dxa"/>
              <w:left w:w="108" w:type="dxa"/>
              <w:bottom w:w="0" w:type="dxa"/>
              <w:right w:w="108" w:type="dxa"/>
            </w:tcMar>
            <w:vAlign w:val="center"/>
            <w:hideMark/>
          </w:tcPr>
          <w:p w14:paraId="73BA46FD"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-0.05</w:t>
            </w:r>
          </w:p>
        </w:tc>
        <w:tc>
          <w:tcPr>
            <w:tcW w:w="0" w:type="auto"/>
            <w:tcMar>
              <w:top w:w="0" w:type="dxa"/>
              <w:left w:w="108" w:type="dxa"/>
              <w:bottom w:w="0" w:type="dxa"/>
              <w:right w:w="108" w:type="dxa"/>
            </w:tcMar>
            <w:vAlign w:val="center"/>
            <w:hideMark/>
          </w:tcPr>
          <w:p w14:paraId="4C4250C5"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43E18AD3" w14:textId="229D45DD"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-0.04</w:t>
            </w:r>
          </w:p>
        </w:tc>
        <w:tc>
          <w:tcPr>
            <w:tcW w:w="0" w:type="auto"/>
            <w:tcMar>
              <w:top w:w="0" w:type="dxa"/>
              <w:left w:w="108" w:type="dxa"/>
              <w:bottom w:w="0" w:type="dxa"/>
              <w:right w:w="108" w:type="dxa"/>
            </w:tcMar>
            <w:vAlign w:val="center"/>
            <w:hideMark/>
          </w:tcPr>
          <w:p w14:paraId="48AA7B3B"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16616FD5" w14:textId="6EB7CD4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-0.03</w:t>
            </w:r>
          </w:p>
        </w:tc>
        <w:tc>
          <w:tcPr>
            <w:tcW w:w="0" w:type="auto"/>
            <w:tcMar>
              <w:top w:w="0" w:type="dxa"/>
              <w:left w:w="108" w:type="dxa"/>
              <w:bottom w:w="0" w:type="dxa"/>
              <w:right w:w="108" w:type="dxa"/>
            </w:tcMar>
            <w:vAlign w:val="center"/>
            <w:hideMark/>
          </w:tcPr>
          <w:p w14:paraId="57CBC76A"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0.02</w:t>
            </w:r>
          </w:p>
        </w:tc>
        <w:tc>
          <w:tcPr>
            <w:tcW w:w="0" w:type="auto"/>
            <w:tcMar>
              <w:top w:w="0" w:type="dxa"/>
              <w:left w:w="108" w:type="dxa"/>
              <w:bottom w:w="0" w:type="dxa"/>
              <w:right w:w="108" w:type="dxa"/>
            </w:tcMar>
            <w:vAlign w:val="center"/>
            <w:hideMark/>
          </w:tcPr>
          <w:p w14:paraId="3FAE0E64"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-0.01</w:t>
            </w:r>
          </w:p>
        </w:tc>
      </w:tr>
      <w:tr w:rsidR="00D141F3" w:rsidRPr="000653A9" w14:paraId="5A2AC1A6" w14:textId="77777777" w:rsidTr="0067074A">
        <w:trPr>
          <w:trHeight w:val="20"/>
          <w:jc w:val="center"/>
        </w:trPr>
        <w:tc>
          <w:tcPr>
            <w:tcW w:w="0" w:type="auto"/>
            <w:tcMar>
              <w:top w:w="0" w:type="dxa"/>
              <w:left w:w="108" w:type="dxa"/>
              <w:bottom w:w="0" w:type="dxa"/>
              <w:right w:w="108" w:type="dxa"/>
            </w:tcMar>
            <w:vAlign w:val="center"/>
            <w:hideMark/>
          </w:tcPr>
          <w:p w14:paraId="0726E87B"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Non-metallic minerals</w:t>
            </w:r>
          </w:p>
        </w:tc>
        <w:tc>
          <w:tcPr>
            <w:tcW w:w="0" w:type="auto"/>
            <w:tcMar>
              <w:top w:w="0" w:type="dxa"/>
              <w:left w:w="108" w:type="dxa"/>
              <w:bottom w:w="0" w:type="dxa"/>
              <w:right w:w="108" w:type="dxa"/>
            </w:tcMar>
            <w:vAlign w:val="center"/>
            <w:hideMark/>
          </w:tcPr>
          <w:p w14:paraId="7AB15B65"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1.08</w:t>
            </w:r>
          </w:p>
        </w:tc>
        <w:tc>
          <w:tcPr>
            <w:tcW w:w="0" w:type="auto"/>
            <w:tcMar>
              <w:top w:w="0" w:type="dxa"/>
              <w:left w:w="108" w:type="dxa"/>
              <w:bottom w:w="0" w:type="dxa"/>
              <w:right w:w="108" w:type="dxa"/>
            </w:tcMar>
            <w:vAlign w:val="center"/>
            <w:hideMark/>
          </w:tcPr>
          <w:p w14:paraId="010C320C"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0.73</w:t>
            </w:r>
          </w:p>
        </w:tc>
        <w:tc>
          <w:tcPr>
            <w:tcW w:w="0" w:type="auto"/>
            <w:tcMar>
              <w:top w:w="0" w:type="dxa"/>
              <w:left w:w="108" w:type="dxa"/>
              <w:bottom w:w="0" w:type="dxa"/>
              <w:right w:w="108" w:type="dxa"/>
            </w:tcMar>
            <w:vAlign w:val="center"/>
            <w:hideMark/>
          </w:tcPr>
          <w:p w14:paraId="4BE8AFAE"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0.72</w:t>
            </w:r>
          </w:p>
        </w:tc>
        <w:tc>
          <w:tcPr>
            <w:tcW w:w="0" w:type="auto"/>
            <w:vAlign w:val="center"/>
          </w:tcPr>
          <w:p w14:paraId="031D7CFD" w14:textId="068DF75F"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1.39</w:t>
            </w:r>
          </w:p>
        </w:tc>
        <w:tc>
          <w:tcPr>
            <w:tcW w:w="0" w:type="auto"/>
            <w:tcMar>
              <w:top w:w="0" w:type="dxa"/>
              <w:left w:w="108" w:type="dxa"/>
              <w:bottom w:w="0" w:type="dxa"/>
              <w:right w:w="108" w:type="dxa"/>
            </w:tcMar>
            <w:vAlign w:val="center"/>
            <w:hideMark/>
          </w:tcPr>
          <w:p w14:paraId="330332D6"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1.05</w:t>
            </w:r>
          </w:p>
        </w:tc>
        <w:tc>
          <w:tcPr>
            <w:tcW w:w="0" w:type="auto"/>
            <w:vAlign w:val="center"/>
          </w:tcPr>
          <w:p w14:paraId="26225ABE" w14:textId="1C4B02C6"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1.61</w:t>
            </w:r>
          </w:p>
        </w:tc>
        <w:tc>
          <w:tcPr>
            <w:tcW w:w="0" w:type="auto"/>
            <w:tcMar>
              <w:top w:w="0" w:type="dxa"/>
              <w:left w:w="108" w:type="dxa"/>
              <w:bottom w:w="0" w:type="dxa"/>
              <w:right w:w="108" w:type="dxa"/>
            </w:tcMar>
            <w:vAlign w:val="center"/>
            <w:hideMark/>
          </w:tcPr>
          <w:p w14:paraId="5872F876"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1.30</w:t>
            </w:r>
          </w:p>
        </w:tc>
        <w:tc>
          <w:tcPr>
            <w:tcW w:w="0" w:type="auto"/>
            <w:tcMar>
              <w:top w:w="0" w:type="dxa"/>
              <w:left w:w="108" w:type="dxa"/>
              <w:bottom w:w="0" w:type="dxa"/>
              <w:right w:w="108" w:type="dxa"/>
            </w:tcMar>
            <w:vAlign w:val="center"/>
            <w:hideMark/>
          </w:tcPr>
          <w:p w14:paraId="4DB2A9D9" w14:textId="77777777" w:rsidR="00D141F3" w:rsidRPr="000653A9" w:rsidRDefault="00D141F3" w:rsidP="0067074A">
            <w:pPr>
              <w:spacing w:after="0"/>
              <w:jc w:val="center"/>
              <w:rPr>
                <w:rFonts w:eastAsia="Arial"/>
                <w:noProof/>
                <w:sz w:val="22"/>
                <w:szCs w:val="22"/>
                <w:lang w:eastAsia="en-GB"/>
              </w:rPr>
            </w:pPr>
            <w:r w:rsidRPr="000653A9">
              <w:rPr>
                <w:rFonts w:eastAsia="Arial"/>
                <w:noProof/>
                <w:sz w:val="22"/>
                <w:szCs w:val="22"/>
                <w:lang w:eastAsia="en-GB"/>
              </w:rPr>
              <w:t>1.03</w:t>
            </w:r>
          </w:p>
        </w:tc>
      </w:tr>
    </w:tbl>
    <w:p w14:paraId="6BC4FFDF" w14:textId="5E6DB2B5" w:rsidR="00344ADD" w:rsidRDefault="00344ADD" w:rsidP="00344ADD">
      <w:pPr>
        <w:rPr>
          <w:rFonts w:eastAsia="Arial" w:cs="Arial"/>
          <w:i/>
          <w:iCs/>
          <w:noProof/>
          <w:sz w:val="20"/>
          <w:szCs w:val="20"/>
          <w:lang w:eastAsia="en-GB"/>
        </w:rPr>
      </w:pPr>
      <w:r w:rsidRPr="000653A9">
        <w:rPr>
          <w:rFonts w:eastAsia="Arial" w:cs="Arial"/>
          <w:i/>
          <w:iCs/>
          <w:noProof/>
          <w:sz w:val="20"/>
          <w:szCs w:val="20"/>
          <w:lang w:eastAsia="en-GB"/>
        </w:rPr>
        <w:t>Source:</w:t>
      </w:r>
      <w:r w:rsidR="000A7BC1" w:rsidRPr="000653A9">
        <w:rPr>
          <w:rFonts w:eastAsia="Arial" w:cs="Arial"/>
          <w:i/>
          <w:iCs/>
          <w:noProof/>
          <w:sz w:val="20"/>
          <w:szCs w:val="20"/>
          <w:lang w:eastAsia="en-GB"/>
        </w:rPr>
        <w:t xml:space="preserve"> </w:t>
      </w:r>
      <w:r w:rsidRPr="000653A9">
        <w:rPr>
          <w:rFonts w:eastAsia="Arial" w:cs="Arial"/>
          <w:i/>
          <w:iCs/>
          <w:noProof/>
          <w:sz w:val="20"/>
          <w:szCs w:val="20"/>
          <w:lang w:eastAsia="en-GB"/>
        </w:rPr>
        <w:t>GEM-E3 model (2025)</w:t>
      </w:r>
    </w:p>
    <w:p w14:paraId="17B6FD78" w14:textId="70299727" w:rsidR="008A7185" w:rsidRDefault="00CB350F" w:rsidP="008A7185">
      <w:pPr>
        <w:rPr>
          <w:noProof/>
          <w:color w:val="auto"/>
        </w:rPr>
      </w:pPr>
      <w:r>
        <w:rPr>
          <w:noProof/>
          <w:color w:val="auto"/>
        </w:rPr>
        <w:t>T</w:t>
      </w:r>
      <w:r w:rsidR="008A7185" w:rsidRPr="002D38A8">
        <w:rPr>
          <w:noProof/>
          <w:color w:val="auto"/>
        </w:rPr>
        <w:t>able</w:t>
      </w:r>
      <w:r>
        <w:rPr>
          <w:noProof/>
          <w:color w:val="auto"/>
        </w:rPr>
        <w:t xml:space="preserve"> </w:t>
      </w:r>
      <w:r w:rsidR="00383365">
        <w:rPr>
          <w:noProof/>
          <w:color w:val="auto"/>
        </w:rPr>
        <w:t>17</w:t>
      </w:r>
      <w:r w:rsidR="008A7185" w:rsidRPr="002D38A8">
        <w:rPr>
          <w:noProof/>
          <w:color w:val="auto"/>
        </w:rPr>
        <w:t xml:space="preserve"> </w:t>
      </w:r>
      <w:r w:rsidR="008A7185">
        <w:rPr>
          <w:noProof/>
          <w:color w:val="auto"/>
        </w:rPr>
        <w:t>below shows</w:t>
      </w:r>
      <w:r w:rsidR="008A7185" w:rsidRPr="002D38A8">
        <w:rPr>
          <w:noProof/>
          <w:color w:val="auto"/>
        </w:rPr>
        <w:t xml:space="preserve"> </w:t>
      </w:r>
      <w:r w:rsidR="008A7185">
        <w:rPr>
          <w:noProof/>
          <w:color w:val="auto"/>
        </w:rPr>
        <w:t>the</w:t>
      </w:r>
      <w:r w:rsidR="008A7185" w:rsidRPr="002D38A8">
        <w:rPr>
          <w:noProof/>
          <w:color w:val="auto"/>
        </w:rPr>
        <w:t xml:space="preserve"> </w:t>
      </w:r>
      <w:r w:rsidR="008A7185">
        <w:rPr>
          <w:noProof/>
          <w:color w:val="auto"/>
        </w:rPr>
        <w:t xml:space="preserve">effects on production levels when using </w:t>
      </w:r>
      <w:r w:rsidR="008A7185" w:rsidRPr="002D38A8">
        <w:rPr>
          <w:noProof/>
          <w:color w:val="auto"/>
        </w:rPr>
        <w:t xml:space="preserve">the </w:t>
      </w:r>
      <w:r w:rsidR="008A7185">
        <w:rPr>
          <w:noProof/>
          <w:color w:val="auto"/>
        </w:rPr>
        <w:t xml:space="preserve">90-85% cap pathway (see section 1.3.1.1), compared with the reference scenario of 85% linear trajectory. This scenario shows that for most sectors, the more ambitious cap trajectory results in some decrease in EU27 emissions and increases in the non-EU27 emissions in 2035, indicating a marginally lower </w:t>
      </w:r>
      <w:r w:rsidR="008F4B83">
        <w:rPr>
          <w:noProof/>
          <w:color w:val="auto"/>
        </w:rPr>
        <w:t>production</w:t>
      </w:r>
      <w:r w:rsidR="008A7185">
        <w:rPr>
          <w:noProof/>
          <w:color w:val="auto"/>
        </w:rPr>
        <w:t xml:space="preserve"> levels. The differences in the results for 2040 are marginal or 0 in most sectors. </w:t>
      </w:r>
    </w:p>
    <w:p w14:paraId="6226A854" w14:textId="107A6ED9" w:rsidR="008A7185" w:rsidRPr="003E22BE" w:rsidRDefault="008A7185" w:rsidP="714422F9">
      <w:pPr>
        <w:pStyle w:val="Tabletitle"/>
        <w:rPr>
          <w:rFonts w:eastAsia="Arial"/>
          <w:noProof/>
        </w:rPr>
      </w:pPr>
      <w:bookmarkStart w:id="404" w:name="_Toc234435120"/>
      <w:bookmarkStart w:id="405" w:name="_Toc232003588"/>
      <w:r w:rsidRPr="714422F9">
        <w:rPr>
          <w:rFonts w:eastAsia="Arial"/>
          <w:noProof/>
        </w:rPr>
        <w:t>Percentage</w:t>
      </w:r>
      <w:r>
        <w:rPr>
          <w:noProof/>
        </w:rPr>
        <w:t xml:space="preserve"> change in production levels </w:t>
      </w:r>
      <w:r w:rsidR="007E0BAC">
        <w:rPr>
          <w:noProof/>
        </w:rPr>
        <w:t>for variants CL290_9085 and CL290</w:t>
      </w:r>
      <w:r w:rsidR="00900CA9">
        <w:rPr>
          <w:noProof/>
        </w:rPr>
        <w:t>C</w:t>
      </w:r>
      <w:r w:rsidR="007E0BAC">
        <w:rPr>
          <w:noProof/>
        </w:rPr>
        <w:t xml:space="preserve">_9085 </w:t>
      </w:r>
      <w:r>
        <w:rPr>
          <w:noProof/>
        </w:rPr>
        <w:t>compared to scenarios CL2_90 and CL2_90C.</w:t>
      </w:r>
      <w:bookmarkEnd w:id="404"/>
      <w:bookmarkEnd w:id="405"/>
      <w:r>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1488"/>
        <w:gridCol w:w="1634"/>
        <w:gridCol w:w="1612"/>
        <w:gridCol w:w="1634"/>
      </w:tblGrid>
      <w:tr w:rsidR="00B5536D" w:rsidRPr="004C2D15" w14:paraId="62423FF4" w14:textId="7E619255" w:rsidTr="00431D56">
        <w:trPr>
          <w:trHeight w:val="310"/>
        </w:trPr>
        <w:tc>
          <w:tcPr>
            <w:tcW w:w="1537" w:type="pct"/>
            <w:shd w:val="clear" w:color="auto" w:fill="FFFFFF"/>
            <w:noWrap/>
            <w:vAlign w:val="center"/>
          </w:tcPr>
          <w:p w14:paraId="00148027" w14:textId="77777777" w:rsidR="00B5536D" w:rsidRPr="0044269F" w:rsidRDefault="00B5536D" w:rsidP="00B5536D">
            <w:pPr>
              <w:jc w:val="center"/>
              <w:rPr>
                <w:noProof/>
                <w:color w:val="auto"/>
                <w:sz w:val="22"/>
                <w:szCs w:val="22"/>
                <w:lang w:val="en-US"/>
              </w:rPr>
            </w:pPr>
          </w:p>
        </w:tc>
        <w:tc>
          <w:tcPr>
            <w:tcW w:w="1652" w:type="pct"/>
            <w:gridSpan w:val="2"/>
            <w:shd w:val="clear" w:color="auto" w:fill="FFFFFF"/>
            <w:noWrap/>
            <w:vAlign w:val="center"/>
          </w:tcPr>
          <w:p w14:paraId="2D84FF48" w14:textId="77777777" w:rsidR="00B5536D" w:rsidRPr="0044269F" w:rsidRDefault="00B5536D" w:rsidP="00B5536D">
            <w:pPr>
              <w:jc w:val="center"/>
              <w:rPr>
                <w:noProof/>
                <w:color w:val="auto"/>
                <w:sz w:val="22"/>
                <w:szCs w:val="22"/>
                <w:lang w:val="en-US"/>
              </w:rPr>
            </w:pPr>
            <w:r w:rsidRPr="0044269F">
              <w:rPr>
                <w:noProof/>
                <w:color w:val="auto"/>
                <w:sz w:val="22"/>
                <w:szCs w:val="22"/>
              </w:rPr>
              <w:t>2035</w:t>
            </w:r>
          </w:p>
        </w:tc>
        <w:tc>
          <w:tcPr>
            <w:tcW w:w="1811" w:type="pct"/>
            <w:gridSpan w:val="2"/>
            <w:shd w:val="clear" w:color="auto" w:fill="FFFFFF"/>
          </w:tcPr>
          <w:p w14:paraId="0037CAFB" w14:textId="1F599C88" w:rsidR="00B5536D" w:rsidRPr="0044269F" w:rsidRDefault="00B5536D" w:rsidP="00B5536D">
            <w:pPr>
              <w:jc w:val="center"/>
              <w:rPr>
                <w:noProof/>
                <w:color w:val="auto"/>
                <w:sz w:val="22"/>
                <w:szCs w:val="22"/>
              </w:rPr>
            </w:pPr>
            <w:r>
              <w:rPr>
                <w:noProof/>
                <w:color w:val="auto"/>
                <w:sz w:val="22"/>
                <w:szCs w:val="22"/>
              </w:rPr>
              <w:t>2040</w:t>
            </w:r>
          </w:p>
        </w:tc>
      </w:tr>
      <w:tr w:rsidR="00900CA9" w:rsidRPr="004C2D15" w14:paraId="3392CE1A" w14:textId="5C9F9D5D" w:rsidTr="007F1ECE">
        <w:trPr>
          <w:trHeight w:val="310"/>
        </w:trPr>
        <w:tc>
          <w:tcPr>
            <w:tcW w:w="1537" w:type="pct"/>
            <w:shd w:val="clear" w:color="auto" w:fill="FFFFFF"/>
            <w:noWrap/>
            <w:vAlign w:val="center"/>
            <w:hideMark/>
          </w:tcPr>
          <w:p w14:paraId="229C501B" w14:textId="77777777" w:rsidR="00B5536D" w:rsidRPr="003E22BE" w:rsidRDefault="00B5536D" w:rsidP="00B5536D">
            <w:pPr>
              <w:jc w:val="center"/>
              <w:rPr>
                <w:noProof/>
                <w:color w:val="auto"/>
                <w:sz w:val="22"/>
                <w:szCs w:val="22"/>
                <w:lang w:val="en-US"/>
              </w:rPr>
            </w:pPr>
          </w:p>
        </w:tc>
        <w:tc>
          <w:tcPr>
            <w:tcW w:w="782" w:type="pct"/>
            <w:tcBorders>
              <w:bottom w:val="single" w:sz="4" w:space="0" w:color="auto"/>
            </w:tcBorders>
            <w:shd w:val="clear" w:color="auto" w:fill="FFFFFF"/>
            <w:noWrap/>
            <w:vAlign w:val="center"/>
            <w:hideMark/>
          </w:tcPr>
          <w:p w14:paraId="61B9D4D4" w14:textId="49873E5E" w:rsidR="00B5536D" w:rsidRPr="003E22BE" w:rsidRDefault="00B5536D" w:rsidP="00B5536D">
            <w:pPr>
              <w:jc w:val="center"/>
              <w:rPr>
                <w:noProof/>
                <w:color w:val="auto"/>
                <w:sz w:val="22"/>
                <w:szCs w:val="22"/>
                <w:lang w:val="en-US"/>
              </w:rPr>
            </w:pPr>
            <w:r w:rsidRPr="00836624">
              <w:rPr>
                <w:noProof/>
                <w:color w:val="auto"/>
                <w:sz w:val="22"/>
                <w:szCs w:val="22"/>
              </w:rPr>
              <w:t>CL2_90_9085</w:t>
            </w:r>
          </w:p>
        </w:tc>
        <w:tc>
          <w:tcPr>
            <w:tcW w:w="870" w:type="pct"/>
            <w:tcBorders>
              <w:bottom w:val="single" w:sz="4" w:space="0" w:color="auto"/>
            </w:tcBorders>
            <w:shd w:val="clear" w:color="auto" w:fill="FFFFFF"/>
            <w:noWrap/>
            <w:vAlign w:val="center"/>
            <w:hideMark/>
          </w:tcPr>
          <w:p w14:paraId="3126AB9F" w14:textId="2111648E" w:rsidR="00B5536D" w:rsidRPr="003E22BE" w:rsidRDefault="00B5536D" w:rsidP="00B5536D">
            <w:pPr>
              <w:jc w:val="center"/>
              <w:rPr>
                <w:noProof/>
                <w:color w:val="auto"/>
                <w:sz w:val="22"/>
                <w:szCs w:val="22"/>
                <w:lang w:val="en-US"/>
              </w:rPr>
            </w:pPr>
            <w:r w:rsidRPr="001F1915">
              <w:rPr>
                <w:noProof/>
                <w:color w:val="auto"/>
                <w:sz w:val="22"/>
                <w:szCs w:val="22"/>
              </w:rPr>
              <w:t>CL2_90</w:t>
            </w:r>
            <w:r w:rsidR="00900CA9">
              <w:rPr>
                <w:noProof/>
                <w:color w:val="auto"/>
                <w:sz w:val="22"/>
                <w:szCs w:val="22"/>
              </w:rPr>
              <w:t>C</w:t>
            </w:r>
            <w:r w:rsidRPr="001F1915">
              <w:rPr>
                <w:noProof/>
                <w:color w:val="auto"/>
                <w:sz w:val="22"/>
                <w:szCs w:val="22"/>
              </w:rPr>
              <w:t>_9085</w:t>
            </w:r>
          </w:p>
        </w:tc>
        <w:tc>
          <w:tcPr>
            <w:tcW w:w="963" w:type="pct"/>
            <w:tcBorders>
              <w:bottom w:val="single" w:sz="4" w:space="0" w:color="auto"/>
            </w:tcBorders>
            <w:shd w:val="clear" w:color="auto" w:fill="FFFFFF"/>
            <w:vAlign w:val="center"/>
          </w:tcPr>
          <w:p w14:paraId="02374068" w14:textId="77B65BFA" w:rsidR="00B5536D" w:rsidRPr="0044269F" w:rsidRDefault="00B5536D" w:rsidP="00B5536D">
            <w:pPr>
              <w:jc w:val="center"/>
              <w:rPr>
                <w:noProof/>
                <w:color w:val="auto"/>
                <w:sz w:val="22"/>
                <w:szCs w:val="22"/>
              </w:rPr>
            </w:pPr>
            <w:r w:rsidRPr="001F1915">
              <w:rPr>
                <w:noProof/>
                <w:color w:val="auto"/>
                <w:sz w:val="22"/>
                <w:szCs w:val="22"/>
              </w:rPr>
              <w:t>CL2_90_9085</w:t>
            </w:r>
          </w:p>
        </w:tc>
        <w:tc>
          <w:tcPr>
            <w:tcW w:w="849" w:type="pct"/>
            <w:tcBorders>
              <w:bottom w:val="single" w:sz="4" w:space="0" w:color="auto"/>
            </w:tcBorders>
            <w:shd w:val="clear" w:color="auto" w:fill="FFFFFF"/>
          </w:tcPr>
          <w:p w14:paraId="7264E2CE" w14:textId="334B68FD" w:rsidR="00B5536D" w:rsidRPr="0044269F" w:rsidRDefault="00B5536D" w:rsidP="00B5536D">
            <w:pPr>
              <w:jc w:val="center"/>
              <w:rPr>
                <w:noProof/>
                <w:color w:val="auto"/>
                <w:sz w:val="22"/>
                <w:szCs w:val="22"/>
              </w:rPr>
            </w:pPr>
            <w:r w:rsidRPr="001F1915">
              <w:rPr>
                <w:noProof/>
                <w:color w:val="auto"/>
                <w:sz w:val="22"/>
                <w:szCs w:val="22"/>
              </w:rPr>
              <w:t>CL2_90</w:t>
            </w:r>
            <w:r w:rsidR="00900CA9">
              <w:rPr>
                <w:noProof/>
                <w:color w:val="auto"/>
                <w:sz w:val="22"/>
                <w:szCs w:val="22"/>
              </w:rPr>
              <w:t>C</w:t>
            </w:r>
            <w:r w:rsidRPr="001F1915">
              <w:rPr>
                <w:noProof/>
                <w:color w:val="auto"/>
                <w:sz w:val="22"/>
                <w:szCs w:val="22"/>
              </w:rPr>
              <w:t>_9085</w:t>
            </w:r>
          </w:p>
        </w:tc>
      </w:tr>
      <w:tr w:rsidR="00900CA9" w:rsidRPr="004C2D15" w14:paraId="205021CE" w14:textId="0C6F59F6" w:rsidTr="007F1ECE">
        <w:trPr>
          <w:trHeight w:val="300"/>
        </w:trPr>
        <w:tc>
          <w:tcPr>
            <w:tcW w:w="1537" w:type="pct"/>
            <w:shd w:val="clear" w:color="auto" w:fill="FFFFFF"/>
            <w:noWrap/>
            <w:vAlign w:val="center"/>
            <w:hideMark/>
          </w:tcPr>
          <w:p w14:paraId="21F97F08" w14:textId="77777777" w:rsidR="00736D58" w:rsidRPr="003E22BE" w:rsidRDefault="00736D58" w:rsidP="00736D58">
            <w:pPr>
              <w:jc w:val="center"/>
              <w:rPr>
                <w:noProof/>
                <w:color w:val="auto"/>
                <w:sz w:val="22"/>
                <w:szCs w:val="22"/>
                <w:lang w:val="en-US"/>
              </w:rPr>
            </w:pPr>
            <w:r w:rsidRPr="003E22BE">
              <w:rPr>
                <w:noProof/>
                <w:color w:val="auto"/>
                <w:sz w:val="22"/>
                <w:szCs w:val="22"/>
                <w:lang w:val="en-US"/>
              </w:rPr>
              <w:t>Ferrous metals</w:t>
            </w:r>
          </w:p>
        </w:tc>
        <w:tc>
          <w:tcPr>
            <w:tcW w:w="782" w:type="pct"/>
            <w:tcBorders>
              <w:top w:val="single" w:sz="4" w:space="0" w:color="auto"/>
              <w:bottom w:val="single" w:sz="4" w:space="0" w:color="auto"/>
            </w:tcBorders>
            <w:shd w:val="clear" w:color="auto" w:fill="FFFFFF"/>
            <w:noWrap/>
            <w:vAlign w:val="bottom"/>
            <w:hideMark/>
          </w:tcPr>
          <w:p w14:paraId="7B8B2999"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0.00%</w:t>
            </w:r>
          </w:p>
        </w:tc>
        <w:tc>
          <w:tcPr>
            <w:tcW w:w="870" w:type="pct"/>
            <w:tcBorders>
              <w:top w:val="single" w:sz="4" w:space="0" w:color="auto"/>
              <w:bottom w:val="single" w:sz="4" w:space="0" w:color="auto"/>
            </w:tcBorders>
            <w:shd w:val="clear" w:color="auto" w:fill="FFFFFF"/>
            <w:noWrap/>
            <w:vAlign w:val="bottom"/>
            <w:hideMark/>
          </w:tcPr>
          <w:p w14:paraId="24C7CEAA"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0.07%</w:t>
            </w:r>
          </w:p>
        </w:tc>
        <w:tc>
          <w:tcPr>
            <w:tcW w:w="963" w:type="pct"/>
            <w:tcBorders>
              <w:top w:val="single" w:sz="4" w:space="0" w:color="auto"/>
              <w:bottom w:val="single" w:sz="4" w:space="0" w:color="auto"/>
            </w:tcBorders>
            <w:shd w:val="clear" w:color="auto" w:fill="FFFFFF"/>
            <w:vAlign w:val="bottom"/>
          </w:tcPr>
          <w:p w14:paraId="7078B15F" w14:textId="47EEABDC"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0.00%</w:t>
            </w:r>
          </w:p>
        </w:tc>
        <w:tc>
          <w:tcPr>
            <w:tcW w:w="849" w:type="pct"/>
            <w:tcBorders>
              <w:top w:val="single" w:sz="4" w:space="0" w:color="auto"/>
              <w:left w:val="nil"/>
              <w:bottom w:val="single" w:sz="4" w:space="0" w:color="auto"/>
              <w:right w:val="single" w:sz="4" w:space="0" w:color="auto"/>
            </w:tcBorders>
            <w:shd w:val="clear" w:color="auto" w:fill="FFFFFF"/>
            <w:vAlign w:val="bottom"/>
          </w:tcPr>
          <w:p w14:paraId="26DAE04D" w14:textId="130CE722"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0.00%</w:t>
            </w:r>
          </w:p>
        </w:tc>
      </w:tr>
      <w:tr w:rsidR="00900CA9" w:rsidRPr="004C2D15" w14:paraId="68CB553B" w14:textId="1FFFDDFA" w:rsidTr="007F1ECE">
        <w:trPr>
          <w:trHeight w:val="300"/>
        </w:trPr>
        <w:tc>
          <w:tcPr>
            <w:tcW w:w="1537" w:type="pct"/>
            <w:shd w:val="clear" w:color="auto" w:fill="FFFFFF"/>
            <w:noWrap/>
            <w:vAlign w:val="center"/>
            <w:hideMark/>
          </w:tcPr>
          <w:p w14:paraId="3D2DB1B4" w14:textId="77777777" w:rsidR="00736D58" w:rsidRPr="003E22BE" w:rsidRDefault="00736D58" w:rsidP="00736D58">
            <w:pPr>
              <w:jc w:val="center"/>
              <w:rPr>
                <w:noProof/>
                <w:color w:val="auto"/>
                <w:sz w:val="22"/>
                <w:szCs w:val="22"/>
                <w:lang w:val="en-US"/>
              </w:rPr>
            </w:pPr>
            <w:r w:rsidRPr="003E22BE">
              <w:rPr>
                <w:noProof/>
                <w:color w:val="auto"/>
                <w:sz w:val="22"/>
                <w:szCs w:val="22"/>
                <w:lang w:val="en-US"/>
              </w:rPr>
              <w:t>Non-ferrous metals</w:t>
            </w:r>
          </w:p>
        </w:tc>
        <w:tc>
          <w:tcPr>
            <w:tcW w:w="782" w:type="pct"/>
            <w:tcBorders>
              <w:top w:val="single" w:sz="4" w:space="0" w:color="auto"/>
              <w:bottom w:val="single" w:sz="4" w:space="0" w:color="auto"/>
            </w:tcBorders>
            <w:shd w:val="clear" w:color="auto" w:fill="FFFFFF"/>
            <w:noWrap/>
            <w:vAlign w:val="bottom"/>
            <w:hideMark/>
          </w:tcPr>
          <w:p w14:paraId="1D072660"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0.02%</w:t>
            </w:r>
          </w:p>
        </w:tc>
        <w:tc>
          <w:tcPr>
            <w:tcW w:w="870" w:type="pct"/>
            <w:tcBorders>
              <w:top w:val="single" w:sz="4" w:space="0" w:color="auto"/>
              <w:bottom w:val="single" w:sz="4" w:space="0" w:color="auto"/>
            </w:tcBorders>
            <w:shd w:val="clear" w:color="auto" w:fill="FFFFFF"/>
            <w:noWrap/>
            <w:vAlign w:val="bottom"/>
            <w:hideMark/>
          </w:tcPr>
          <w:p w14:paraId="3657FE80"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0.04%</w:t>
            </w:r>
          </w:p>
        </w:tc>
        <w:tc>
          <w:tcPr>
            <w:tcW w:w="963" w:type="pct"/>
            <w:tcBorders>
              <w:top w:val="single" w:sz="4" w:space="0" w:color="auto"/>
              <w:bottom w:val="single" w:sz="4" w:space="0" w:color="auto"/>
            </w:tcBorders>
            <w:shd w:val="clear" w:color="auto" w:fill="FFFFFF"/>
            <w:vAlign w:val="bottom"/>
          </w:tcPr>
          <w:p w14:paraId="468D2A56" w14:textId="2A44012C"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0.01%</w:t>
            </w:r>
          </w:p>
        </w:tc>
        <w:tc>
          <w:tcPr>
            <w:tcW w:w="849" w:type="pct"/>
            <w:tcBorders>
              <w:top w:val="single" w:sz="4" w:space="0" w:color="auto"/>
              <w:left w:val="nil"/>
              <w:bottom w:val="single" w:sz="4" w:space="0" w:color="auto"/>
              <w:right w:val="single" w:sz="4" w:space="0" w:color="auto"/>
            </w:tcBorders>
            <w:shd w:val="clear" w:color="auto" w:fill="FFFFFF"/>
            <w:vAlign w:val="bottom"/>
          </w:tcPr>
          <w:p w14:paraId="35F39218" w14:textId="710BC01E"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0.01%</w:t>
            </w:r>
          </w:p>
        </w:tc>
      </w:tr>
      <w:tr w:rsidR="00900CA9" w:rsidRPr="004C2D15" w14:paraId="7B01AAAB" w14:textId="19E6C92B" w:rsidTr="007F1ECE">
        <w:trPr>
          <w:trHeight w:val="300"/>
        </w:trPr>
        <w:tc>
          <w:tcPr>
            <w:tcW w:w="1537" w:type="pct"/>
            <w:shd w:val="clear" w:color="auto" w:fill="FFFFFF"/>
            <w:noWrap/>
            <w:vAlign w:val="center"/>
            <w:hideMark/>
          </w:tcPr>
          <w:p w14:paraId="5B91A561" w14:textId="77777777" w:rsidR="00736D58" w:rsidRPr="003E22BE" w:rsidRDefault="00736D58" w:rsidP="00736D58">
            <w:pPr>
              <w:jc w:val="center"/>
              <w:rPr>
                <w:noProof/>
                <w:color w:val="auto"/>
                <w:sz w:val="22"/>
                <w:szCs w:val="22"/>
                <w:lang w:val="en-US"/>
              </w:rPr>
            </w:pPr>
            <w:r w:rsidRPr="003E22BE">
              <w:rPr>
                <w:noProof/>
                <w:color w:val="auto"/>
                <w:sz w:val="22"/>
                <w:szCs w:val="22"/>
                <w:lang w:val="en-US"/>
              </w:rPr>
              <w:t>Chemical Products</w:t>
            </w:r>
          </w:p>
        </w:tc>
        <w:tc>
          <w:tcPr>
            <w:tcW w:w="782" w:type="pct"/>
            <w:tcBorders>
              <w:top w:val="single" w:sz="4" w:space="0" w:color="auto"/>
              <w:bottom w:val="single" w:sz="4" w:space="0" w:color="auto"/>
            </w:tcBorders>
            <w:shd w:val="clear" w:color="auto" w:fill="FFFFFF"/>
            <w:noWrap/>
            <w:vAlign w:val="bottom"/>
            <w:hideMark/>
          </w:tcPr>
          <w:p w14:paraId="7D82581F"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0.11%</w:t>
            </w:r>
          </w:p>
        </w:tc>
        <w:tc>
          <w:tcPr>
            <w:tcW w:w="870" w:type="pct"/>
            <w:tcBorders>
              <w:top w:val="single" w:sz="4" w:space="0" w:color="auto"/>
              <w:bottom w:val="single" w:sz="4" w:space="0" w:color="auto"/>
            </w:tcBorders>
            <w:shd w:val="clear" w:color="auto" w:fill="FFFFFF"/>
            <w:noWrap/>
            <w:vAlign w:val="bottom"/>
            <w:hideMark/>
          </w:tcPr>
          <w:p w14:paraId="0C7B8DF5"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0.10%</w:t>
            </w:r>
          </w:p>
        </w:tc>
        <w:tc>
          <w:tcPr>
            <w:tcW w:w="963" w:type="pct"/>
            <w:tcBorders>
              <w:top w:val="single" w:sz="4" w:space="0" w:color="auto"/>
              <w:bottom w:val="single" w:sz="4" w:space="0" w:color="auto"/>
            </w:tcBorders>
            <w:shd w:val="clear" w:color="auto" w:fill="FFFFFF"/>
            <w:vAlign w:val="bottom"/>
          </w:tcPr>
          <w:p w14:paraId="7CBF8F9D" w14:textId="0DEDBE31"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0.06%</w:t>
            </w:r>
          </w:p>
        </w:tc>
        <w:tc>
          <w:tcPr>
            <w:tcW w:w="849" w:type="pct"/>
            <w:tcBorders>
              <w:top w:val="single" w:sz="4" w:space="0" w:color="auto"/>
              <w:left w:val="nil"/>
              <w:bottom w:val="single" w:sz="4" w:space="0" w:color="auto"/>
              <w:right w:val="single" w:sz="4" w:space="0" w:color="auto"/>
            </w:tcBorders>
            <w:shd w:val="clear" w:color="auto" w:fill="FFFFFF"/>
            <w:vAlign w:val="bottom"/>
          </w:tcPr>
          <w:p w14:paraId="45C03616" w14:textId="6AD624A6"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0.06%</w:t>
            </w:r>
          </w:p>
        </w:tc>
      </w:tr>
      <w:tr w:rsidR="00900CA9" w:rsidRPr="004C2D15" w14:paraId="432EDA52" w14:textId="09699800" w:rsidTr="007F1ECE">
        <w:trPr>
          <w:trHeight w:val="310"/>
        </w:trPr>
        <w:tc>
          <w:tcPr>
            <w:tcW w:w="1537" w:type="pct"/>
            <w:shd w:val="clear" w:color="auto" w:fill="FFFFFF"/>
            <w:noWrap/>
            <w:vAlign w:val="center"/>
            <w:hideMark/>
          </w:tcPr>
          <w:p w14:paraId="09FD6AF2" w14:textId="77777777" w:rsidR="00736D58" w:rsidRPr="003E22BE" w:rsidRDefault="00736D58" w:rsidP="00736D58">
            <w:pPr>
              <w:jc w:val="center"/>
              <w:rPr>
                <w:noProof/>
                <w:color w:val="auto"/>
                <w:sz w:val="22"/>
                <w:szCs w:val="22"/>
                <w:lang w:val="en-US"/>
              </w:rPr>
            </w:pPr>
            <w:r w:rsidRPr="003E22BE">
              <w:rPr>
                <w:noProof/>
                <w:color w:val="auto"/>
                <w:sz w:val="22"/>
                <w:szCs w:val="22"/>
                <w:lang w:val="en-US"/>
              </w:rPr>
              <w:t>Paper products, publishing</w:t>
            </w:r>
          </w:p>
        </w:tc>
        <w:tc>
          <w:tcPr>
            <w:tcW w:w="782" w:type="pct"/>
            <w:tcBorders>
              <w:top w:val="single" w:sz="4" w:space="0" w:color="auto"/>
              <w:bottom w:val="single" w:sz="4" w:space="0" w:color="auto"/>
            </w:tcBorders>
            <w:shd w:val="clear" w:color="auto" w:fill="FFFFFF"/>
            <w:noWrap/>
            <w:vAlign w:val="bottom"/>
            <w:hideMark/>
          </w:tcPr>
          <w:p w14:paraId="59FC6D1A"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0.03%</w:t>
            </w:r>
          </w:p>
        </w:tc>
        <w:tc>
          <w:tcPr>
            <w:tcW w:w="870" w:type="pct"/>
            <w:tcBorders>
              <w:top w:val="single" w:sz="4" w:space="0" w:color="auto"/>
              <w:bottom w:val="single" w:sz="4" w:space="0" w:color="auto"/>
            </w:tcBorders>
            <w:shd w:val="clear" w:color="auto" w:fill="FFFFFF"/>
            <w:noWrap/>
            <w:vAlign w:val="bottom"/>
            <w:hideMark/>
          </w:tcPr>
          <w:p w14:paraId="43F25836"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0.00%</w:t>
            </w:r>
          </w:p>
        </w:tc>
        <w:tc>
          <w:tcPr>
            <w:tcW w:w="963" w:type="pct"/>
            <w:tcBorders>
              <w:top w:val="single" w:sz="4" w:space="0" w:color="auto"/>
              <w:bottom w:val="single" w:sz="4" w:space="0" w:color="auto"/>
            </w:tcBorders>
            <w:shd w:val="clear" w:color="auto" w:fill="FFFFFF"/>
            <w:vAlign w:val="bottom"/>
          </w:tcPr>
          <w:p w14:paraId="3DD96FD4" w14:textId="74A62308"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0.00%</w:t>
            </w:r>
          </w:p>
        </w:tc>
        <w:tc>
          <w:tcPr>
            <w:tcW w:w="849" w:type="pct"/>
            <w:tcBorders>
              <w:top w:val="single" w:sz="4" w:space="0" w:color="auto"/>
              <w:left w:val="nil"/>
              <w:bottom w:val="single" w:sz="4" w:space="0" w:color="auto"/>
              <w:right w:val="single" w:sz="4" w:space="0" w:color="auto"/>
            </w:tcBorders>
            <w:shd w:val="clear" w:color="auto" w:fill="FFFFFF"/>
            <w:vAlign w:val="bottom"/>
          </w:tcPr>
          <w:p w14:paraId="32F8EC87" w14:textId="3448E7EC"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0.00%</w:t>
            </w:r>
          </w:p>
        </w:tc>
      </w:tr>
      <w:tr w:rsidR="00900CA9" w:rsidRPr="004C2D15" w14:paraId="7FC7E98C" w14:textId="377F8BF6" w:rsidTr="007F1ECE">
        <w:trPr>
          <w:trHeight w:val="310"/>
        </w:trPr>
        <w:tc>
          <w:tcPr>
            <w:tcW w:w="1537" w:type="pct"/>
            <w:shd w:val="clear" w:color="auto" w:fill="FFFFFF"/>
            <w:noWrap/>
            <w:vAlign w:val="center"/>
            <w:hideMark/>
          </w:tcPr>
          <w:p w14:paraId="777A594C" w14:textId="77777777" w:rsidR="00736D58" w:rsidRPr="003E22BE" w:rsidRDefault="00736D58" w:rsidP="00736D58">
            <w:pPr>
              <w:jc w:val="center"/>
              <w:rPr>
                <w:noProof/>
                <w:color w:val="auto"/>
                <w:sz w:val="22"/>
                <w:szCs w:val="22"/>
                <w:lang w:val="en-US"/>
              </w:rPr>
            </w:pPr>
            <w:r w:rsidRPr="003E22BE">
              <w:rPr>
                <w:noProof/>
                <w:color w:val="auto"/>
                <w:sz w:val="22"/>
                <w:szCs w:val="22"/>
                <w:lang w:val="en-US"/>
              </w:rPr>
              <w:t>Non-metallic minerals</w:t>
            </w:r>
          </w:p>
        </w:tc>
        <w:tc>
          <w:tcPr>
            <w:tcW w:w="782" w:type="pct"/>
            <w:tcBorders>
              <w:top w:val="single" w:sz="4" w:space="0" w:color="auto"/>
              <w:bottom w:val="single" w:sz="4" w:space="0" w:color="auto"/>
              <w:right w:val="single" w:sz="4" w:space="0" w:color="auto"/>
            </w:tcBorders>
            <w:shd w:val="clear" w:color="auto" w:fill="FFFFFF"/>
            <w:noWrap/>
            <w:vAlign w:val="bottom"/>
            <w:hideMark/>
          </w:tcPr>
          <w:p w14:paraId="2BC0ACD3"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0.03%</w:t>
            </w:r>
          </w:p>
        </w:tc>
        <w:tc>
          <w:tcPr>
            <w:tcW w:w="870"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9B2EA01" w14:textId="77777777" w:rsidR="00736D58" w:rsidRPr="00736D58" w:rsidRDefault="00736D58" w:rsidP="00736D58">
            <w:pPr>
              <w:jc w:val="center"/>
              <w:rPr>
                <w:rFonts w:eastAsia="Times New Roman"/>
                <w:noProof/>
                <w:color w:val="000000"/>
                <w:sz w:val="22"/>
                <w:szCs w:val="22"/>
              </w:rPr>
            </w:pPr>
            <w:r w:rsidRPr="0044269F">
              <w:rPr>
                <w:rFonts w:eastAsia="Times New Roman"/>
                <w:noProof/>
                <w:color w:val="000000"/>
                <w:sz w:val="22"/>
                <w:szCs w:val="22"/>
              </w:rPr>
              <w:t>0.05%</w:t>
            </w:r>
          </w:p>
        </w:tc>
        <w:tc>
          <w:tcPr>
            <w:tcW w:w="963" w:type="pct"/>
            <w:tcBorders>
              <w:top w:val="single" w:sz="4" w:space="0" w:color="auto"/>
              <w:left w:val="single" w:sz="4" w:space="0" w:color="auto"/>
              <w:bottom w:val="single" w:sz="4" w:space="0" w:color="auto"/>
              <w:right w:val="single" w:sz="4" w:space="0" w:color="auto"/>
            </w:tcBorders>
            <w:shd w:val="clear" w:color="auto" w:fill="FFFFFF"/>
            <w:vAlign w:val="bottom"/>
          </w:tcPr>
          <w:p w14:paraId="38382397" w14:textId="249AE3D1"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0.04%</w:t>
            </w:r>
          </w:p>
        </w:tc>
        <w:tc>
          <w:tcPr>
            <w:tcW w:w="849" w:type="pct"/>
            <w:tcBorders>
              <w:top w:val="single" w:sz="4" w:space="0" w:color="auto"/>
              <w:left w:val="single" w:sz="4" w:space="0" w:color="auto"/>
              <w:bottom w:val="single" w:sz="4" w:space="0" w:color="auto"/>
              <w:right w:val="single" w:sz="4" w:space="0" w:color="auto"/>
            </w:tcBorders>
            <w:shd w:val="clear" w:color="auto" w:fill="FFFFFF"/>
            <w:vAlign w:val="bottom"/>
          </w:tcPr>
          <w:p w14:paraId="33293C6D" w14:textId="6BF606B3" w:rsidR="00736D58" w:rsidRPr="0044269F" w:rsidRDefault="00736D58" w:rsidP="00736D58">
            <w:pPr>
              <w:jc w:val="center"/>
              <w:rPr>
                <w:rFonts w:eastAsia="Times New Roman"/>
                <w:noProof/>
                <w:color w:val="000000"/>
                <w:sz w:val="22"/>
                <w:szCs w:val="22"/>
              </w:rPr>
            </w:pPr>
            <w:r w:rsidRPr="00736D58">
              <w:rPr>
                <w:rFonts w:eastAsia="Times New Roman"/>
                <w:noProof/>
                <w:color w:val="000000"/>
                <w:sz w:val="22"/>
                <w:szCs w:val="22"/>
              </w:rPr>
              <w:t>0.04%</w:t>
            </w:r>
          </w:p>
        </w:tc>
      </w:tr>
    </w:tbl>
    <w:p w14:paraId="06AE1AD7" w14:textId="07FF5DD8" w:rsidR="008A7185" w:rsidRPr="00CB350F" w:rsidRDefault="008A7185" w:rsidP="00CB350F">
      <w:pPr>
        <w:pStyle w:val="BodyText"/>
        <w:spacing w:after="240"/>
        <w:rPr>
          <w:rFonts w:cs="Times New Roman"/>
          <w:i/>
          <w:iCs/>
          <w:noProof/>
          <w:sz w:val="20"/>
          <w:szCs w:val="20"/>
          <w:lang w:eastAsia="en-GB"/>
        </w:rPr>
      </w:pPr>
      <w:r w:rsidRPr="000653A9">
        <w:rPr>
          <w:rFonts w:cs="Times New Roman"/>
          <w:i/>
          <w:iCs/>
          <w:noProof/>
          <w:sz w:val="20"/>
          <w:szCs w:val="20"/>
          <w:lang w:eastAsia="en-GB"/>
        </w:rPr>
        <w:t>Source:</w:t>
      </w:r>
      <w:r w:rsidRPr="000653A9">
        <w:rPr>
          <w:i/>
          <w:iCs/>
          <w:noProof/>
          <w:sz w:val="22"/>
          <w:szCs w:val="22"/>
        </w:rPr>
        <w:tab/>
      </w:r>
      <w:r w:rsidRPr="000653A9">
        <w:rPr>
          <w:rFonts w:cs="Times New Roman"/>
          <w:i/>
          <w:iCs/>
          <w:noProof/>
          <w:sz w:val="20"/>
          <w:szCs w:val="20"/>
          <w:lang w:eastAsia="en-GB"/>
        </w:rPr>
        <w:t>GEM-E3 model (2025)</w:t>
      </w:r>
    </w:p>
    <w:p w14:paraId="7F98F87B" w14:textId="754AE428" w:rsidR="00344ADD" w:rsidRPr="000653A9" w:rsidRDefault="00344ADD" w:rsidP="714422F9">
      <w:pPr>
        <w:pStyle w:val="Tabletitle"/>
        <w:rPr>
          <w:rFonts w:eastAsia="Arial"/>
          <w:noProof/>
        </w:rPr>
      </w:pPr>
      <w:bookmarkStart w:id="406" w:name="_Toc234435121"/>
      <w:bookmarkStart w:id="407" w:name="_Toc232003589"/>
      <w:r w:rsidRPr="714422F9">
        <w:rPr>
          <w:rFonts w:eastAsia="Arial"/>
          <w:noProof/>
        </w:rPr>
        <w:t>Percentage</w:t>
      </w:r>
      <w:r>
        <w:rPr>
          <w:noProof/>
        </w:rPr>
        <w:t xml:space="preserve"> change in export levels in 2040 relative to the </w:t>
      </w:r>
      <w:r w:rsidR="0084495D">
        <w:rPr>
          <w:noProof/>
        </w:rPr>
        <w:t>baseline</w:t>
      </w:r>
      <w:r>
        <w:rPr>
          <w:noProof/>
        </w:rPr>
        <w:t xml:space="preserve"> scenario</w:t>
      </w:r>
      <w:bookmarkEnd w:id="406"/>
      <w:bookmarkEnd w:id="40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703"/>
        <w:gridCol w:w="848"/>
        <w:gridCol w:w="1032"/>
        <w:gridCol w:w="1178"/>
        <w:gridCol w:w="1032"/>
        <w:gridCol w:w="1178"/>
        <w:gridCol w:w="702"/>
        <w:gridCol w:w="848"/>
      </w:tblGrid>
      <w:tr w:rsidR="00E6533B" w:rsidRPr="000653A9" w14:paraId="6470E9A2" w14:textId="77777777" w:rsidTr="0067074A">
        <w:trPr>
          <w:trHeight w:val="20"/>
          <w:jc w:val="center"/>
        </w:trPr>
        <w:tc>
          <w:tcPr>
            <w:tcW w:w="0" w:type="auto"/>
            <w:vAlign w:val="center"/>
          </w:tcPr>
          <w:p w14:paraId="2A818B3C" w14:textId="77777777" w:rsidR="00E6533B" w:rsidRPr="000653A9" w:rsidRDefault="00E6533B" w:rsidP="0067074A">
            <w:pPr>
              <w:spacing w:after="0"/>
              <w:jc w:val="center"/>
              <w:rPr>
                <w:rFonts w:eastAsia="Arial"/>
                <w:b/>
                <w:bCs/>
                <w:noProof/>
                <w:sz w:val="22"/>
                <w:szCs w:val="22"/>
                <w:lang w:eastAsia="en-GB"/>
              </w:rPr>
            </w:pPr>
          </w:p>
        </w:tc>
        <w:tc>
          <w:tcPr>
            <w:tcW w:w="0" w:type="auto"/>
            <w:gridSpan w:val="8"/>
            <w:vAlign w:val="center"/>
          </w:tcPr>
          <w:p w14:paraId="46C73CB6" w14:textId="38A3E475" w:rsidR="00E6533B" w:rsidRPr="000653A9" w:rsidRDefault="00E6533B" w:rsidP="0067074A">
            <w:pPr>
              <w:spacing w:after="0"/>
              <w:jc w:val="center"/>
              <w:rPr>
                <w:rFonts w:eastAsia="Arial"/>
                <w:b/>
                <w:bCs/>
                <w:noProof/>
                <w:sz w:val="22"/>
                <w:szCs w:val="22"/>
                <w:lang w:eastAsia="en-GB"/>
              </w:rPr>
            </w:pPr>
            <w:r w:rsidRPr="000653A9">
              <w:rPr>
                <w:rFonts w:eastAsia="Arial"/>
                <w:b/>
                <w:bCs/>
                <w:noProof/>
                <w:sz w:val="22"/>
                <w:szCs w:val="22"/>
                <w:lang w:eastAsia="en-GB"/>
              </w:rPr>
              <w:t>Policy measures</w:t>
            </w:r>
          </w:p>
        </w:tc>
      </w:tr>
      <w:tr w:rsidR="00E13102" w:rsidRPr="000653A9" w14:paraId="3C2DDA23" w14:textId="77777777" w:rsidTr="0067074A">
        <w:trPr>
          <w:cantSplit/>
          <w:trHeight w:val="20"/>
          <w:jc w:val="center"/>
        </w:trPr>
        <w:tc>
          <w:tcPr>
            <w:tcW w:w="0" w:type="auto"/>
            <w:vAlign w:val="center"/>
          </w:tcPr>
          <w:p w14:paraId="5ABFCBAF" w14:textId="77777777" w:rsidR="00E13102" w:rsidRPr="000653A9" w:rsidRDefault="00E13102" w:rsidP="0067074A">
            <w:pPr>
              <w:spacing w:after="0"/>
              <w:jc w:val="center"/>
              <w:rPr>
                <w:rFonts w:eastAsia="Arial"/>
                <w:noProof/>
                <w:sz w:val="22"/>
                <w:szCs w:val="22"/>
                <w:lang w:eastAsia="en-GB"/>
              </w:rPr>
            </w:pPr>
          </w:p>
        </w:tc>
        <w:tc>
          <w:tcPr>
            <w:tcW w:w="0" w:type="auto"/>
            <w:vAlign w:val="center"/>
          </w:tcPr>
          <w:p w14:paraId="0AF5DEA1"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PO1 (%)</w:t>
            </w:r>
          </w:p>
        </w:tc>
        <w:tc>
          <w:tcPr>
            <w:tcW w:w="0" w:type="auto"/>
            <w:vAlign w:val="center"/>
          </w:tcPr>
          <w:p w14:paraId="156A891A"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PO1R (%)</w:t>
            </w:r>
          </w:p>
        </w:tc>
        <w:tc>
          <w:tcPr>
            <w:tcW w:w="0" w:type="auto"/>
            <w:vAlign w:val="center"/>
          </w:tcPr>
          <w:p w14:paraId="331A7048"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PO2_50 (%)</w:t>
            </w:r>
          </w:p>
        </w:tc>
        <w:tc>
          <w:tcPr>
            <w:tcW w:w="0" w:type="auto"/>
            <w:vAlign w:val="center"/>
          </w:tcPr>
          <w:p w14:paraId="07DDDA78" w14:textId="48F60D35"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PO2_50C (%)</w:t>
            </w:r>
          </w:p>
        </w:tc>
        <w:tc>
          <w:tcPr>
            <w:tcW w:w="0" w:type="auto"/>
            <w:vAlign w:val="center"/>
          </w:tcPr>
          <w:p w14:paraId="2556DE63" w14:textId="4BB44D2F"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PO2_90 (%)</w:t>
            </w:r>
          </w:p>
        </w:tc>
        <w:tc>
          <w:tcPr>
            <w:tcW w:w="0" w:type="auto"/>
            <w:vAlign w:val="center"/>
          </w:tcPr>
          <w:p w14:paraId="31F62484" w14:textId="7081D0A1"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PO2_90C (%)</w:t>
            </w:r>
          </w:p>
        </w:tc>
        <w:tc>
          <w:tcPr>
            <w:tcW w:w="0" w:type="auto"/>
            <w:vAlign w:val="center"/>
          </w:tcPr>
          <w:p w14:paraId="20130DC7" w14:textId="14198453"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PO3 (%)</w:t>
            </w:r>
          </w:p>
        </w:tc>
        <w:tc>
          <w:tcPr>
            <w:tcW w:w="0" w:type="auto"/>
            <w:vAlign w:val="center"/>
          </w:tcPr>
          <w:p w14:paraId="16044092"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PO3R (%)</w:t>
            </w:r>
          </w:p>
        </w:tc>
      </w:tr>
      <w:tr w:rsidR="00E13102" w:rsidRPr="000653A9" w14:paraId="00DA3E7C" w14:textId="77777777" w:rsidTr="0067074A">
        <w:trPr>
          <w:trHeight w:val="20"/>
          <w:jc w:val="center"/>
        </w:trPr>
        <w:tc>
          <w:tcPr>
            <w:tcW w:w="0" w:type="auto"/>
            <w:vAlign w:val="center"/>
          </w:tcPr>
          <w:p w14:paraId="461633ED"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Ferrous metals</w:t>
            </w:r>
          </w:p>
        </w:tc>
        <w:tc>
          <w:tcPr>
            <w:tcW w:w="0" w:type="auto"/>
            <w:vAlign w:val="center"/>
          </w:tcPr>
          <w:p w14:paraId="5CD2E250"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0.08</w:t>
            </w:r>
          </w:p>
        </w:tc>
        <w:tc>
          <w:tcPr>
            <w:tcW w:w="0" w:type="auto"/>
            <w:vAlign w:val="center"/>
          </w:tcPr>
          <w:p w14:paraId="21410163"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-1.09</w:t>
            </w:r>
          </w:p>
        </w:tc>
        <w:tc>
          <w:tcPr>
            <w:tcW w:w="0" w:type="auto"/>
            <w:vAlign w:val="center"/>
          </w:tcPr>
          <w:p w14:paraId="55DF0323"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-0.23</w:t>
            </w:r>
          </w:p>
        </w:tc>
        <w:tc>
          <w:tcPr>
            <w:tcW w:w="0" w:type="auto"/>
            <w:vAlign w:val="center"/>
          </w:tcPr>
          <w:p w14:paraId="6A7820C4" w14:textId="226582F9"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0.81</w:t>
            </w:r>
          </w:p>
        </w:tc>
        <w:tc>
          <w:tcPr>
            <w:tcW w:w="0" w:type="auto"/>
            <w:vAlign w:val="center"/>
          </w:tcPr>
          <w:p w14:paraId="70A054B8" w14:textId="01B3D17C"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-0.20</w:t>
            </w:r>
          </w:p>
        </w:tc>
        <w:tc>
          <w:tcPr>
            <w:tcW w:w="0" w:type="auto"/>
            <w:vAlign w:val="center"/>
          </w:tcPr>
          <w:p w14:paraId="3E70139B" w14:textId="3F2DA680"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0.6</w:t>
            </w:r>
          </w:p>
        </w:tc>
        <w:tc>
          <w:tcPr>
            <w:tcW w:w="0" w:type="auto"/>
            <w:vAlign w:val="center"/>
          </w:tcPr>
          <w:p w14:paraId="73481E59" w14:textId="4F6A5C9F"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0.55</w:t>
            </w:r>
          </w:p>
        </w:tc>
        <w:tc>
          <w:tcPr>
            <w:tcW w:w="0" w:type="auto"/>
            <w:vAlign w:val="center"/>
          </w:tcPr>
          <w:p w14:paraId="30C140A8"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-0.23</w:t>
            </w:r>
          </w:p>
        </w:tc>
      </w:tr>
      <w:tr w:rsidR="00E13102" w:rsidRPr="000653A9" w14:paraId="24AC996C" w14:textId="77777777" w:rsidTr="0067074A">
        <w:trPr>
          <w:trHeight w:val="20"/>
          <w:jc w:val="center"/>
        </w:trPr>
        <w:tc>
          <w:tcPr>
            <w:tcW w:w="0" w:type="auto"/>
            <w:vAlign w:val="center"/>
          </w:tcPr>
          <w:p w14:paraId="4F9BB92B"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Non-ferrous metals</w:t>
            </w:r>
          </w:p>
        </w:tc>
        <w:tc>
          <w:tcPr>
            <w:tcW w:w="0" w:type="auto"/>
            <w:vAlign w:val="center"/>
          </w:tcPr>
          <w:p w14:paraId="241B8136"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0.49</w:t>
            </w:r>
          </w:p>
        </w:tc>
        <w:tc>
          <w:tcPr>
            <w:tcW w:w="0" w:type="auto"/>
            <w:vAlign w:val="center"/>
          </w:tcPr>
          <w:p w14:paraId="4E38CAB6"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-0.39</w:t>
            </w:r>
          </w:p>
        </w:tc>
        <w:tc>
          <w:tcPr>
            <w:tcW w:w="0" w:type="auto"/>
            <w:vAlign w:val="center"/>
          </w:tcPr>
          <w:p w14:paraId="73C576A4"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0.23</w:t>
            </w:r>
          </w:p>
        </w:tc>
        <w:tc>
          <w:tcPr>
            <w:tcW w:w="0" w:type="auto"/>
            <w:vAlign w:val="center"/>
          </w:tcPr>
          <w:p w14:paraId="0028DE52" w14:textId="2B5E4055"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0.47</w:t>
            </w:r>
          </w:p>
        </w:tc>
        <w:tc>
          <w:tcPr>
            <w:tcW w:w="0" w:type="auto"/>
            <w:vAlign w:val="center"/>
          </w:tcPr>
          <w:p w14:paraId="401C01D2" w14:textId="2BA8A759"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0.37</w:t>
            </w:r>
          </w:p>
        </w:tc>
        <w:tc>
          <w:tcPr>
            <w:tcW w:w="0" w:type="auto"/>
            <w:vAlign w:val="center"/>
          </w:tcPr>
          <w:p w14:paraId="1225BDC7" w14:textId="555959A3"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0.57</w:t>
            </w:r>
          </w:p>
        </w:tc>
        <w:tc>
          <w:tcPr>
            <w:tcW w:w="0" w:type="auto"/>
            <w:vAlign w:val="center"/>
          </w:tcPr>
          <w:p w14:paraId="52673BC2" w14:textId="6C72FB76"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0.96</w:t>
            </w:r>
          </w:p>
        </w:tc>
        <w:tc>
          <w:tcPr>
            <w:tcW w:w="0" w:type="auto"/>
            <w:vAlign w:val="center"/>
          </w:tcPr>
          <w:p w14:paraId="5D6C740A"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0.24</w:t>
            </w:r>
          </w:p>
        </w:tc>
      </w:tr>
      <w:tr w:rsidR="00E13102" w:rsidRPr="000653A9" w14:paraId="45BDEC29" w14:textId="77777777" w:rsidTr="0067074A">
        <w:trPr>
          <w:trHeight w:val="20"/>
          <w:jc w:val="center"/>
        </w:trPr>
        <w:tc>
          <w:tcPr>
            <w:tcW w:w="0" w:type="auto"/>
            <w:vAlign w:val="center"/>
          </w:tcPr>
          <w:p w14:paraId="0C868C65"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Chemical Products</w:t>
            </w:r>
          </w:p>
        </w:tc>
        <w:tc>
          <w:tcPr>
            <w:tcW w:w="0" w:type="auto"/>
            <w:vAlign w:val="center"/>
          </w:tcPr>
          <w:p w14:paraId="20C4AF19"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1.59</w:t>
            </w:r>
          </w:p>
        </w:tc>
        <w:tc>
          <w:tcPr>
            <w:tcW w:w="0" w:type="auto"/>
            <w:vAlign w:val="center"/>
          </w:tcPr>
          <w:p w14:paraId="347E1299"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0.93</w:t>
            </w:r>
          </w:p>
        </w:tc>
        <w:tc>
          <w:tcPr>
            <w:tcW w:w="0" w:type="auto"/>
            <w:vAlign w:val="center"/>
          </w:tcPr>
          <w:p w14:paraId="639C3A1E"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0.85</w:t>
            </w:r>
          </w:p>
        </w:tc>
        <w:tc>
          <w:tcPr>
            <w:tcW w:w="0" w:type="auto"/>
            <w:vAlign w:val="center"/>
          </w:tcPr>
          <w:p w14:paraId="65E92E49" w14:textId="59D6C75B"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0.96</w:t>
            </w:r>
          </w:p>
        </w:tc>
        <w:tc>
          <w:tcPr>
            <w:tcW w:w="0" w:type="auto"/>
            <w:vAlign w:val="center"/>
          </w:tcPr>
          <w:p w14:paraId="57B692AC" w14:textId="01FD1A5E"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1.33</w:t>
            </w:r>
          </w:p>
        </w:tc>
        <w:tc>
          <w:tcPr>
            <w:tcW w:w="0" w:type="auto"/>
            <w:vAlign w:val="center"/>
          </w:tcPr>
          <w:p w14:paraId="000D416F" w14:textId="5FD09396"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1.42</w:t>
            </w:r>
          </w:p>
        </w:tc>
        <w:tc>
          <w:tcPr>
            <w:tcW w:w="0" w:type="auto"/>
            <w:vAlign w:val="center"/>
          </w:tcPr>
          <w:p w14:paraId="4DD557DA" w14:textId="19C39A90"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0.92</w:t>
            </w:r>
          </w:p>
        </w:tc>
        <w:tc>
          <w:tcPr>
            <w:tcW w:w="0" w:type="auto"/>
            <w:vAlign w:val="center"/>
          </w:tcPr>
          <w:p w14:paraId="0C9831DF"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0.53</w:t>
            </w:r>
          </w:p>
        </w:tc>
      </w:tr>
      <w:tr w:rsidR="00E13102" w:rsidRPr="000653A9" w14:paraId="4C16A929" w14:textId="77777777" w:rsidTr="0067074A">
        <w:trPr>
          <w:trHeight w:val="20"/>
          <w:jc w:val="center"/>
        </w:trPr>
        <w:tc>
          <w:tcPr>
            <w:tcW w:w="0" w:type="auto"/>
            <w:vAlign w:val="center"/>
          </w:tcPr>
          <w:p w14:paraId="2219CAEC"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Paper products, publishing</w:t>
            </w:r>
          </w:p>
        </w:tc>
        <w:tc>
          <w:tcPr>
            <w:tcW w:w="0" w:type="auto"/>
            <w:vAlign w:val="center"/>
          </w:tcPr>
          <w:p w14:paraId="528A7409"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-0.06</w:t>
            </w:r>
          </w:p>
        </w:tc>
        <w:tc>
          <w:tcPr>
            <w:tcW w:w="0" w:type="auto"/>
            <w:vAlign w:val="center"/>
          </w:tcPr>
          <w:p w14:paraId="24924EDE"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-0.50</w:t>
            </w:r>
          </w:p>
        </w:tc>
        <w:tc>
          <w:tcPr>
            <w:tcW w:w="0" w:type="auto"/>
            <w:vAlign w:val="center"/>
          </w:tcPr>
          <w:p w14:paraId="1BE86D12"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-0.08</w:t>
            </w:r>
          </w:p>
        </w:tc>
        <w:tc>
          <w:tcPr>
            <w:tcW w:w="0" w:type="auto"/>
            <w:vAlign w:val="center"/>
          </w:tcPr>
          <w:p w14:paraId="11569927" w14:textId="1FAADD08"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-0.14</w:t>
            </w:r>
          </w:p>
        </w:tc>
        <w:tc>
          <w:tcPr>
            <w:tcW w:w="0" w:type="auto"/>
            <w:vAlign w:val="center"/>
          </w:tcPr>
          <w:p w14:paraId="126058D9" w14:textId="679319ED"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-0.09</w:t>
            </w:r>
          </w:p>
        </w:tc>
        <w:tc>
          <w:tcPr>
            <w:tcW w:w="0" w:type="auto"/>
            <w:vAlign w:val="center"/>
          </w:tcPr>
          <w:p w14:paraId="31C272AA" w14:textId="5FBAC55F"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-0.14</w:t>
            </w:r>
          </w:p>
        </w:tc>
        <w:tc>
          <w:tcPr>
            <w:tcW w:w="0" w:type="auto"/>
            <w:vAlign w:val="center"/>
          </w:tcPr>
          <w:p w14:paraId="65E66A37" w14:textId="157B2EE3"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0.07</w:t>
            </w:r>
          </w:p>
        </w:tc>
        <w:tc>
          <w:tcPr>
            <w:tcW w:w="0" w:type="auto"/>
            <w:vAlign w:val="center"/>
          </w:tcPr>
          <w:p w14:paraId="5385B8FD"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-0.32</w:t>
            </w:r>
          </w:p>
        </w:tc>
      </w:tr>
      <w:tr w:rsidR="00E13102" w:rsidRPr="000653A9" w14:paraId="18EE1294" w14:textId="77777777" w:rsidTr="0067074A">
        <w:trPr>
          <w:trHeight w:val="20"/>
          <w:jc w:val="center"/>
        </w:trPr>
        <w:tc>
          <w:tcPr>
            <w:tcW w:w="0" w:type="auto"/>
            <w:vAlign w:val="center"/>
          </w:tcPr>
          <w:p w14:paraId="1C646F46"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Non-metallic minerals</w:t>
            </w:r>
          </w:p>
        </w:tc>
        <w:tc>
          <w:tcPr>
            <w:tcW w:w="0" w:type="auto"/>
            <w:vAlign w:val="center"/>
          </w:tcPr>
          <w:p w14:paraId="540DA10D"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2.96</w:t>
            </w:r>
          </w:p>
        </w:tc>
        <w:tc>
          <w:tcPr>
            <w:tcW w:w="0" w:type="auto"/>
            <w:vAlign w:val="center"/>
          </w:tcPr>
          <w:p w14:paraId="29E85AA6"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2.04</w:t>
            </w:r>
          </w:p>
        </w:tc>
        <w:tc>
          <w:tcPr>
            <w:tcW w:w="0" w:type="auto"/>
            <w:vAlign w:val="center"/>
          </w:tcPr>
          <w:p w14:paraId="51EA4D7F"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2.12</w:t>
            </w:r>
          </w:p>
        </w:tc>
        <w:tc>
          <w:tcPr>
            <w:tcW w:w="0" w:type="auto"/>
            <w:vAlign w:val="center"/>
          </w:tcPr>
          <w:p w14:paraId="1A93C2D3" w14:textId="78EE2FC1"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4.02</w:t>
            </w:r>
          </w:p>
        </w:tc>
        <w:tc>
          <w:tcPr>
            <w:tcW w:w="0" w:type="auto"/>
            <w:vAlign w:val="center"/>
          </w:tcPr>
          <w:p w14:paraId="72D699A4" w14:textId="4480C1B3"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3.02</w:t>
            </w:r>
          </w:p>
        </w:tc>
        <w:tc>
          <w:tcPr>
            <w:tcW w:w="0" w:type="auto"/>
            <w:vAlign w:val="center"/>
          </w:tcPr>
          <w:p w14:paraId="6A8107B2" w14:textId="1B32AC39"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4.63</w:t>
            </w:r>
          </w:p>
        </w:tc>
        <w:tc>
          <w:tcPr>
            <w:tcW w:w="0" w:type="auto"/>
            <w:vAlign w:val="center"/>
          </w:tcPr>
          <w:p w14:paraId="4A61660F" w14:textId="6E486614"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3.86</w:t>
            </w:r>
          </w:p>
        </w:tc>
        <w:tc>
          <w:tcPr>
            <w:tcW w:w="0" w:type="auto"/>
            <w:vAlign w:val="center"/>
          </w:tcPr>
          <w:p w14:paraId="15953A66" w14:textId="77777777" w:rsidR="00E13102" w:rsidRPr="000653A9" w:rsidRDefault="00E13102" w:rsidP="0067074A">
            <w:pPr>
              <w:spacing w:after="0"/>
              <w:jc w:val="center"/>
              <w:rPr>
                <w:rFonts w:eastAsia="Arial"/>
                <w:noProof/>
                <w:sz w:val="22"/>
                <w:szCs w:val="22"/>
                <w:lang w:eastAsia="en-GB"/>
              </w:rPr>
            </w:pPr>
            <w:r w:rsidRPr="000653A9">
              <w:rPr>
                <w:rFonts w:eastAsia="Arial"/>
                <w:noProof/>
                <w:sz w:val="22"/>
                <w:szCs w:val="22"/>
                <w:lang w:eastAsia="en-GB"/>
              </w:rPr>
              <w:t>3.06</w:t>
            </w:r>
          </w:p>
        </w:tc>
      </w:tr>
    </w:tbl>
    <w:p w14:paraId="004B8219" w14:textId="55271729" w:rsidR="00344ADD" w:rsidRPr="000653A9" w:rsidRDefault="00344ADD" w:rsidP="00344ADD">
      <w:pPr>
        <w:rPr>
          <w:i/>
          <w:iCs/>
          <w:noProof/>
          <w:sz w:val="20"/>
          <w:szCs w:val="20"/>
          <w:lang w:eastAsia="en-GB"/>
        </w:rPr>
      </w:pPr>
      <w:r w:rsidRPr="000653A9">
        <w:rPr>
          <w:i/>
          <w:iCs/>
          <w:noProof/>
          <w:sz w:val="20"/>
          <w:szCs w:val="20"/>
          <w:lang w:eastAsia="en-GB"/>
        </w:rPr>
        <w:t>Source:</w:t>
      </w:r>
      <w:r w:rsidR="00B837BC" w:rsidRPr="000653A9">
        <w:rPr>
          <w:i/>
          <w:iCs/>
          <w:noProof/>
          <w:sz w:val="20"/>
          <w:szCs w:val="20"/>
        </w:rPr>
        <w:t xml:space="preserve"> </w:t>
      </w:r>
      <w:r w:rsidRPr="000653A9">
        <w:rPr>
          <w:i/>
          <w:iCs/>
          <w:noProof/>
          <w:sz w:val="20"/>
          <w:szCs w:val="20"/>
          <w:lang w:eastAsia="en-GB"/>
        </w:rPr>
        <w:t>GEM-E3 model (2025)</w:t>
      </w:r>
    </w:p>
    <w:p w14:paraId="79C9119F" w14:textId="7B4DEC62" w:rsidR="00FF1568" w:rsidRDefault="00CB350F" w:rsidP="00FF1568">
      <w:pPr>
        <w:rPr>
          <w:noProof/>
          <w:color w:val="auto"/>
        </w:rPr>
      </w:pPr>
      <w:r>
        <w:rPr>
          <w:noProof/>
          <w:color w:val="auto"/>
        </w:rPr>
        <w:t>T</w:t>
      </w:r>
      <w:r w:rsidR="00FF1568" w:rsidRPr="002D38A8">
        <w:rPr>
          <w:noProof/>
          <w:color w:val="auto"/>
        </w:rPr>
        <w:t>able</w:t>
      </w:r>
      <w:r>
        <w:rPr>
          <w:noProof/>
          <w:color w:val="auto"/>
        </w:rPr>
        <w:t xml:space="preserve"> </w:t>
      </w:r>
      <w:r w:rsidR="00481BB3">
        <w:rPr>
          <w:noProof/>
          <w:color w:val="auto"/>
        </w:rPr>
        <w:t>19</w:t>
      </w:r>
      <w:r w:rsidR="00FF1568" w:rsidRPr="002D38A8">
        <w:rPr>
          <w:noProof/>
          <w:color w:val="auto"/>
        </w:rPr>
        <w:t xml:space="preserve"> </w:t>
      </w:r>
      <w:r w:rsidR="00FF1568">
        <w:rPr>
          <w:noProof/>
          <w:color w:val="auto"/>
        </w:rPr>
        <w:t>below shows</w:t>
      </w:r>
      <w:r w:rsidR="00FF1568" w:rsidRPr="002D38A8">
        <w:rPr>
          <w:noProof/>
          <w:color w:val="auto"/>
        </w:rPr>
        <w:t xml:space="preserve"> </w:t>
      </w:r>
      <w:r w:rsidR="00FF1568">
        <w:rPr>
          <w:noProof/>
          <w:color w:val="auto"/>
        </w:rPr>
        <w:t>the</w:t>
      </w:r>
      <w:r w:rsidR="00FF1568" w:rsidRPr="002D38A8">
        <w:rPr>
          <w:noProof/>
          <w:color w:val="auto"/>
        </w:rPr>
        <w:t xml:space="preserve"> </w:t>
      </w:r>
      <w:r w:rsidR="00FF1568">
        <w:rPr>
          <w:noProof/>
          <w:color w:val="auto"/>
        </w:rPr>
        <w:t xml:space="preserve">effects on sectoral </w:t>
      </w:r>
      <w:r w:rsidR="00B63ED4">
        <w:rPr>
          <w:noProof/>
          <w:color w:val="auto"/>
        </w:rPr>
        <w:t>export levels</w:t>
      </w:r>
      <w:r w:rsidR="00FF1568">
        <w:rPr>
          <w:noProof/>
          <w:color w:val="auto"/>
        </w:rPr>
        <w:t xml:space="preserve"> when using </w:t>
      </w:r>
      <w:r w:rsidR="00FF1568" w:rsidRPr="002D38A8">
        <w:rPr>
          <w:noProof/>
          <w:color w:val="auto"/>
        </w:rPr>
        <w:t xml:space="preserve">the </w:t>
      </w:r>
      <w:r w:rsidR="00FF1568">
        <w:rPr>
          <w:noProof/>
          <w:color w:val="auto"/>
        </w:rPr>
        <w:t xml:space="preserve">90-85% cap pathway (see section 1.3.1.1), compared with the reference scenario of 85% linear trajectory. This scenario shows that for most sectors, the more ambitious cap trajectory results in some decrease in EU27 emissions and increases in the non-EU27 emissions in 2035, indicating a marginally lower </w:t>
      </w:r>
      <w:r w:rsidR="00DB4F6B">
        <w:rPr>
          <w:noProof/>
          <w:color w:val="auto"/>
        </w:rPr>
        <w:t>export levels, with steepest decrease for non-metallic minerals</w:t>
      </w:r>
      <w:r w:rsidR="00FF1568">
        <w:rPr>
          <w:noProof/>
          <w:color w:val="auto"/>
        </w:rPr>
        <w:t xml:space="preserve">. The differences in the results for 2040 are marginal or 0 in most sectors. </w:t>
      </w:r>
    </w:p>
    <w:p w14:paraId="31B6065C" w14:textId="1B1EB6E6" w:rsidR="00FF1568" w:rsidRPr="003E22BE" w:rsidRDefault="00FF1568" w:rsidP="00C92FA9">
      <w:pPr>
        <w:pStyle w:val="Tabletitle"/>
        <w:rPr>
          <w:noProof/>
        </w:rPr>
      </w:pPr>
      <w:bookmarkStart w:id="408" w:name="_Toc234435122"/>
      <w:bookmarkStart w:id="409" w:name="_Toc232003590"/>
      <w:r>
        <w:rPr>
          <w:noProof/>
        </w:rPr>
        <w:t xml:space="preserve">Percentage change in sectoral </w:t>
      </w:r>
      <w:r w:rsidR="0044269F">
        <w:rPr>
          <w:noProof/>
        </w:rPr>
        <w:t>export</w:t>
      </w:r>
      <w:r>
        <w:rPr>
          <w:noProof/>
        </w:rPr>
        <w:t xml:space="preserve"> leve</w:t>
      </w:r>
      <w:r w:rsidR="0044269F">
        <w:rPr>
          <w:noProof/>
        </w:rPr>
        <w:t>l</w:t>
      </w:r>
      <w:r>
        <w:rPr>
          <w:noProof/>
        </w:rPr>
        <w:t xml:space="preserve">s </w:t>
      </w:r>
      <w:r w:rsidR="007E0BAC">
        <w:rPr>
          <w:noProof/>
        </w:rPr>
        <w:t>for variants CL290_9085 and CL290</w:t>
      </w:r>
      <w:r w:rsidR="001D49AE">
        <w:rPr>
          <w:noProof/>
        </w:rPr>
        <w:t>C</w:t>
      </w:r>
      <w:r w:rsidR="007E0BAC">
        <w:rPr>
          <w:noProof/>
        </w:rPr>
        <w:t xml:space="preserve">_9085 </w:t>
      </w:r>
      <w:r>
        <w:rPr>
          <w:noProof/>
        </w:rPr>
        <w:t xml:space="preserve">compared to </w:t>
      </w:r>
      <w:r w:rsidRPr="003E22BE">
        <w:rPr>
          <w:noProof/>
        </w:rPr>
        <w:t>scenarios</w:t>
      </w:r>
      <w:r>
        <w:rPr>
          <w:noProof/>
        </w:rPr>
        <w:t xml:space="preserve"> </w:t>
      </w:r>
      <w:r w:rsidRPr="003E22BE">
        <w:rPr>
          <w:noProof/>
        </w:rPr>
        <w:t>CL2_90 and CL2_90C.</w:t>
      </w:r>
      <w:bookmarkEnd w:id="408"/>
      <w:bookmarkEnd w:id="409"/>
      <w:r w:rsidRPr="003E22BE">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488"/>
        <w:gridCol w:w="1634"/>
        <w:gridCol w:w="1571"/>
        <w:gridCol w:w="1634"/>
      </w:tblGrid>
      <w:tr w:rsidR="00B5536D" w:rsidRPr="004C2D15" w14:paraId="3ACE30EA" w14:textId="7B096A39" w:rsidTr="00B5536D">
        <w:trPr>
          <w:trHeight w:val="310"/>
        </w:trPr>
        <w:tc>
          <w:tcPr>
            <w:tcW w:w="1540" w:type="pct"/>
            <w:shd w:val="clear" w:color="auto" w:fill="FFFFFF"/>
            <w:noWrap/>
            <w:vAlign w:val="center"/>
          </w:tcPr>
          <w:p w14:paraId="2F1ECC2B" w14:textId="77777777" w:rsidR="00B5536D" w:rsidRPr="00DB4F6B" w:rsidRDefault="00B5536D" w:rsidP="00B5536D">
            <w:pPr>
              <w:jc w:val="center"/>
              <w:rPr>
                <w:noProof/>
                <w:color w:val="auto"/>
                <w:sz w:val="22"/>
                <w:szCs w:val="22"/>
                <w:lang w:val="en-US"/>
              </w:rPr>
            </w:pPr>
          </w:p>
        </w:tc>
        <w:tc>
          <w:tcPr>
            <w:tcW w:w="1659" w:type="pct"/>
            <w:gridSpan w:val="2"/>
            <w:shd w:val="clear" w:color="auto" w:fill="FFFFFF"/>
            <w:noWrap/>
            <w:vAlign w:val="center"/>
          </w:tcPr>
          <w:p w14:paraId="4B8B51CE" w14:textId="4C199360" w:rsidR="00B5536D" w:rsidRPr="00DB4F6B" w:rsidRDefault="00B5536D" w:rsidP="00B5536D">
            <w:pPr>
              <w:jc w:val="center"/>
              <w:rPr>
                <w:noProof/>
                <w:color w:val="auto"/>
                <w:sz w:val="22"/>
                <w:szCs w:val="22"/>
                <w:lang w:val="en-US"/>
              </w:rPr>
            </w:pPr>
            <w:r w:rsidRPr="0044269F">
              <w:rPr>
                <w:noProof/>
                <w:color w:val="auto"/>
                <w:sz w:val="22"/>
                <w:szCs w:val="22"/>
              </w:rPr>
              <w:t>2035</w:t>
            </w:r>
          </w:p>
        </w:tc>
        <w:tc>
          <w:tcPr>
            <w:tcW w:w="1800" w:type="pct"/>
            <w:gridSpan w:val="2"/>
            <w:shd w:val="clear" w:color="auto" w:fill="FFFFFF"/>
          </w:tcPr>
          <w:p w14:paraId="333D0D6F" w14:textId="0C3796FB" w:rsidR="00B5536D" w:rsidRPr="00DB4F6B" w:rsidRDefault="00B5536D" w:rsidP="00B5536D">
            <w:pPr>
              <w:jc w:val="center"/>
              <w:rPr>
                <w:noProof/>
                <w:color w:val="auto"/>
                <w:sz w:val="22"/>
                <w:szCs w:val="22"/>
              </w:rPr>
            </w:pPr>
            <w:r>
              <w:rPr>
                <w:noProof/>
                <w:color w:val="auto"/>
                <w:sz w:val="22"/>
                <w:szCs w:val="22"/>
              </w:rPr>
              <w:t>2040</w:t>
            </w:r>
          </w:p>
        </w:tc>
      </w:tr>
      <w:tr w:rsidR="00900CA9" w:rsidRPr="004C2D15" w14:paraId="3A27DD49" w14:textId="73C790DA" w:rsidTr="007F1ECE">
        <w:trPr>
          <w:trHeight w:val="310"/>
        </w:trPr>
        <w:tc>
          <w:tcPr>
            <w:tcW w:w="1540" w:type="pct"/>
            <w:shd w:val="clear" w:color="auto" w:fill="FFFFFF"/>
            <w:noWrap/>
            <w:vAlign w:val="center"/>
            <w:hideMark/>
          </w:tcPr>
          <w:p w14:paraId="13375C20" w14:textId="77777777" w:rsidR="00B5536D" w:rsidRPr="003E22BE" w:rsidRDefault="00B5536D" w:rsidP="00B5536D">
            <w:pPr>
              <w:jc w:val="center"/>
              <w:rPr>
                <w:noProof/>
                <w:color w:val="auto"/>
                <w:sz w:val="22"/>
                <w:szCs w:val="22"/>
                <w:lang w:val="en-US"/>
              </w:rPr>
            </w:pPr>
          </w:p>
        </w:tc>
        <w:tc>
          <w:tcPr>
            <w:tcW w:w="786" w:type="pct"/>
            <w:tcBorders>
              <w:bottom w:val="single" w:sz="4" w:space="0" w:color="auto"/>
            </w:tcBorders>
            <w:shd w:val="clear" w:color="auto" w:fill="FFFFFF"/>
            <w:noWrap/>
            <w:vAlign w:val="center"/>
            <w:hideMark/>
          </w:tcPr>
          <w:p w14:paraId="4DD5E64E" w14:textId="7F28E124" w:rsidR="00B5536D" w:rsidRPr="003E22BE" w:rsidRDefault="00B5536D" w:rsidP="00B5536D">
            <w:pPr>
              <w:jc w:val="center"/>
              <w:rPr>
                <w:noProof/>
                <w:color w:val="auto"/>
                <w:sz w:val="22"/>
                <w:szCs w:val="22"/>
                <w:lang w:val="en-US"/>
              </w:rPr>
            </w:pPr>
            <w:r w:rsidRPr="00836624">
              <w:rPr>
                <w:noProof/>
                <w:color w:val="auto"/>
                <w:sz w:val="22"/>
                <w:szCs w:val="22"/>
              </w:rPr>
              <w:t>CL2_90_9085</w:t>
            </w:r>
          </w:p>
        </w:tc>
        <w:tc>
          <w:tcPr>
            <w:tcW w:w="873" w:type="pct"/>
            <w:tcBorders>
              <w:bottom w:val="single" w:sz="4" w:space="0" w:color="auto"/>
            </w:tcBorders>
            <w:shd w:val="clear" w:color="auto" w:fill="FFFFFF"/>
            <w:noWrap/>
            <w:vAlign w:val="center"/>
            <w:hideMark/>
          </w:tcPr>
          <w:p w14:paraId="21F11E65" w14:textId="0D6F8E9C" w:rsidR="00B5536D" w:rsidRPr="003E22BE" w:rsidRDefault="00B5536D" w:rsidP="00B5536D">
            <w:pPr>
              <w:jc w:val="center"/>
              <w:rPr>
                <w:noProof/>
                <w:color w:val="auto"/>
                <w:sz w:val="22"/>
                <w:szCs w:val="22"/>
                <w:lang w:val="en-US"/>
              </w:rPr>
            </w:pPr>
            <w:r w:rsidRPr="001F1915">
              <w:rPr>
                <w:noProof/>
                <w:color w:val="auto"/>
                <w:sz w:val="22"/>
                <w:szCs w:val="22"/>
              </w:rPr>
              <w:t>CL2_90</w:t>
            </w:r>
            <w:r w:rsidR="00900CA9">
              <w:rPr>
                <w:noProof/>
                <w:color w:val="auto"/>
                <w:sz w:val="22"/>
                <w:szCs w:val="22"/>
              </w:rPr>
              <w:t>C</w:t>
            </w:r>
            <w:r w:rsidRPr="001F1915">
              <w:rPr>
                <w:noProof/>
                <w:color w:val="auto"/>
                <w:sz w:val="22"/>
                <w:szCs w:val="22"/>
              </w:rPr>
              <w:t>_9085</w:t>
            </w:r>
          </w:p>
        </w:tc>
        <w:tc>
          <w:tcPr>
            <w:tcW w:w="920" w:type="pct"/>
            <w:tcBorders>
              <w:bottom w:val="single" w:sz="4" w:space="0" w:color="auto"/>
            </w:tcBorders>
            <w:shd w:val="clear" w:color="auto" w:fill="FFFFFF"/>
            <w:vAlign w:val="center"/>
          </w:tcPr>
          <w:p w14:paraId="23FC1BE9" w14:textId="32983B12" w:rsidR="00B5536D" w:rsidRPr="00DB4F6B" w:rsidRDefault="00B5536D" w:rsidP="00B5536D">
            <w:pPr>
              <w:jc w:val="center"/>
              <w:rPr>
                <w:noProof/>
                <w:color w:val="auto"/>
                <w:sz w:val="22"/>
                <w:szCs w:val="22"/>
              </w:rPr>
            </w:pPr>
            <w:r w:rsidRPr="00836624">
              <w:rPr>
                <w:noProof/>
                <w:color w:val="auto"/>
                <w:sz w:val="22"/>
                <w:szCs w:val="22"/>
              </w:rPr>
              <w:t>CL2_90_9085</w:t>
            </w:r>
          </w:p>
        </w:tc>
        <w:tc>
          <w:tcPr>
            <w:tcW w:w="880" w:type="pct"/>
            <w:tcBorders>
              <w:bottom w:val="single" w:sz="4" w:space="0" w:color="auto"/>
            </w:tcBorders>
            <w:shd w:val="clear" w:color="auto" w:fill="FFFFFF"/>
            <w:vAlign w:val="center"/>
          </w:tcPr>
          <w:p w14:paraId="4A0D00F1" w14:textId="2D05404E" w:rsidR="00B5536D" w:rsidRPr="00DB4F6B" w:rsidRDefault="00B5536D" w:rsidP="00B5536D">
            <w:pPr>
              <w:jc w:val="center"/>
              <w:rPr>
                <w:noProof/>
                <w:color w:val="auto"/>
                <w:sz w:val="22"/>
                <w:szCs w:val="22"/>
              </w:rPr>
            </w:pPr>
            <w:r w:rsidRPr="001F1915">
              <w:rPr>
                <w:noProof/>
                <w:color w:val="auto"/>
                <w:sz w:val="22"/>
                <w:szCs w:val="22"/>
              </w:rPr>
              <w:t>CL2_90</w:t>
            </w:r>
            <w:r w:rsidR="00900CA9">
              <w:rPr>
                <w:noProof/>
                <w:color w:val="auto"/>
                <w:sz w:val="22"/>
                <w:szCs w:val="22"/>
              </w:rPr>
              <w:t>C</w:t>
            </w:r>
            <w:r w:rsidRPr="001F1915">
              <w:rPr>
                <w:noProof/>
                <w:color w:val="auto"/>
                <w:sz w:val="22"/>
                <w:szCs w:val="22"/>
              </w:rPr>
              <w:t>_9085</w:t>
            </w:r>
          </w:p>
        </w:tc>
      </w:tr>
      <w:tr w:rsidR="00900CA9" w:rsidRPr="004C2D15" w14:paraId="2C0E140D" w14:textId="2654E851" w:rsidTr="007F1ECE">
        <w:trPr>
          <w:trHeight w:val="300"/>
        </w:trPr>
        <w:tc>
          <w:tcPr>
            <w:tcW w:w="1540" w:type="pct"/>
            <w:shd w:val="clear" w:color="auto" w:fill="FFFFFF"/>
            <w:noWrap/>
            <w:vAlign w:val="center"/>
            <w:hideMark/>
          </w:tcPr>
          <w:p w14:paraId="26611622" w14:textId="77777777" w:rsidR="00B2021C" w:rsidRPr="003E22BE" w:rsidRDefault="00B2021C" w:rsidP="00B2021C">
            <w:pPr>
              <w:jc w:val="center"/>
              <w:rPr>
                <w:noProof/>
                <w:color w:val="auto"/>
                <w:sz w:val="22"/>
                <w:szCs w:val="22"/>
                <w:lang w:val="en-US"/>
              </w:rPr>
            </w:pPr>
            <w:r w:rsidRPr="003E22BE">
              <w:rPr>
                <w:noProof/>
                <w:color w:val="auto"/>
                <w:sz w:val="22"/>
                <w:szCs w:val="22"/>
                <w:lang w:val="en-US"/>
              </w:rPr>
              <w:t>Ferrous metals</w:t>
            </w:r>
          </w:p>
        </w:tc>
        <w:tc>
          <w:tcPr>
            <w:tcW w:w="786" w:type="pct"/>
            <w:tcBorders>
              <w:top w:val="single" w:sz="4" w:space="0" w:color="auto"/>
              <w:bottom w:val="single" w:sz="4" w:space="0" w:color="auto"/>
            </w:tcBorders>
            <w:shd w:val="clear" w:color="auto" w:fill="FFFFFF"/>
            <w:noWrap/>
            <w:hideMark/>
          </w:tcPr>
          <w:p w14:paraId="759ADD4E" w14:textId="6FCF09AD" w:rsidR="00B2021C" w:rsidRPr="00B2021C" w:rsidRDefault="00B2021C" w:rsidP="00B2021C">
            <w:pPr>
              <w:jc w:val="center"/>
              <w:rPr>
                <w:noProof/>
                <w:sz w:val="22"/>
                <w:szCs w:val="22"/>
              </w:rPr>
            </w:pPr>
            <w:r w:rsidRPr="00DB4F6B">
              <w:rPr>
                <w:noProof/>
                <w:sz w:val="22"/>
                <w:szCs w:val="22"/>
              </w:rPr>
              <w:t>-0.66%</w:t>
            </w:r>
          </w:p>
        </w:tc>
        <w:tc>
          <w:tcPr>
            <w:tcW w:w="873" w:type="pct"/>
            <w:tcBorders>
              <w:top w:val="single" w:sz="4" w:space="0" w:color="auto"/>
              <w:bottom w:val="single" w:sz="4" w:space="0" w:color="auto"/>
            </w:tcBorders>
            <w:shd w:val="clear" w:color="auto" w:fill="FFFFFF"/>
            <w:noWrap/>
            <w:hideMark/>
          </w:tcPr>
          <w:p w14:paraId="5128FA10" w14:textId="189CB998" w:rsidR="00B2021C" w:rsidRPr="00B2021C" w:rsidRDefault="00B2021C" w:rsidP="00B2021C">
            <w:pPr>
              <w:jc w:val="center"/>
              <w:rPr>
                <w:noProof/>
                <w:sz w:val="22"/>
                <w:szCs w:val="22"/>
              </w:rPr>
            </w:pPr>
            <w:r w:rsidRPr="00DB4F6B">
              <w:rPr>
                <w:noProof/>
                <w:sz w:val="22"/>
                <w:szCs w:val="22"/>
              </w:rPr>
              <w:t>-0.64%</w:t>
            </w:r>
          </w:p>
        </w:tc>
        <w:tc>
          <w:tcPr>
            <w:tcW w:w="920" w:type="pct"/>
            <w:tcBorders>
              <w:top w:val="single" w:sz="4" w:space="0" w:color="auto"/>
              <w:bottom w:val="single" w:sz="4" w:space="0" w:color="auto"/>
            </w:tcBorders>
            <w:shd w:val="clear" w:color="auto" w:fill="FFFFFF"/>
            <w:vAlign w:val="bottom"/>
          </w:tcPr>
          <w:p w14:paraId="1EFF1D65" w14:textId="77D6D68F" w:rsidR="00B2021C" w:rsidRPr="00DB4F6B" w:rsidRDefault="00B2021C" w:rsidP="00B2021C">
            <w:pPr>
              <w:jc w:val="center"/>
              <w:rPr>
                <w:noProof/>
                <w:sz w:val="22"/>
                <w:szCs w:val="22"/>
              </w:rPr>
            </w:pPr>
            <w:r w:rsidRPr="00B2021C">
              <w:rPr>
                <w:noProof/>
                <w:sz w:val="22"/>
                <w:szCs w:val="22"/>
              </w:rPr>
              <w:t>0.02%</w:t>
            </w:r>
          </w:p>
        </w:tc>
        <w:tc>
          <w:tcPr>
            <w:tcW w:w="880" w:type="pct"/>
            <w:tcBorders>
              <w:top w:val="single" w:sz="4" w:space="0" w:color="auto"/>
              <w:left w:val="nil"/>
              <w:bottom w:val="single" w:sz="4" w:space="0" w:color="auto"/>
              <w:right w:val="single" w:sz="4" w:space="0" w:color="auto"/>
            </w:tcBorders>
            <w:shd w:val="clear" w:color="auto" w:fill="FFFFFF"/>
            <w:vAlign w:val="bottom"/>
          </w:tcPr>
          <w:p w14:paraId="2261225A" w14:textId="5CEEB7B6" w:rsidR="00B2021C" w:rsidRPr="00DB4F6B" w:rsidRDefault="00B2021C" w:rsidP="00B2021C">
            <w:pPr>
              <w:jc w:val="center"/>
              <w:rPr>
                <w:noProof/>
                <w:sz w:val="22"/>
                <w:szCs w:val="22"/>
              </w:rPr>
            </w:pPr>
            <w:r w:rsidRPr="00B2021C">
              <w:rPr>
                <w:noProof/>
                <w:sz w:val="22"/>
                <w:szCs w:val="22"/>
              </w:rPr>
              <w:t>0.02%</w:t>
            </w:r>
          </w:p>
        </w:tc>
      </w:tr>
      <w:tr w:rsidR="00900CA9" w:rsidRPr="004C2D15" w14:paraId="4565D4D8" w14:textId="2C303ADE" w:rsidTr="007F1ECE">
        <w:trPr>
          <w:trHeight w:val="300"/>
        </w:trPr>
        <w:tc>
          <w:tcPr>
            <w:tcW w:w="1540" w:type="pct"/>
            <w:shd w:val="clear" w:color="auto" w:fill="FFFFFF"/>
            <w:noWrap/>
            <w:vAlign w:val="center"/>
            <w:hideMark/>
          </w:tcPr>
          <w:p w14:paraId="33240134" w14:textId="77777777" w:rsidR="00B2021C" w:rsidRPr="003E22BE" w:rsidRDefault="00B2021C" w:rsidP="00B2021C">
            <w:pPr>
              <w:jc w:val="center"/>
              <w:rPr>
                <w:noProof/>
                <w:color w:val="auto"/>
                <w:sz w:val="22"/>
                <w:szCs w:val="22"/>
                <w:lang w:val="en-US"/>
              </w:rPr>
            </w:pPr>
            <w:r w:rsidRPr="003E22BE">
              <w:rPr>
                <w:noProof/>
                <w:color w:val="auto"/>
                <w:sz w:val="22"/>
                <w:szCs w:val="22"/>
                <w:lang w:val="en-US"/>
              </w:rPr>
              <w:t>Non-ferrous metals</w:t>
            </w:r>
          </w:p>
        </w:tc>
        <w:tc>
          <w:tcPr>
            <w:tcW w:w="786" w:type="pct"/>
            <w:tcBorders>
              <w:top w:val="single" w:sz="4" w:space="0" w:color="auto"/>
              <w:bottom w:val="single" w:sz="4" w:space="0" w:color="auto"/>
            </w:tcBorders>
            <w:shd w:val="clear" w:color="auto" w:fill="FFFFFF"/>
            <w:noWrap/>
            <w:hideMark/>
          </w:tcPr>
          <w:p w14:paraId="074EF080" w14:textId="4C24B62D" w:rsidR="00B2021C" w:rsidRPr="00B2021C" w:rsidRDefault="00B2021C" w:rsidP="00B2021C">
            <w:pPr>
              <w:jc w:val="center"/>
              <w:rPr>
                <w:noProof/>
                <w:sz w:val="22"/>
                <w:szCs w:val="22"/>
              </w:rPr>
            </w:pPr>
            <w:r w:rsidRPr="00DB4F6B">
              <w:rPr>
                <w:noProof/>
                <w:sz w:val="22"/>
                <w:szCs w:val="22"/>
              </w:rPr>
              <w:t>-0.47%</w:t>
            </w:r>
          </w:p>
        </w:tc>
        <w:tc>
          <w:tcPr>
            <w:tcW w:w="873" w:type="pct"/>
            <w:tcBorders>
              <w:top w:val="single" w:sz="4" w:space="0" w:color="auto"/>
              <w:bottom w:val="single" w:sz="4" w:space="0" w:color="auto"/>
            </w:tcBorders>
            <w:shd w:val="clear" w:color="auto" w:fill="FFFFFF"/>
            <w:noWrap/>
            <w:hideMark/>
          </w:tcPr>
          <w:p w14:paraId="7A6D1259" w14:textId="096B84A9" w:rsidR="00B2021C" w:rsidRPr="00B2021C" w:rsidRDefault="00B2021C" w:rsidP="00B2021C">
            <w:pPr>
              <w:jc w:val="center"/>
              <w:rPr>
                <w:noProof/>
                <w:sz w:val="22"/>
                <w:szCs w:val="22"/>
              </w:rPr>
            </w:pPr>
            <w:r w:rsidRPr="00DB4F6B">
              <w:rPr>
                <w:noProof/>
                <w:sz w:val="22"/>
                <w:szCs w:val="22"/>
              </w:rPr>
              <w:t>-0.46%</w:t>
            </w:r>
          </w:p>
        </w:tc>
        <w:tc>
          <w:tcPr>
            <w:tcW w:w="920" w:type="pct"/>
            <w:tcBorders>
              <w:top w:val="single" w:sz="4" w:space="0" w:color="auto"/>
              <w:bottom w:val="single" w:sz="4" w:space="0" w:color="auto"/>
            </w:tcBorders>
            <w:shd w:val="clear" w:color="auto" w:fill="FFFFFF"/>
            <w:vAlign w:val="bottom"/>
          </w:tcPr>
          <w:p w14:paraId="6A452A92" w14:textId="07F23260" w:rsidR="00B2021C" w:rsidRPr="00DB4F6B" w:rsidRDefault="00B2021C" w:rsidP="00B2021C">
            <w:pPr>
              <w:jc w:val="center"/>
              <w:rPr>
                <w:noProof/>
                <w:sz w:val="22"/>
                <w:szCs w:val="22"/>
              </w:rPr>
            </w:pPr>
            <w:r w:rsidRPr="00B2021C">
              <w:rPr>
                <w:noProof/>
                <w:sz w:val="22"/>
                <w:szCs w:val="22"/>
              </w:rPr>
              <w:t>0.03%</w:t>
            </w:r>
          </w:p>
        </w:tc>
        <w:tc>
          <w:tcPr>
            <w:tcW w:w="880" w:type="pct"/>
            <w:tcBorders>
              <w:top w:val="single" w:sz="4" w:space="0" w:color="auto"/>
              <w:left w:val="nil"/>
              <w:bottom w:val="single" w:sz="4" w:space="0" w:color="auto"/>
              <w:right w:val="single" w:sz="4" w:space="0" w:color="auto"/>
            </w:tcBorders>
            <w:shd w:val="clear" w:color="auto" w:fill="FFFFFF"/>
            <w:vAlign w:val="bottom"/>
          </w:tcPr>
          <w:p w14:paraId="514F1C55" w14:textId="4D0AA825" w:rsidR="00B2021C" w:rsidRPr="00DB4F6B" w:rsidRDefault="00B2021C" w:rsidP="00B2021C">
            <w:pPr>
              <w:jc w:val="center"/>
              <w:rPr>
                <w:noProof/>
                <w:sz w:val="22"/>
                <w:szCs w:val="22"/>
              </w:rPr>
            </w:pPr>
            <w:r w:rsidRPr="00B2021C">
              <w:rPr>
                <w:noProof/>
                <w:sz w:val="22"/>
                <w:szCs w:val="22"/>
              </w:rPr>
              <w:t>0.03%</w:t>
            </w:r>
          </w:p>
        </w:tc>
      </w:tr>
      <w:tr w:rsidR="00900CA9" w:rsidRPr="004C2D15" w14:paraId="6CC68FED" w14:textId="5C0925D2" w:rsidTr="007F1ECE">
        <w:trPr>
          <w:trHeight w:val="300"/>
        </w:trPr>
        <w:tc>
          <w:tcPr>
            <w:tcW w:w="1540" w:type="pct"/>
            <w:shd w:val="clear" w:color="auto" w:fill="FFFFFF"/>
            <w:noWrap/>
            <w:vAlign w:val="center"/>
            <w:hideMark/>
          </w:tcPr>
          <w:p w14:paraId="6EA34DB0" w14:textId="77777777" w:rsidR="00B2021C" w:rsidRPr="003E22BE" w:rsidRDefault="00B2021C" w:rsidP="00B2021C">
            <w:pPr>
              <w:jc w:val="center"/>
              <w:rPr>
                <w:noProof/>
                <w:color w:val="auto"/>
                <w:sz w:val="22"/>
                <w:szCs w:val="22"/>
                <w:lang w:val="en-US"/>
              </w:rPr>
            </w:pPr>
            <w:r w:rsidRPr="003E22BE">
              <w:rPr>
                <w:noProof/>
                <w:color w:val="auto"/>
                <w:sz w:val="22"/>
                <w:szCs w:val="22"/>
                <w:lang w:val="en-US"/>
              </w:rPr>
              <w:t>Chemical Products</w:t>
            </w:r>
          </w:p>
        </w:tc>
        <w:tc>
          <w:tcPr>
            <w:tcW w:w="786" w:type="pct"/>
            <w:tcBorders>
              <w:top w:val="single" w:sz="4" w:space="0" w:color="auto"/>
              <w:bottom w:val="single" w:sz="4" w:space="0" w:color="auto"/>
            </w:tcBorders>
            <w:shd w:val="clear" w:color="auto" w:fill="FFFFFF"/>
            <w:noWrap/>
            <w:hideMark/>
          </w:tcPr>
          <w:p w14:paraId="09E8565F" w14:textId="60CC3725" w:rsidR="00B2021C" w:rsidRPr="00B2021C" w:rsidRDefault="00B2021C" w:rsidP="00B2021C">
            <w:pPr>
              <w:jc w:val="center"/>
              <w:rPr>
                <w:noProof/>
                <w:sz w:val="22"/>
                <w:szCs w:val="22"/>
              </w:rPr>
            </w:pPr>
            <w:r w:rsidRPr="00DB4F6B">
              <w:rPr>
                <w:noProof/>
                <w:sz w:val="22"/>
                <w:szCs w:val="22"/>
              </w:rPr>
              <w:t>-0.48%</w:t>
            </w:r>
          </w:p>
        </w:tc>
        <w:tc>
          <w:tcPr>
            <w:tcW w:w="873" w:type="pct"/>
            <w:tcBorders>
              <w:top w:val="single" w:sz="4" w:space="0" w:color="auto"/>
              <w:bottom w:val="single" w:sz="4" w:space="0" w:color="auto"/>
            </w:tcBorders>
            <w:shd w:val="clear" w:color="auto" w:fill="FFFFFF"/>
            <w:noWrap/>
            <w:hideMark/>
          </w:tcPr>
          <w:p w14:paraId="314630B0" w14:textId="7C3A5EDB" w:rsidR="00B2021C" w:rsidRPr="00B2021C" w:rsidRDefault="00B2021C" w:rsidP="00B2021C">
            <w:pPr>
              <w:jc w:val="center"/>
              <w:rPr>
                <w:noProof/>
                <w:sz w:val="22"/>
                <w:szCs w:val="22"/>
              </w:rPr>
            </w:pPr>
            <w:r w:rsidRPr="00DB4F6B">
              <w:rPr>
                <w:noProof/>
                <w:sz w:val="22"/>
                <w:szCs w:val="22"/>
              </w:rPr>
              <w:t>-0.48%</w:t>
            </w:r>
          </w:p>
        </w:tc>
        <w:tc>
          <w:tcPr>
            <w:tcW w:w="920" w:type="pct"/>
            <w:tcBorders>
              <w:top w:val="single" w:sz="4" w:space="0" w:color="auto"/>
              <w:bottom w:val="single" w:sz="4" w:space="0" w:color="auto"/>
            </w:tcBorders>
            <w:shd w:val="clear" w:color="auto" w:fill="FFFFFF"/>
            <w:vAlign w:val="bottom"/>
          </w:tcPr>
          <w:p w14:paraId="6D46CA98" w14:textId="71833B41" w:rsidR="00B2021C" w:rsidRPr="00DB4F6B" w:rsidRDefault="00B2021C" w:rsidP="00B2021C">
            <w:pPr>
              <w:jc w:val="center"/>
              <w:rPr>
                <w:noProof/>
                <w:sz w:val="22"/>
                <w:szCs w:val="22"/>
              </w:rPr>
            </w:pPr>
            <w:r w:rsidRPr="00B2021C">
              <w:rPr>
                <w:noProof/>
                <w:sz w:val="22"/>
                <w:szCs w:val="22"/>
              </w:rPr>
              <w:t>0.08%</w:t>
            </w:r>
          </w:p>
        </w:tc>
        <w:tc>
          <w:tcPr>
            <w:tcW w:w="880" w:type="pct"/>
            <w:tcBorders>
              <w:top w:val="single" w:sz="4" w:space="0" w:color="auto"/>
              <w:left w:val="nil"/>
              <w:bottom w:val="single" w:sz="4" w:space="0" w:color="auto"/>
              <w:right w:val="single" w:sz="4" w:space="0" w:color="auto"/>
            </w:tcBorders>
            <w:shd w:val="clear" w:color="auto" w:fill="FFFFFF"/>
            <w:vAlign w:val="bottom"/>
          </w:tcPr>
          <w:p w14:paraId="65FCDCFA" w14:textId="2CE163EA" w:rsidR="00B2021C" w:rsidRPr="00DB4F6B" w:rsidRDefault="00B2021C" w:rsidP="00B2021C">
            <w:pPr>
              <w:jc w:val="center"/>
              <w:rPr>
                <w:noProof/>
                <w:sz w:val="22"/>
                <w:szCs w:val="22"/>
              </w:rPr>
            </w:pPr>
            <w:r w:rsidRPr="00B2021C">
              <w:rPr>
                <w:noProof/>
                <w:sz w:val="22"/>
                <w:szCs w:val="22"/>
              </w:rPr>
              <w:t>0.08%</w:t>
            </w:r>
          </w:p>
        </w:tc>
      </w:tr>
      <w:tr w:rsidR="00900CA9" w:rsidRPr="004C2D15" w14:paraId="20B826C1" w14:textId="6BEB39E5" w:rsidTr="007F1ECE">
        <w:trPr>
          <w:trHeight w:val="310"/>
        </w:trPr>
        <w:tc>
          <w:tcPr>
            <w:tcW w:w="1540" w:type="pct"/>
            <w:shd w:val="clear" w:color="auto" w:fill="FFFFFF"/>
            <w:noWrap/>
            <w:vAlign w:val="center"/>
            <w:hideMark/>
          </w:tcPr>
          <w:p w14:paraId="188C5596" w14:textId="77777777" w:rsidR="00B2021C" w:rsidRPr="003E22BE" w:rsidRDefault="00B2021C" w:rsidP="00B2021C">
            <w:pPr>
              <w:jc w:val="center"/>
              <w:rPr>
                <w:noProof/>
                <w:color w:val="auto"/>
                <w:sz w:val="22"/>
                <w:szCs w:val="22"/>
                <w:lang w:val="en-US"/>
              </w:rPr>
            </w:pPr>
            <w:r w:rsidRPr="003E22BE">
              <w:rPr>
                <w:noProof/>
                <w:color w:val="auto"/>
                <w:sz w:val="22"/>
                <w:szCs w:val="22"/>
                <w:lang w:val="en-US"/>
              </w:rPr>
              <w:t>Paper products, publishing</w:t>
            </w:r>
          </w:p>
        </w:tc>
        <w:tc>
          <w:tcPr>
            <w:tcW w:w="786" w:type="pct"/>
            <w:tcBorders>
              <w:top w:val="single" w:sz="4" w:space="0" w:color="auto"/>
              <w:bottom w:val="single" w:sz="4" w:space="0" w:color="auto"/>
            </w:tcBorders>
            <w:shd w:val="clear" w:color="auto" w:fill="FFFFFF"/>
            <w:noWrap/>
            <w:hideMark/>
          </w:tcPr>
          <w:p w14:paraId="5ABC10EA" w14:textId="0AA18A81" w:rsidR="00B2021C" w:rsidRPr="00B2021C" w:rsidRDefault="00B2021C" w:rsidP="00B2021C">
            <w:pPr>
              <w:jc w:val="center"/>
              <w:rPr>
                <w:noProof/>
                <w:sz w:val="22"/>
                <w:szCs w:val="22"/>
              </w:rPr>
            </w:pPr>
            <w:r w:rsidRPr="00DB4F6B">
              <w:rPr>
                <w:noProof/>
                <w:sz w:val="22"/>
                <w:szCs w:val="22"/>
              </w:rPr>
              <w:t>-0.03%</w:t>
            </w:r>
          </w:p>
        </w:tc>
        <w:tc>
          <w:tcPr>
            <w:tcW w:w="873" w:type="pct"/>
            <w:tcBorders>
              <w:top w:val="single" w:sz="4" w:space="0" w:color="auto"/>
              <w:bottom w:val="single" w:sz="4" w:space="0" w:color="auto"/>
            </w:tcBorders>
            <w:shd w:val="clear" w:color="auto" w:fill="FFFFFF"/>
            <w:noWrap/>
            <w:hideMark/>
          </w:tcPr>
          <w:p w14:paraId="7BE1CE66" w14:textId="4A16EC98" w:rsidR="00B2021C" w:rsidRPr="00B2021C" w:rsidRDefault="00B2021C" w:rsidP="00B2021C">
            <w:pPr>
              <w:jc w:val="center"/>
              <w:rPr>
                <w:noProof/>
                <w:sz w:val="22"/>
                <w:szCs w:val="22"/>
              </w:rPr>
            </w:pPr>
            <w:r w:rsidRPr="00DB4F6B">
              <w:rPr>
                <w:noProof/>
                <w:sz w:val="22"/>
                <w:szCs w:val="22"/>
              </w:rPr>
              <w:t>-0.03%</w:t>
            </w:r>
          </w:p>
        </w:tc>
        <w:tc>
          <w:tcPr>
            <w:tcW w:w="920" w:type="pct"/>
            <w:tcBorders>
              <w:top w:val="single" w:sz="4" w:space="0" w:color="auto"/>
              <w:bottom w:val="single" w:sz="4" w:space="0" w:color="auto"/>
            </w:tcBorders>
            <w:shd w:val="clear" w:color="auto" w:fill="FFFFFF"/>
            <w:vAlign w:val="bottom"/>
          </w:tcPr>
          <w:p w14:paraId="0213A6EB" w14:textId="52851729" w:rsidR="00B2021C" w:rsidRPr="00DB4F6B" w:rsidRDefault="00B2021C" w:rsidP="00B2021C">
            <w:pPr>
              <w:jc w:val="center"/>
              <w:rPr>
                <w:noProof/>
                <w:sz w:val="22"/>
                <w:szCs w:val="22"/>
              </w:rPr>
            </w:pPr>
            <w:r w:rsidRPr="00B2021C">
              <w:rPr>
                <w:noProof/>
                <w:sz w:val="22"/>
                <w:szCs w:val="22"/>
              </w:rPr>
              <w:t>0.00%</w:t>
            </w:r>
          </w:p>
        </w:tc>
        <w:tc>
          <w:tcPr>
            <w:tcW w:w="880" w:type="pct"/>
            <w:tcBorders>
              <w:top w:val="single" w:sz="4" w:space="0" w:color="auto"/>
              <w:left w:val="nil"/>
              <w:bottom w:val="single" w:sz="4" w:space="0" w:color="auto"/>
              <w:right w:val="single" w:sz="4" w:space="0" w:color="auto"/>
            </w:tcBorders>
            <w:shd w:val="clear" w:color="auto" w:fill="FFFFFF"/>
            <w:vAlign w:val="bottom"/>
          </w:tcPr>
          <w:p w14:paraId="3A18FAC8" w14:textId="5DC2E4FE" w:rsidR="00B2021C" w:rsidRPr="00DB4F6B" w:rsidRDefault="00B2021C" w:rsidP="00B2021C">
            <w:pPr>
              <w:jc w:val="center"/>
              <w:rPr>
                <w:noProof/>
                <w:sz w:val="22"/>
                <w:szCs w:val="22"/>
              </w:rPr>
            </w:pPr>
            <w:r w:rsidRPr="00B2021C">
              <w:rPr>
                <w:noProof/>
                <w:sz w:val="22"/>
                <w:szCs w:val="22"/>
              </w:rPr>
              <w:t>0.00%</w:t>
            </w:r>
          </w:p>
        </w:tc>
      </w:tr>
      <w:tr w:rsidR="00900CA9" w:rsidRPr="004C2D15" w14:paraId="3E99D2AF" w14:textId="393FA90C" w:rsidTr="007F1ECE">
        <w:trPr>
          <w:trHeight w:val="310"/>
        </w:trPr>
        <w:tc>
          <w:tcPr>
            <w:tcW w:w="1540" w:type="pct"/>
            <w:shd w:val="clear" w:color="auto" w:fill="FFFFFF"/>
            <w:noWrap/>
            <w:vAlign w:val="center"/>
            <w:hideMark/>
          </w:tcPr>
          <w:p w14:paraId="53B36BCA" w14:textId="77777777" w:rsidR="00B2021C" w:rsidRPr="003E22BE" w:rsidRDefault="00B2021C" w:rsidP="00B2021C">
            <w:pPr>
              <w:jc w:val="center"/>
              <w:rPr>
                <w:noProof/>
                <w:color w:val="auto"/>
                <w:sz w:val="22"/>
                <w:szCs w:val="22"/>
                <w:lang w:val="en-US"/>
              </w:rPr>
            </w:pPr>
            <w:r w:rsidRPr="003E22BE">
              <w:rPr>
                <w:noProof/>
                <w:color w:val="auto"/>
                <w:sz w:val="22"/>
                <w:szCs w:val="22"/>
                <w:lang w:val="en-US"/>
              </w:rPr>
              <w:t>Non-metallic minerals</w:t>
            </w:r>
          </w:p>
        </w:tc>
        <w:tc>
          <w:tcPr>
            <w:tcW w:w="786" w:type="pct"/>
            <w:tcBorders>
              <w:top w:val="single" w:sz="4" w:space="0" w:color="auto"/>
              <w:bottom w:val="single" w:sz="4" w:space="0" w:color="auto"/>
              <w:right w:val="single" w:sz="4" w:space="0" w:color="auto"/>
            </w:tcBorders>
            <w:shd w:val="clear" w:color="auto" w:fill="FFFFFF"/>
            <w:noWrap/>
            <w:hideMark/>
          </w:tcPr>
          <w:p w14:paraId="253B0EA2" w14:textId="6DE55153" w:rsidR="00B2021C" w:rsidRPr="00B2021C" w:rsidRDefault="00B2021C" w:rsidP="00B2021C">
            <w:pPr>
              <w:jc w:val="center"/>
              <w:rPr>
                <w:noProof/>
                <w:sz w:val="22"/>
                <w:szCs w:val="22"/>
              </w:rPr>
            </w:pPr>
            <w:r w:rsidRPr="00DB4F6B">
              <w:rPr>
                <w:noProof/>
                <w:sz w:val="22"/>
                <w:szCs w:val="22"/>
              </w:rPr>
              <w:t>-1.84%</w:t>
            </w:r>
          </w:p>
        </w:tc>
        <w:tc>
          <w:tcPr>
            <w:tcW w:w="873" w:type="pct"/>
            <w:tcBorders>
              <w:top w:val="single" w:sz="4" w:space="0" w:color="auto"/>
              <w:left w:val="single" w:sz="4" w:space="0" w:color="auto"/>
              <w:bottom w:val="single" w:sz="4" w:space="0" w:color="auto"/>
              <w:right w:val="single" w:sz="4" w:space="0" w:color="auto"/>
            </w:tcBorders>
            <w:shd w:val="clear" w:color="auto" w:fill="FFFFFF"/>
            <w:noWrap/>
            <w:hideMark/>
          </w:tcPr>
          <w:p w14:paraId="65AD260E" w14:textId="3D05D27F" w:rsidR="00B2021C" w:rsidRPr="00B2021C" w:rsidRDefault="00B2021C" w:rsidP="00B2021C">
            <w:pPr>
              <w:jc w:val="center"/>
              <w:rPr>
                <w:noProof/>
                <w:sz w:val="22"/>
                <w:szCs w:val="22"/>
              </w:rPr>
            </w:pPr>
            <w:r w:rsidRPr="00DB4F6B">
              <w:rPr>
                <w:noProof/>
                <w:sz w:val="22"/>
                <w:szCs w:val="22"/>
              </w:rPr>
              <w:t>-1.79%</w:t>
            </w:r>
          </w:p>
        </w:tc>
        <w:tc>
          <w:tcPr>
            <w:tcW w:w="920" w:type="pct"/>
            <w:tcBorders>
              <w:top w:val="single" w:sz="4" w:space="0" w:color="auto"/>
              <w:left w:val="single" w:sz="4" w:space="0" w:color="auto"/>
              <w:bottom w:val="single" w:sz="4" w:space="0" w:color="auto"/>
              <w:right w:val="single" w:sz="4" w:space="0" w:color="auto"/>
            </w:tcBorders>
            <w:shd w:val="clear" w:color="auto" w:fill="FFFFFF"/>
            <w:vAlign w:val="bottom"/>
          </w:tcPr>
          <w:p w14:paraId="475D6E04" w14:textId="56D6651F" w:rsidR="00B2021C" w:rsidRPr="00DB4F6B" w:rsidRDefault="00B2021C" w:rsidP="00B2021C">
            <w:pPr>
              <w:jc w:val="center"/>
              <w:rPr>
                <w:noProof/>
                <w:sz w:val="22"/>
                <w:szCs w:val="22"/>
              </w:rPr>
            </w:pPr>
            <w:r w:rsidRPr="00B2021C">
              <w:rPr>
                <w:noProof/>
                <w:sz w:val="22"/>
                <w:szCs w:val="22"/>
              </w:rPr>
              <w:t>0.11%</w:t>
            </w:r>
          </w:p>
        </w:tc>
        <w:tc>
          <w:tcPr>
            <w:tcW w:w="880" w:type="pct"/>
            <w:tcBorders>
              <w:top w:val="single" w:sz="4" w:space="0" w:color="auto"/>
              <w:left w:val="single" w:sz="4" w:space="0" w:color="auto"/>
              <w:bottom w:val="single" w:sz="4" w:space="0" w:color="auto"/>
              <w:right w:val="single" w:sz="4" w:space="0" w:color="auto"/>
            </w:tcBorders>
            <w:shd w:val="clear" w:color="auto" w:fill="FFFFFF"/>
            <w:vAlign w:val="bottom"/>
          </w:tcPr>
          <w:p w14:paraId="5A450E92" w14:textId="18D7CE13" w:rsidR="00B2021C" w:rsidRPr="00DB4F6B" w:rsidRDefault="00B2021C" w:rsidP="00B2021C">
            <w:pPr>
              <w:jc w:val="center"/>
              <w:rPr>
                <w:noProof/>
                <w:sz w:val="22"/>
                <w:szCs w:val="22"/>
              </w:rPr>
            </w:pPr>
            <w:r w:rsidRPr="00B2021C">
              <w:rPr>
                <w:noProof/>
                <w:sz w:val="22"/>
                <w:szCs w:val="22"/>
              </w:rPr>
              <w:t>0.12%</w:t>
            </w:r>
          </w:p>
        </w:tc>
      </w:tr>
    </w:tbl>
    <w:p w14:paraId="2E34571F" w14:textId="77777777" w:rsidR="00FF1568" w:rsidRDefault="00FF1568" w:rsidP="00FF1568">
      <w:pPr>
        <w:pStyle w:val="BodyText"/>
        <w:spacing w:after="240"/>
        <w:rPr>
          <w:rFonts w:cs="Times New Roman"/>
          <w:i/>
          <w:iCs/>
          <w:noProof/>
          <w:sz w:val="20"/>
          <w:szCs w:val="20"/>
          <w:lang w:eastAsia="en-GB"/>
        </w:rPr>
      </w:pPr>
      <w:r w:rsidRPr="000653A9">
        <w:rPr>
          <w:rFonts w:cs="Times New Roman"/>
          <w:i/>
          <w:iCs/>
          <w:noProof/>
          <w:sz w:val="20"/>
          <w:szCs w:val="20"/>
          <w:lang w:eastAsia="en-GB"/>
        </w:rPr>
        <w:t>Source:</w:t>
      </w:r>
      <w:r w:rsidRPr="000653A9">
        <w:rPr>
          <w:i/>
          <w:iCs/>
          <w:noProof/>
          <w:sz w:val="22"/>
          <w:szCs w:val="22"/>
        </w:rPr>
        <w:tab/>
      </w:r>
      <w:r w:rsidRPr="000653A9">
        <w:rPr>
          <w:rFonts w:cs="Times New Roman"/>
          <w:i/>
          <w:iCs/>
          <w:noProof/>
          <w:sz w:val="20"/>
          <w:szCs w:val="20"/>
          <w:lang w:eastAsia="en-GB"/>
        </w:rPr>
        <w:t>GEM-E3 model (2025)</w:t>
      </w:r>
    </w:p>
    <w:p w14:paraId="6BCAB3C0" w14:textId="51AEF76A" w:rsidR="00344ADD" w:rsidRPr="000653A9" w:rsidRDefault="004E777A" w:rsidP="00344ADD">
      <w:pPr>
        <w:rPr>
          <w:rFonts w:eastAsia="Arial" w:cs="Arial"/>
          <w:noProof/>
        </w:rPr>
      </w:pPr>
      <w:r w:rsidRPr="000653A9">
        <w:rPr>
          <w:rFonts w:eastAsia="Arial" w:cs="Arial"/>
          <w:noProof/>
        </w:rPr>
        <w:t xml:space="preserve">Table </w:t>
      </w:r>
      <w:r w:rsidR="00481BB3">
        <w:rPr>
          <w:rFonts w:eastAsia="Arial" w:cs="Arial"/>
          <w:noProof/>
        </w:rPr>
        <w:t>20</w:t>
      </w:r>
      <w:r w:rsidR="00CB350F" w:rsidRPr="000653A9">
        <w:rPr>
          <w:rFonts w:eastAsia="Arial" w:cs="Arial"/>
          <w:noProof/>
        </w:rPr>
        <w:t xml:space="preserve"> </w:t>
      </w:r>
      <w:r w:rsidR="00344ADD" w:rsidRPr="000653A9">
        <w:rPr>
          <w:rFonts w:eastAsia="Arial" w:cs="Arial"/>
          <w:noProof/>
        </w:rPr>
        <w:t xml:space="preserve">shows the percentage change in GDP and the contribution of its components to this change. In all policy options, GDP in 2040 increases relative to the </w:t>
      </w:r>
      <w:r w:rsidR="0084495D">
        <w:rPr>
          <w:rFonts w:eastAsia="Arial" w:cs="Arial"/>
          <w:noProof/>
        </w:rPr>
        <w:t>baseline</w:t>
      </w:r>
      <w:r w:rsidR="00344ADD" w:rsidRPr="000653A9">
        <w:rPr>
          <w:rFonts w:eastAsia="Arial" w:cs="Arial"/>
          <w:noProof/>
        </w:rPr>
        <w:t xml:space="preserve"> scenario, reflecting positive macroeconomic effects driven by higher exports and/or increased private consumption, depending on the scenario. The GDP increase ranges from 0.00% under </w:t>
      </w:r>
      <w:r w:rsidR="00344ADD" w:rsidRPr="000653A9">
        <w:rPr>
          <w:rFonts w:eastAsia="Arial" w:cs="Arial"/>
          <w:noProof/>
          <w:lang w:eastAsia="en-GB"/>
        </w:rPr>
        <w:t>PO2</w:t>
      </w:r>
      <w:r w:rsidR="00344ADD" w:rsidRPr="000653A9">
        <w:rPr>
          <w:rFonts w:eastAsia="Arial" w:cs="Arial"/>
          <w:noProof/>
        </w:rPr>
        <w:t xml:space="preserve">_50 to 0.08% under </w:t>
      </w:r>
      <w:r w:rsidR="00344ADD" w:rsidRPr="000653A9">
        <w:rPr>
          <w:rFonts w:eastAsia="Arial" w:cs="Arial"/>
          <w:noProof/>
          <w:lang w:eastAsia="en-GB"/>
        </w:rPr>
        <w:t>PO3R</w:t>
      </w:r>
      <w:r w:rsidR="00750A82">
        <w:rPr>
          <w:rFonts w:eastAsia="Arial" w:cs="Arial"/>
          <w:noProof/>
        </w:rPr>
        <w:t xml:space="preserve">. All scenarios </w:t>
      </w:r>
      <w:r w:rsidR="00B830E8" w:rsidRPr="000653A9">
        <w:rPr>
          <w:rFonts w:eastAsia="Arial" w:cs="Arial"/>
          <w:noProof/>
        </w:rPr>
        <w:t>with alternative recycling schemes</w:t>
      </w:r>
      <w:r w:rsidR="00B830E8">
        <w:rPr>
          <w:rFonts w:eastAsia="Arial" w:cs="Arial"/>
          <w:noProof/>
        </w:rPr>
        <w:t xml:space="preserve"> </w:t>
      </w:r>
      <w:r w:rsidR="00B73DBA">
        <w:rPr>
          <w:rFonts w:eastAsia="Arial" w:cs="Arial"/>
          <w:noProof/>
        </w:rPr>
        <w:t>show higher GDP growth, with PO3</w:t>
      </w:r>
      <w:r w:rsidR="00750A82">
        <w:rPr>
          <w:rFonts w:eastAsia="Arial" w:cs="Arial"/>
          <w:noProof/>
        </w:rPr>
        <w:t>R</w:t>
      </w:r>
      <w:r w:rsidR="00B73DBA">
        <w:rPr>
          <w:rFonts w:eastAsia="Arial" w:cs="Arial"/>
          <w:noProof/>
        </w:rPr>
        <w:t xml:space="preserve"> in particula</w:t>
      </w:r>
      <w:r w:rsidR="001F2909">
        <w:rPr>
          <w:rFonts w:eastAsia="Arial" w:cs="Arial"/>
          <w:noProof/>
        </w:rPr>
        <w:t xml:space="preserve">, </w:t>
      </w:r>
      <w:r w:rsidR="00344ADD" w:rsidRPr="000653A9">
        <w:rPr>
          <w:rFonts w:eastAsia="Arial" w:cs="Arial"/>
          <w:noProof/>
        </w:rPr>
        <w:t xml:space="preserve"> with the latter achieving the highest GDP level due to the combined effect of a lower carbon price and stronger household demand stimulated by lump-sum recycling of </w:t>
      </w:r>
      <w:r w:rsidR="003D1FA0" w:rsidRPr="000653A9">
        <w:rPr>
          <w:rFonts w:eastAsia="Arial" w:cs="Arial"/>
          <w:noProof/>
        </w:rPr>
        <w:t>EU ETS</w:t>
      </w:r>
      <w:r w:rsidR="00344ADD" w:rsidRPr="000653A9">
        <w:rPr>
          <w:rFonts w:eastAsia="Arial" w:cs="Arial"/>
          <w:noProof/>
        </w:rPr>
        <w:t xml:space="preserve"> revenues.</w:t>
      </w:r>
    </w:p>
    <w:p w14:paraId="5A5EAF35" w14:textId="1358DE01" w:rsidR="00344ADD" w:rsidRPr="000653A9" w:rsidRDefault="00344ADD" w:rsidP="00344ADD">
      <w:pPr>
        <w:rPr>
          <w:rFonts w:eastAsia="Arial" w:cs="Arial"/>
          <w:noProof/>
        </w:rPr>
      </w:pPr>
      <w:r w:rsidRPr="000653A9">
        <w:rPr>
          <w:rFonts w:eastAsia="Arial" w:cs="Arial"/>
          <w:noProof/>
        </w:rPr>
        <w:t xml:space="preserve">In all scenarios except those with alternative recycling schemes, an improvement in EU27 competitiveness is observed, reflected in higher exports. This outcome is driven by a higher allocation of free allowances to </w:t>
      </w:r>
      <w:r w:rsidR="003D1FA0" w:rsidRPr="000653A9">
        <w:rPr>
          <w:rFonts w:eastAsia="Arial" w:cs="Arial"/>
          <w:noProof/>
        </w:rPr>
        <w:t>EU ETS</w:t>
      </w:r>
      <w:r w:rsidRPr="000653A9">
        <w:rPr>
          <w:rFonts w:eastAsia="Arial" w:cs="Arial"/>
          <w:noProof/>
        </w:rPr>
        <w:t xml:space="preserve"> sectors (e.g. </w:t>
      </w:r>
      <w:r w:rsidRPr="000653A9">
        <w:rPr>
          <w:rFonts w:eastAsia="Arial" w:cs="Arial"/>
          <w:noProof/>
          <w:lang w:eastAsia="en-GB"/>
        </w:rPr>
        <w:t>PO1</w:t>
      </w:r>
      <w:r w:rsidR="0000715D">
        <w:rPr>
          <w:rFonts w:eastAsia="Arial" w:cs="Arial"/>
          <w:noProof/>
        </w:rPr>
        <w:t>)</w:t>
      </w:r>
      <w:r w:rsidRPr="000653A9">
        <w:rPr>
          <w:rFonts w:eastAsia="Arial" w:cs="Arial"/>
          <w:noProof/>
        </w:rPr>
        <w:t xml:space="preserve">, and/or lower carbon prices required to meet the cap </w:t>
      </w:r>
      <w:r w:rsidR="005A1163" w:rsidRPr="000653A9">
        <w:rPr>
          <w:rFonts w:eastAsia="Arial" w:cs="Arial"/>
          <w:noProof/>
        </w:rPr>
        <w:t>because of</w:t>
      </w:r>
      <w:r w:rsidRPr="000653A9">
        <w:rPr>
          <w:rFonts w:eastAsia="Arial" w:cs="Arial"/>
          <w:noProof/>
        </w:rPr>
        <w:t xml:space="preserve"> including waste emissions in </w:t>
      </w:r>
      <w:r w:rsidR="003C0BF2" w:rsidRPr="000653A9">
        <w:rPr>
          <w:rFonts w:eastAsia="Arial" w:cs="Arial"/>
          <w:noProof/>
        </w:rPr>
        <w:t xml:space="preserve">the EU ETS </w:t>
      </w:r>
      <w:r w:rsidRPr="000653A9">
        <w:rPr>
          <w:rFonts w:eastAsia="Arial" w:cs="Arial"/>
          <w:noProof/>
        </w:rPr>
        <w:t xml:space="preserve">(e.g. PO3). In the recycling scenarios, private consumption is the main driver of GDP growth, reflecting the lump-sum transfer of </w:t>
      </w:r>
      <w:r w:rsidR="00B6198E" w:rsidRPr="000653A9">
        <w:rPr>
          <w:rFonts w:eastAsia="Arial" w:cs="Arial"/>
          <w:noProof/>
        </w:rPr>
        <w:t xml:space="preserve">EU ETS </w:t>
      </w:r>
      <w:r w:rsidRPr="000653A9">
        <w:rPr>
          <w:rFonts w:eastAsia="Arial" w:cs="Arial"/>
          <w:noProof/>
        </w:rPr>
        <w:t xml:space="preserve">revenues to households. In these cases, exports decline due to higher labour and capital costs, which arise from increased household demand and upward pressure on factor </w:t>
      </w:r>
      <w:r w:rsidRPr="0038758F">
        <w:rPr>
          <w:rFonts w:eastAsia="Arial" w:cs="Arial"/>
          <w:noProof/>
        </w:rPr>
        <w:t>prices. In PO2 scenarios, private consumption drops marginally</w:t>
      </w:r>
      <w:r w:rsidR="00CF0521">
        <w:rPr>
          <w:rFonts w:eastAsia="Arial" w:cs="Arial"/>
          <w:noProof/>
        </w:rPr>
        <w:t>.</w:t>
      </w:r>
    </w:p>
    <w:p w14:paraId="7D74600A" w14:textId="49891279" w:rsidR="00344ADD" w:rsidRPr="000653A9" w:rsidRDefault="00344ADD" w:rsidP="00C92FA9">
      <w:pPr>
        <w:pStyle w:val="Tabletitle"/>
        <w:rPr>
          <w:noProof/>
        </w:rPr>
      </w:pPr>
      <w:bookmarkStart w:id="410" w:name="_Toc234435123"/>
      <w:bookmarkStart w:id="411" w:name="_Toc232003591"/>
      <w:r w:rsidRPr="000653A9">
        <w:rPr>
          <w:noProof/>
        </w:rPr>
        <w:t xml:space="preserve">Percentage change in GDP and its components in 2040 relative to </w:t>
      </w:r>
      <w:r w:rsidR="00C125D9" w:rsidRPr="000653A9">
        <w:rPr>
          <w:noProof/>
        </w:rPr>
        <w:t xml:space="preserve">baseline </w:t>
      </w:r>
      <w:r w:rsidRPr="000653A9">
        <w:rPr>
          <w:noProof/>
        </w:rPr>
        <w:t>scenario</w:t>
      </w:r>
      <w:bookmarkEnd w:id="410"/>
      <w:bookmarkEnd w:id="411"/>
    </w:p>
    <w:tbl>
      <w:tblPr>
        <w:tblW w:w="8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92"/>
        <w:gridCol w:w="683"/>
        <w:gridCol w:w="842"/>
        <w:gridCol w:w="1012"/>
        <w:gridCol w:w="1171"/>
        <w:gridCol w:w="1012"/>
        <w:gridCol w:w="1171"/>
        <w:gridCol w:w="682"/>
        <w:gridCol w:w="841"/>
      </w:tblGrid>
      <w:tr w:rsidR="00C125D9" w:rsidRPr="000653A9" w14:paraId="017BCBA8" w14:textId="77777777" w:rsidTr="001D31D6">
        <w:trPr>
          <w:trHeight w:val="310"/>
          <w:jc w:val="center"/>
        </w:trPr>
        <w:tc>
          <w:tcPr>
            <w:tcW w:w="0" w:type="auto"/>
            <w:vAlign w:val="center"/>
          </w:tcPr>
          <w:p w14:paraId="74954D06" w14:textId="77777777" w:rsidR="00C125D9" w:rsidRPr="000653A9" w:rsidRDefault="00C125D9" w:rsidP="001D31D6">
            <w:pPr>
              <w:jc w:val="center"/>
              <w:rPr>
                <w:rFonts w:eastAsia="Arial"/>
                <w:b/>
                <w:bCs/>
                <w:noProof/>
                <w:sz w:val="22"/>
                <w:szCs w:val="22"/>
                <w:lang w:eastAsia="en-GB"/>
              </w:rPr>
            </w:pPr>
          </w:p>
        </w:tc>
        <w:tc>
          <w:tcPr>
            <w:tcW w:w="0" w:type="auto"/>
            <w:vAlign w:val="center"/>
          </w:tcPr>
          <w:p w14:paraId="1EB8E6E1" w14:textId="77777777" w:rsidR="00C125D9" w:rsidRPr="000653A9" w:rsidRDefault="00C125D9" w:rsidP="001D31D6">
            <w:pPr>
              <w:jc w:val="center"/>
              <w:rPr>
                <w:rFonts w:eastAsia="Arial"/>
                <w:b/>
                <w:bCs/>
                <w:noProof/>
                <w:sz w:val="22"/>
                <w:szCs w:val="22"/>
                <w:lang w:eastAsia="en-GB"/>
              </w:rPr>
            </w:pPr>
            <w:r w:rsidRPr="000653A9">
              <w:rPr>
                <w:rFonts w:eastAsia="Arial"/>
                <w:b/>
                <w:bCs/>
                <w:noProof/>
                <w:sz w:val="22"/>
                <w:szCs w:val="22"/>
                <w:lang w:eastAsia="en-GB"/>
              </w:rPr>
              <w:t>PO1 (%)</w:t>
            </w:r>
          </w:p>
        </w:tc>
        <w:tc>
          <w:tcPr>
            <w:tcW w:w="0" w:type="auto"/>
            <w:vAlign w:val="center"/>
          </w:tcPr>
          <w:p w14:paraId="367DF76B" w14:textId="77777777" w:rsidR="00C125D9" w:rsidRPr="000653A9" w:rsidRDefault="00C125D9" w:rsidP="001D31D6">
            <w:pPr>
              <w:jc w:val="center"/>
              <w:rPr>
                <w:rFonts w:eastAsia="Arial"/>
                <w:b/>
                <w:bCs/>
                <w:noProof/>
                <w:sz w:val="22"/>
                <w:szCs w:val="22"/>
                <w:lang w:eastAsia="en-GB"/>
              </w:rPr>
            </w:pPr>
            <w:r w:rsidRPr="000653A9">
              <w:rPr>
                <w:rFonts w:eastAsia="Arial"/>
                <w:b/>
                <w:bCs/>
                <w:noProof/>
                <w:sz w:val="22"/>
                <w:szCs w:val="22"/>
                <w:lang w:eastAsia="en-GB"/>
              </w:rPr>
              <w:t>PO1R (%)</w:t>
            </w:r>
          </w:p>
        </w:tc>
        <w:tc>
          <w:tcPr>
            <w:tcW w:w="0" w:type="auto"/>
            <w:vAlign w:val="center"/>
          </w:tcPr>
          <w:p w14:paraId="198987C2" w14:textId="77777777" w:rsidR="00C125D9" w:rsidRPr="000653A9" w:rsidRDefault="00C125D9" w:rsidP="001D31D6">
            <w:pPr>
              <w:jc w:val="center"/>
              <w:rPr>
                <w:rFonts w:eastAsia="Arial"/>
                <w:b/>
                <w:bCs/>
                <w:noProof/>
                <w:sz w:val="22"/>
                <w:szCs w:val="22"/>
                <w:lang w:eastAsia="en-GB"/>
              </w:rPr>
            </w:pPr>
            <w:r w:rsidRPr="000653A9">
              <w:rPr>
                <w:rFonts w:eastAsia="Arial"/>
                <w:b/>
                <w:bCs/>
                <w:noProof/>
                <w:sz w:val="22"/>
                <w:szCs w:val="22"/>
                <w:lang w:eastAsia="en-GB"/>
              </w:rPr>
              <w:t>PO2_50 (%)</w:t>
            </w:r>
          </w:p>
        </w:tc>
        <w:tc>
          <w:tcPr>
            <w:tcW w:w="0" w:type="auto"/>
            <w:vAlign w:val="center"/>
          </w:tcPr>
          <w:p w14:paraId="163105B2" w14:textId="738978BB" w:rsidR="00C125D9" w:rsidRPr="000653A9" w:rsidRDefault="00C125D9" w:rsidP="001D31D6">
            <w:pPr>
              <w:jc w:val="center"/>
              <w:rPr>
                <w:rFonts w:eastAsia="Arial"/>
                <w:b/>
                <w:bCs/>
                <w:noProof/>
                <w:sz w:val="22"/>
                <w:szCs w:val="22"/>
                <w:lang w:eastAsia="en-GB"/>
              </w:rPr>
            </w:pPr>
            <w:r w:rsidRPr="000653A9">
              <w:rPr>
                <w:rFonts w:eastAsia="Arial"/>
                <w:b/>
                <w:bCs/>
                <w:noProof/>
                <w:sz w:val="22"/>
                <w:szCs w:val="22"/>
                <w:lang w:eastAsia="en-GB"/>
              </w:rPr>
              <w:t>PO2_50C (%)</w:t>
            </w:r>
          </w:p>
        </w:tc>
        <w:tc>
          <w:tcPr>
            <w:tcW w:w="0" w:type="auto"/>
            <w:vAlign w:val="center"/>
          </w:tcPr>
          <w:p w14:paraId="49FFC9DB" w14:textId="38B0656E" w:rsidR="00C125D9" w:rsidRPr="000653A9" w:rsidRDefault="00C125D9" w:rsidP="001D31D6">
            <w:pPr>
              <w:jc w:val="center"/>
              <w:rPr>
                <w:rFonts w:eastAsia="Arial"/>
                <w:b/>
                <w:bCs/>
                <w:noProof/>
                <w:sz w:val="22"/>
                <w:szCs w:val="22"/>
                <w:lang w:eastAsia="en-GB"/>
              </w:rPr>
            </w:pPr>
            <w:r w:rsidRPr="000653A9">
              <w:rPr>
                <w:rFonts w:eastAsia="Arial"/>
                <w:b/>
                <w:bCs/>
                <w:noProof/>
                <w:sz w:val="22"/>
                <w:szCs w:val="22"/>
                <w:lang w:eastAsia="en-GB"/>
              </w:rPr>
              <w:t>PO2_90 (%)</w:t>
            </w:r>
          </w:p>
        </w:tc>
        <w:tc>
          <w:tcPr>
            <w:tcW w:w="0" w:type="auto"/>
            <w:vAlign w:val="center"/>
          </w:tcPr>
          <w:p w14:paraId="11000439" w14:textId="135F99C4" w:rsidR="00C125D9" w:rsidRPr="000653A9" w:rsidRDefault="00C125D9" w:rsidP="001D31D6">
            <w:pPr>
              <w:jc w:val="center"/>
              <w:rPr>
                <w:rFonts w:eastAsia="Arial"/>
                <w:b/>
                <w:bCs/>
                <w:noProof/>
                <w:sz w:val="22"/>
                <w:szCs w:val="22"/>
                <w:lang w:eastAsia="en-GB"/>
              </w:rPr>
            </w:pPr>
            <w:r w:rsidRPr="000653A9">
              <w:rPr>
                <w:rFonts w:eastAsia="Arial"/>
                <w:b/>
                <w:bCs/>
                <w:noProof/>
                <w:sz w:val="22"/>
                <w:szCs w:val="22"/>
                <w:lang w:eastAsia="en-GB"/>
              </w:rPr>
              <w:t>PO2_90C (%)</w:t>
            </w:r>
          </w:p>
        </w:tc>
        <w:tc>
          <w:tcPr>
            <w:tcW w:w="0" w:type="auto"/>
            <w:vAlign w:val="center"/>
          </w:tcPr>
          <w:p w14:paraId="63CBCB3E" w14:textId="77777777" w:rsidR="00C125D9" w:rsidRPr="000653A9" w:rsidRDefault="00C125D9" w:rsidP="001D31D6">
            <w:pPr>
              <w:jc w:val="center"/>
              <w:rPr>
                <w:rFonts w:eastAsia="Arial"/>
                <w:b/>
                <w:bCs/>
                <w:noProof/>
                <w:sz w:val="22"/>
                <w:szCs w:val="22"/>
                <w:lang w:eastAsia="en-GB"/>
              </w:rPr>
            </w:pPr>
            <w:r w:rsidRPr="000653A9">
              <w:rPr>
                <w:rFonts w:eastAsia="Arial"/>
                <w:b/>
                <w:bCs/>
                <w:noProof/>
                <w:sz w:val="22"/>
                <w:szCs w:val="22"/>
                <w:lang w:eastAsia="en-GB"/>
              </w:rPr>
              <w:t>PO3 (%)</w:t>
            </w:r>
          </w:p>
        </w:tc>
        <w:tc>
          <w:tcPr>
            <w:tcW w:w="0" w:type="auto"/>
            <w:vAlign w:val="center"/>
          </w:tcPr>
          <w:p w14:paraId="1C40EAC8" w14:textId="77777777" w:rsidR="00C125D9" w:rsidRPr="000653A9" w:rsidRDefault="00C125D9" w:rsidP="001D31D6">
            <w:pPr>
              <w:jc w:val="center"/>
              <w:rPr>
                <w:rFonts w:eastAsia="Arial"/>
                <w:b/>
                <w:bCs/>
                <w:noProof/>
                <w:sz w:val="22"/>
                <w:szCs w:val="22"/>
                <w:lang w:eastAsia="en-GB"/>
              </w:rPr>
            </w:pPr>
            <w:r w:rsidRPr="000653A9">
              <w:rPr>
                <w:rFonts w:eastAsia="Arial"/>
                <w:b/>
                <w:bCs/>
                <w:noProof/>
                <w:sz w:val="22"/>
                <w:szCs w:val="22"/>
                <w:lang w:eastAsia="en-GB"/>
              </w:rPr>
              <w:t>PO3R (%)</w:t>
            </w:r>
          </w:p>
        </w:tc>
      </w:tr>
      <w:tr w:rsidR="00C125D9" w:rsidRPr="000653A9" w14:paraId="70AFDE60" w14:textId="77777777" w:rsidTr="001D31D6">
        <w:trPr>
          <w:trHeight w:val="310"/>
          <w:jc w:val="center"/>
        </w:trPr>
        <w:tc>
          <w:tcPr>
            <w:tcW w:w="0" w:type="auto"/>
            <w:vAlign w:val="center"/>
          </w:tcPr>
          <w:p w14:paraId="0540AD13"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GDP</w:t>
            </w:r>
          </w:p>
        </w:tc>
        <w:tc>
          <w:tcPr>
            <w:tcW w:w="0" w:type="auto"/>
            <w:vAlign w:val="center"/>
          </w:tcPr>
          <w:p w14:paraId="1D3C587E"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2F1BADA7"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0.07</w:t>
            </w:r>
          </w:p>
        </w:tc>
        <w:tc>
          <w:tcPr>
            <w:tcW w:w="0" w:type="auto"/>
            <w:vAlign w:val="center"/>
          </w:tcPr>
          <w:p w14:paraId="53E1ABFB"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0C5AF1B6" w14:textId="7BE991B2"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76729CBE" w14:textId="622FEDC6"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6009DF77" w14:textId="559AB431"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0.02</w:t>
            </w:r>
          </w:p>
        </w:tc>
        <w:tc>
          <w:tcPr>
            <w:tcW w:w="0" w:type="auto"/>
            <w:vAlign w:val="center"/>
          </w:tcPr>
          <w:p w14:paraId="2AF500C8"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0.05</w:t>
            </w:r>
          </w:p>
        </w:tc>
        <w:tc>
          <w:tcPr>
            <w:tcW w:w="0" w:type="auto"/>
            <w:vAlign w:val="center"/>
          </w:tcPr>
          <w:p w14:paraId="142BD5A5"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0.08</w:t>
            </w:r>
          </w:p>
        </w:tc>
      </w:tr>
      <w:tr w:rsidR="00C125D9" w:rsidRPr="000653A9" w14:paraId="2E78DA03" w14:textId="77777777" w:rsidTr="001D31D6">
        <w:trPr>
          <w:trHeight w:val="310"/>
          <w:jc w:val="center"/>
        </w:trPr>
        <w:tc>
          <w:tcPr>
            <w:tcW w:w="0" w:type="auto"/>
            <w:vAlign w:val="center"/>
          </w:tcPr>
          <w:p w14:paraId="25F2F500"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Investment</w:t>
            </w:r>
          </w:p>
        </w:tc>
        <w:tc>
          <w:tcPr>
            <w:tcW w:w="0" w:type="auto"/>
            <w:vAlign w:val="center"/>
          </w:tcPr>
          <w:p w14:paraId="74ADB8AB"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479276C0"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58E27CB0"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3501AB35" w14:textId="4A874BEE"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66FCBC86" w14:textId="63C1A356"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5D6C1789" w14:textId="2AFF9A49"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289A7F8D"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4A1BFAFF"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r>
      <w:tr w:rsidR="00C125D9" w:rsidRPr="000653A9" w14:paraId="7A3E1D12" w14:textId="77777777" w:rsidTr="001D31D6">
        <w:trPr>
          <w:trHeight w:val="310"/>
          <w:jc w:val="center"/>
        </w:trPr>
        <w:tc>
          <w:tcPr>
            <w:tcW w:w="0" w:type="auto"/>
            <w:vAlign w:val="center"/>
          </w:tcPr>
          <w:p w14:paraId="6D50629B"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Government consumption</w:t>
            </w:r>
          </w:p>
        </w:tc>
        <w:tc>
          <w:tcPr>
            <w:tcW w:w="0" w:type="auto"/>
            <w:vAlign w:val="center"/>
          </w:tcPr>
          <w:p w14:paraId="3FE3B305"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1D579113"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4365399A"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47DC7C43" w14:textId="4378C373"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4D1AA8B2" w14:textId="16A4155A"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16084DEE" w14:textId="2ACEBE3C"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6890B412"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1258F866"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r>
      <w:tr w:rsidR="00C125D9" w:rsidRPr="000653A9" w14:paraId="1A3E6B77" w14:textId="77777777" w:rsidTr="001D31D6">
        <w:trPr>
          <w:trHeight w:val="310"/>
          <w:jc w:val="center"/>
        </w:trPr>
        <w:tc>
          <w:tcPr>
            <w:tcW w:w="0" w:type="auto"/>
            <w:vAlign w:val="center"/>
          </w:tcPr>
          <w:p w14:paraId="3BEE2856"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Private consumption</w:t>
            </w:r>
          </w:p>
        </w:tc>
        <w:tc>
          <w:tcPr>
            <w:tcW w:w="0" w:type="auto"/>
            <w:vAlign w:val="center"/>
          </w:tcPr>
          <w:p w14:paraId="3A8E3B31"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7D81995E"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0.22</w:t>
            </w:r>
          </w:p>
        </w:tc>
        <w:tc>
          <w:tcPr>
            <w:tcW w:w="0" w:type="auto"/>
            <w:vAlign w:val="center"/>
          </w:tcPr>
          <w:p w14:paraId="6FE5B1CB"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78395587" w14:textId="0AEEF264"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16EC7FFE" w14:textId="2FD3E1E2"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22D652D3" w14:textId="5864C3DC"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-0.02</w:t>
            </w:r>
          </w:p>
        </w:tc>
        <w:tc>
          <w:tcPr>
            <w:tcW w:w="0" w:type="auto"/>
            <w:vAlign w:val="center"/>
          </w:tcPr>
          <w:p w14:paraId="16A17D01"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4C4550ED"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0.18</w:t>
            </w:r>
          </w:p>
        </w:tc>
      </w:tr>
      <w:tr w:rsidR="00C125D9" w:rsidRPr="000653A9" w14:paraId="19C402D6" w14:textId="77777777" w:rsidTr="001D31D6">
        <w:trPr>
          <w:trHeight w:val="310"/>
          <w:jc w:val="center"/>
        </w:trPr>
        <w:tc>
          <w:tcPr>
            <w:tcW w:w="0" w:type="auto"/>
            <w:vAlign w:val="center"/>
          </w:tcPr>
          <w:p w14:paraId="67AD8620"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Exports</w:t>
            </w:r>
          </w:p>
        </w:tc>
        <w:tc>
          <w:tcPr>
            <w:tcW w:w="0" w:type="auto"/>
            <w:vAlign w:val="center"/>
          </w:tcPr>
          <w:p w14:paraId="06FF67EC"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0F428A9A"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-0.06</w:t>
            </w:r>
          </w:p>
        </w:tc>
        <w:tc>
          <w:tcPr>
            <w:tcW w:w="0" w:type="auto"/>
            <w:vAlign w:val="center"/>
          </w:tcPr>
          <w:p w14:paraId="06CBDC76"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0.04</w:t>
            </w:r>
          </w:p>
        </w:tc>
        <w:tc>
          <w:tcPr>
            <w:tcW w:w="0" w:type="auto"/>
            <w:vAlign w:val="center"/>
          </w:tcPr>
          <w:p w14:paraId="2A9FDF5E" w14:textId="0BD5911E"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0.04</w:t>
            </w:r>
          </w:p>
        </w:tc>
        <w:tc>
          <w:tcPr>
            <w:tcW w:w="0" w:type="auto"/>
            <w:vAlign w:val="center"/>
          </w:tcPr>
          <w:p w14:paraId="4FB3DF74" w14:textId="6E8D59D0"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0.05</w:t>
            </w:r>
          </w:p>
        </w:tc>
        <w:tc>
          <w:tcPr>
            <w:tcW w:w="0" w:type="auto"/>
            <w:vAlign w:val="center"/>
          </w:tcPr>
          <w:p w14:paraId="25C7AF1B" w14:textId="2CBAB460"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0.05</w:t>
            </w:r>
          </w:p>
        </w:tc>
        <w:tc>
          <w:tcPr>
            <w:tcW w:w="0" w:type="auto"/>
            <w:vAlign w:val="center"/>
          </w:tcPr>
          <w:p w14:paraId="4086C91C"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0.08</w:t>
            </w:r>
          </w:p>
        </w:tc>
        <w:tc>
          <w:tcPr>
            <w:tcW w:w="0" w:type="auto"/>
            <w:vAlign w:val="center"/>
          </w:tcPr>
          <w:p w14:paraId="0DDE0720"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r>
      <w:tr w:rsidR="00C125D9" w:rsidRPr="000653A9" w14:paraId="3E9D63FB" w14:textId="77777777" w:rsidTr="001D31D6">
        <w:trPr>
          <w:trHeight w:val="310"/>
          <w:jc w:val="center"/>
        </w:trPr>
        <w:tc>
          <w:tcPr>
            <w:tcW w:w="0" w:type="auto"/>
            <w:vAlign w:val="center"/>
          </w:tcPr>
          <w:p w14:paraId="0FAD85AA"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Imports</w:t>
            </w:r>
          </w:p>
        </w:tc>
        <w:tc>
          <w:tcPr>
            <w:tcW w:w="0" w:type="auto"/>
            <w:vAlign w:val="center"/>
          </w:tcPr>
          <w:p w14:paraId="0EED8DE6"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-0.03</w:t>
            </w:r>
          </w:p>
        </w:tc>
        <w:tc>
          <w:tcPr>
            <w:tcW w:w="0" w:type="auto"/>
            <w:vAlign w:val="center"/>
          </w:tcPr>
          <w:p w14:paraId="4A695A70"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-0.10</w:t>
            </w:r>
          </w:p>
        </w:tc>
        <w:tc>
          <w:tcPr>
            <w:tcW w:w="0" w:type="auto"/>
            <w:vAlign w:val="center"/>
          </w:tcPr>
          <w:p w14:paraId="46BF6922"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0.00</w:t>
            </w:r>
          </w:p>
        </w:tc>
        <w:tc>
          <w:tcPr>
            <w:tcW w:w="0" w:type="auto"/>
            <w:vAlign w:val="center"/>
          </w:tcPr>
          <w:p w14:paraId="23DFDC09" w14:textId="1B2CD483"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125C9017" w14:textId="3FBB820A"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40601146" w14:textId="11A69E78"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78B1FC62"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0.01</w:t>
            </w:r>
          </w:p>
        </w:tc>
        <w:tc>
          <w:tcPr>
            <w:tcW w:w="0" w:type="auto"/>
            <w:vAlign w:val="center"/>
          </w:tcPr>
          <w:p w14:paraId="5F2C3941" w14:textId="77777777" w:rsidR="00C125D9" w:rsidRPr="000653A9" w:rsidRDefault="00C125D9" w:rsidP="001D31D6">
            <w:pPr>
              <w:jc w:val="center"/>
              <w:rPr>
                <w:rFonts w:eastAsia="Arial"/>
                <w:noProof/>
                <w:sz w:val="22"/>
                <w:szCs w:val="22"/>
                <w:lang w:eastAsia="en-GB"/>
              </w:rPr>
            </w:pPr>
            <w:r w:rsidRPr="000653A9">
              <w:rPr>
                <w:rFonts w:eastAsia="Arial"/>
                <w:noProof/>
                <w:sz w:val="22"/>
                <w:szCs w:val="22"/>
                <w:lang w:eastAsia="en-GB"/>
              </w:rPr>
              <w:t>-0.07</w:t>
            </w:r>
          </w:p>
        </w:tc>
      </w:tr>
    </w:tbl>
    <w:p w14:paraId="37116734" w14:textId="10817347" w:rsidR="00344ADD" w:rsidRPr="000653A9" w:rsidRDefault="00344ADD" w:rsidP="00344ADD">
      <w:pPr>
        <w:rPr>
          <w:rFonts w:eastAsia="Arial" w:cs="Arial"/>
          <w:i/>
          <w:iCs/>
          <w:noProof/>
          <w:sz w:val="20"/>
          <w:szCs w:val="20"/>
          <w:lang w:eastAsia="en-GB"/>
        </w:rPr>
      </w:pPr>
      <w:r w:rsidRPr="000653A9">
        <w:rPr>
          <w:rFonts w:eastAsia="Arial" w:cs="Arial"/>
          <w:i/>
          <w:iCs/>
          <w:noProof/>
          <w:sz w:val="20"/>
          <w:szCs w:val="20"/>
          <w:lang w:eastAsia="en-GB"/>
        </w:rPr>
        <w:t>Source:</w:t>
      </w:r>
      <w:r w:rsidRPr="000653A9">
        <w:rPr>
          <w:rFonts w:eastAsia="Arial" w:cs="Arial"/>
          <w:i/>
          <w:iCs/>
          <w:noProof/>
          <w:sz w:val="20"/>
          <w:szCs w:val="20"/>
          <w:lang w:eastAsia="en-GB"/>
        </w:rPr>
        <w:tab/>
        <w:t xml:space="preserve"> GEM-E3 model (2025)</w:t>
      </w:r>
    </w:p>
    <w:p w14:paraId="2A9CFB95" w14:textId="77777777" w:rsidR="00704DE6" w:rsidRDefault="00704DE6">
      <w:pPr>
        <w:spacing w:before="0" w:line="259" w:lineRule="auto"/>
        <w:rPr>
          <w:noProof/>
          <w:lang w:eastAsia="en-GB"/>
        </w:rPr>
      </w:pPr>
      <w:r>
        <w:rPr>
          <w:noProof/>
          <w:lang w:eastAsia="en-GB"/>
        </w:rPr>
        <w:br w:type="page"/>
      </w:r>
    </w:p>
    <w:p w14:paraId="7230B988" w14:textId="705D1ACB" w:rsidR="00344ADD" w:rsidRPr="000653A9" w:rsidRDefault="00344ADD" w:rsidP="2B7FB05A">
      <w:pPr>
        <w:rPr>
          <w:noProof/>
          <w:lang w:eastAsia="en-GB"/>
        </w:rPr>
      </w:pPr>
      <w:r w:rsidRPr="000653A9">
        <w:rPr>
          <w:noProof/>
          <w:lang w:eastAsia="en-GB"/>
        </w:rPr>
        <w:t xml:space="preserve">Free allocation was always intended to be transitory in nature so its continuation into Phase V in </w:t>
      </w:r>
      <w:r w:rsidR="005A1163" w:rsidRPr="000653A9">
        <w:rPr>
          <w:noProof/>
          <w:lang w:eastAsia="en-GB"/>
        </w:rPr>
        <w:t>all</w:t>
      </w:r>
      <w:r w:rsidRPr="000653A9">
        <w:rPr>
          <w:noProof/>
          <w:lang w:eastAsia="en-GB"/>
        </w:rPr>
        <w:t xml:space="preserve"> the policy measures under consideration shows an acknowledgement by the Commission that the non-CBAM sectors will require further support to decarbonise in what is a very challenging operating environment. However, the trajectory of the ETS cap means that the extent to which free allocation continues to be distributed based on the existing free allocation rules, will increasingly become less relevant if the annual amount of preliminary free allocation calculated exceeds the annual free allocation budget and the cross sectoral correction factor is applied in most years – see </w:t>
      </w:r>
      <w:r w:rsidR="006D7606" w:rsidRPr="000653A9">
        <w:rPr>
          <w:noProof/>
          <w:lang w:eastAsia="en-GB"/>
        </w:rPr>
        <w:t>T</w:t>
      </w:r>
      <w:r w:rsidRPr="000653A9">
        <w:rPr>
          <w:noProof/>
          <w:lang w:eastAsia="en-GB"/>
        </w:rPr>
        <w:t xml:space="preserve">able </w:t>
      </w:r>
      <w:r w:rsidR="00A9200B">
        <w:rPr>
          <w:noProof/>
          <w:lang w:eastAsia="en-GB"/>
        </w:rPr>
        <w:t>21</w:t>
      </w:r>
      <w:r w:rsidRPr="000653A9">
        <w:rPr>
          <w:noProof/>
          <w:lang w:eastAsia="en-GB"/>
        </w:rPr>
        <w:t xml:space="preserve">. </w:t>
      </w:r>
    </w:p>
    <w:p w14:paraId="524A8F44" w14:textId="2C2BC499" w:rsidR="00344ADD" w:rsidRDefault="00344ADD" w:rsidP="00C92FA9">
      <w:pPr>
        <w:pStyle w:val="Tabletitle"/>
        <w:rPr>
          <w:noProof/>
          <w:lang w:eastAsia="en-GB"/>
        </w:rPr>
      </w:pPr>
      <w:bookmarkStart w:id="412" w:name="_Toc234435124"/>
      <w:bookmarkStart w:id="413" w:name="_Toc232003592"/>
      <w:r w:rsidRPr="000653A9">
        <w:rPr>
          <w:noProof/>
          <w:lang w:eastAsia="en-GB"/>
        </w:rPr>
        <w:t>Estimated CSCF under the different carbon leakage prevention measure of the total volume of free allowances available under the baseline and policy scenarios for 2031-40</w:t>
      </w:r>
      <w:bookmarkEnd w:id="412"/>
      <w:bookmarkEnd w:id="413"/>
    </w:p>
    <w:p w14:paraId="5D954494" w14:textId="77777777" w:rsidR="00CC4F87" w:rsidRDefault="00CC4F87" w:rsidP="00C92FA9">
      <w:pPr>
        <w:rPr>
          <w:rFonts w:eastAsia="Arial" w:cs="Arial"/>
          <w:i/>
          <w:iCs/>
          <w:noProof/>
          <w:sz w:val="20"/>
          <w:szCs w:val="20"/>
          <w:lang w:eastAsia="en-GB"/>
        </w:rPr>
      </w:pPr>
      <w:bookmarkStart w:id="414" w:name="_Toc219902660"/>
      <w:bookmarkEnd w:id="4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1"/>
        <w:gridCol w:w="749"/>
        <w:gridCol w:w="751"/>
        <w:gridCol w:w="751"/>
        <w:gridCol w:w="750"/>
        <w:gridCol w:w="750"/>
        <w:gridCol w:w="748"/>
        <w:gridCol w:w="750"/>
        <w:gridCol w:w="750"/>
        <w:gridCol w:w="750"/>
        <w:gridCol w:w="656"/>
      </w:tblGrid>
      <w:tr w:rsidR="00A05FE2" w:rsidRPr="000653A9" w14:paraId="78121F18" w14:textId="77777777" w:rsidTr="00F81849">
        <w:trPr>
          <w:trHeight w:val="300"/>
          <w:jc w:val="center"/>
        </w:trPr>
        <w:tc>
          <w:tcPr>
            <w:tcW w:w="893" w:type="pct"/>
            <w:vAlign w:val="center"/>
          </w:tcPr>
          <w:p w14:paraId="1C0AEFA1" w14:textId="0D149108" w:rsidR="00A05FE2" w:rsidRPr="000653A9" w:rsidRDefault="00A05FE2" w:rsidP="001D31D6">
            <w:pPr>
              <w:spacing w:after="240"/>
              <w:jc w:val="center"/>
              <w:rPr>
                <w:noProof/>
                <w:color w:val="auto"/>
                <w:sz w:val="22"/>
                <w:szCs w:val="22"/>
              </w:rPr>
            </w:pPr>
          </w:p>
        </w:tc>
        <w:tc>
          <w:tcPr>
            <w:tcW w:w="415" w:type="pct"/>
            <w:vAlign w:val="center"/>
          </w:tcPr>
          <w:p w14:paraId="6A97B293"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2031</w:t>
            </w:r>
          </w:p>
        </w:tc>
        <w:tc>
          <w:tcPr>
            <w:tcW w:w="416" w:type="pct"/>
            <w:vAlign w:val="center"/>
          </w:tcPr>
          <w:p w14:paraId="58AAAF5B"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2032</w:t>
            </w:r>
          </w:p>
        </w:tc>
        <w:tc>
          <w:tcPr>
            <w:tcW w:w="416" w:type="pct"/>
            <w:vAlign w:val="center"/>
          </w:tcPr>
          <w:p w14:paraId="27161CDD"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2033</w:t>
            </w:r>
          </w:p>
        </w:tc>
        <w:tc>
          <w:tcPr>
            <w:tcW w:w="416" w:type="pct"/>
            <w:vAlign w:val="center"/>
          </w:tcPr>
          <w:p w14:paraId="165E05DB"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2034</w:t>
            </w:r>
          </w:p>
        </w:tc>
        <w:tc>
          <w:tcPr>
            <w:tcW w:w="416" w:type="pct"/>
            <w:vAlign w:val="center"/>
          </w:tcPr>
          <w:p w14:paraId="3013658C"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2035</w:t>
            </w:r>
          </w:p>
        </w:tc>
        <w:tc>
          <w:tcPr>
            <w:tcW w:w="415" w:type="pct"/>
            <w:vAlign w:val="center"/>
          </w:tcPr>
          <w:p w14:paraId="732B6E2B"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2036</w:t>
            </w:r>
          </w:p>
        </w:tc>
        <w:tc>
          <w:tcPr>
            <w:tcW w:w="416" w:type="pct"/>
            <w:vAlign w:val="center"/>
          </w:tcPr>
          <w:p w14:paraId="642E5E4E"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2037</w:t>
            </w:r>
          </w:p>
        </w:tc>
        <w:tc>
          <w:tcPr>
            <w:tcW w:w="416" w:type="pct"/>
            <w:vAlign w:val="center"/>
          </w:tcPr>
          <w:p w14:paraId="61E4CBBF"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2038</w:t>
            </w:r>
          </w:p>
        </w:tc>
        <w:tc>
          <w:tcPr>
            <w:tcW w:w="416" w:type="pct"/>
            <w:vAlign w:val="center"/>
          </w:tcPr>
          <w:p w14:paraId="2169506E"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2039</w:t>
            </w:r>
          </w:p>
        </w:tc>
        <w:tc>
          <w:tcPr>
            <w:tcW w:w="364" w:type="pct"/>
            <w:vAlign w:val="center"/>
          </w:tcPr>
          <w:p w14:paraId="603F50F8" w14:textId="77777777" w:rsidR="00A05FE2" w:rsidRPr="000653A9" w:rsidRDefault="00A05FE2" w:rsidP="001D31D6">
            <w:pPr>
              <w:spacing w:after="240"/>
              <w:jc w:val="center"/>
              <w:rPr>
                <w:noProof/>
                <w:color w:val="auto"/>
                <w:sz w:val="22"/>
                <w:szCs w:val="22"/>
              </w:rPr>
            </w:pPr>
            <w:r>
              <w:rPr>
                <w:rFonts w:eastAsia="Times New Roman"/>
                <w:b/>
                <w:bCs/>
                <w:noProof/>
                <w:color w:val="auto"/>
                <w:sz w:val="22"/>
                <w:szCs w:val="22"/>
              </w:rPr>
              <w:t>2040</w:t>
            </w:r>
          </w:p>
        </w:tc>
        <w:bookmarkStart w:id="415" w:name="_Toc219902671"/>
        <w:bookmarkEnd w:id="415"/>
      </w:tr>
      <w:tr w:rsidR="00A05FE2" w:rsidRPr="000653A9" w14:paraId="2519E58F" w14:textId="77777777" w:rsidTr="00F81849">
        <w:trPr>
          <w:trHeight w:val="300"/>
          <w:jc w:val="center"/>
        </w:trPr>
        <w:tc>
          <w:tcPr>
            <w:tcW w:w="893" w:type="pct"/>
            <w:vAlign w:val="center"/>
          </w:tcPr>
          <w:p w14:paraId="6A3FD639" w14:textId="77777777" w:rsidR="00A05FE2" w:rsidRPr="000653A9" w:rsidRDefault="00A05FE2" w:rsidP="001D31D6">
            <w:pPr>
              <w:spacing w:after="240"/>
              <w:jc w:val="center"/>
              <w:rPr>
                <w:rFonts w:eastAsia="Times New Roman"/>
                <w:noProof/>
                <w:color w:val="auto"/>
                <w:sz w:val="22"/>
                <w:szCs w:val="22"/>
              </w:rPr>
            </w:pPr>
            <w:r>
              <w:rPr>
                <w:rFonts w:eastAsia="Times New Roman"/>
                <w:noProof/>
                <w:color w:val="auto"/>
                <w:sz w:val="22"/>
                <w:szCs w:val="22"/>
              </w:rPr>
              <w:t>CSCF Baseline</w:t>
            </w:r>
          </w:p>
        </w:tc>
        <w:tc>
          <w:tcPr>
            <w:tcW w:w="415" w:type="pct"/>
            <w:vAlign w:val="center"/>
          </w:tcPr>
          <w:p w14:paraId="2E0A4850" w14:textId="77777777" w:rsidR="00A05FE2" w:rsidRPr="000653A9" w:rsidRDefault="00A05FE2" w:rsidP="001D31D6">
            <w:pPr>
              <w:spacing w:after="240"/>
              <w:jc w:val="center"/>
              <w:rPr>
                <w:rFonts w:eastAsia="Times New Roman"/>
                <w:noProof/>
                <w:color w:val="auto"/>
                <w:sz w:val="22"/>
                <w:szCs w:val="22"/>
              </w:rPr>
            </w:pPr>
            <w:r>
              <w:rPr>
                <w:noProof/>
                <w:sz w:val="22"/>
                <w:szCs w:val="22"/>
              </w:rPr>
              <w:t>0.86</w:t>
            </w:r>
          </w:p>
        </w:tc>
        <w:tc>
          <w:tcPr>
            <w:tcW w:w="416" w:type="pct"/>
            <w:vAlign w:val="center"/>
          </w:tcPr>
          <w:p w14:paraId="5B84E55A" w14:textId="77777777" w:rsidR="00A05FE2" w:rsidRPr="000653A9" w:rsidRDefault="00A05FE2" w:rsidP="001D31D6">
            <w:pPr>
              <w:spacing w:after="240"/>
              <w:jc w:val="center"/>
              <w:rPr>
                <w:rFonts w:eastAsia="Times New Roman"/>
                <w:noProof/>
                <w:color w:val="auto"/>
                <w:sz w:val="22"/>
                <w:szCs w:val="22"/>
              </w:rPr>
            </w:pPr>
            <w:r>
              <w:rPr>
                <w:noProof/>
                <w:sz w:val="22"/>
                <w:szCs w:val="22"/>
              </w:rPr>
              <w:t>0.76</w:t>
            </w:r>
          </w:p>
        </w:tc>
        <w:tc>
          <w:tcPr>
            <w:tcW w:w="416" w:type="pct"/>
            <w:vAlign w:val="center"/>
          </w:tcPr>
          <w:p w14:paraId="145F81B1" w14:textId="77777777" w:rsidR="00A05FE2" w:rsidRPr="000653A9" w:rsidRDefault="00A05FE2" w:rsidP="001D31D6">
            <w:pPr>
              <w:spacing w:after="240"/>
              <w:jc w:val="center"/>
              <w:rPr>
                <w:rFonts w:eastAsia="Times New Roman"/>
                <w:noProof/>
                <w:color w:val="auto"/>
                <w:sz w:val="22"/>
                <w:szCs w:val="22"/>
              </w:rPr>
            </w:pPr>
            <w:r>
              <w:rPr>
                <w:noProof/>
                <w:sz w:val="22"/>
                <w:szCs w:val="22"/>
              </w:rPr>
              <w:t>0.65</w:t>
            </w:r>
          </w:p>
        </w:tc>
        <w:tc>
          <w:tcPr>
            <w:tcW w:w="416" w:type="pct"/>
            <w:vAlign w:val="center"/>
          </w:tcPr>
          <w:p w14:paraId="2EFF2E88" w14:textId="77777777" w:rsidR="00A05FE2" w:rsidRPr="000653A9" w:rsidRDefault="00A05FE2" w:rsidP="001D31D6">
            <w:pPr>
              <w:spacing w:after="240"/>
              <w:jc w:val="center"/>
              <w:rPr>
                <w:rFonts w:eastAsia="Times New Roman"/>
                <w:noProof/>
                <w:color w:val="auto"/>
                <w:sz w:val="22"/>
                <w:szCs w:val="22"/>
              </w:rPr>
            </w:pPr>
            <w:r>
              <w:rPr>
                <w:noProof/>
                <w:sz w:val="22"/>
                <w:szCs w:val="22"/>
              </w:rPr>
              <w:t>0.55</w:t>
            </w:r>
          </w:p>
        </w:tc>
        <w:tc>
          <w:tcPr>
            <w:tcW w:w="416" w:type="pct"/>
            <w:vAlign w:val="center"/>
          </w:tcPr>
          <w:p w14:paraId="0EA8D8F9" w14:textId="77777777" w:rsidR="00A05FE2" w:rsidRPr="000653A9" w:rsidRDefault="00A05FE2" w:rsidP="001D31D6">
            <w:pPr>
              <w:spacing w:after="240"/>
              <w:jc w:val="center"/>
              <w:rPr>
                <w:rFonts w:eastAsia="Times New Roman"/>
                <w:noProof/>
                <w:color w:val="auto"/>
                <w:sz w:val="22"/>
                <w:szCs w:val="22"/>
              </w:rPr>
            </w:pPr>
            <w:r>
              <w:rPr>
                <w:noProof/>
                <w:sz w:val="22"/>
                <w:szCs w:val="22"/>
              </w:rPr>
              <w:t>0.44</w:t>
            </w:r>
          </w:p>
        </w:tc>
        <w:tc>
          <w:tcPr>
            <w:tcW w:w="415" w:type="pct"/>
            <w:vAlign w:val="center"/>
          </w:tcPr>
          <w:p w14:paraId="7E987975" w14:textId="77777777" w:rsidR="00A05FE2" w:rsidRPr="000653A9" w:rsidRDefault="00A05FE2" w:rsidP="001D31D6">
            <w:pPr>
              <w:spacing w:after="240"/>
              <w:jc w:val="center"/>
              <w:rPr>
                <w:rFonts w:eastAsia="Times New Roman"/>
                <w:noProof/>
                <w:color w:val="auto"/>
                <w:sz w:val="22"/>
                <w:szCs w:val="22"/>
              </w:rPr>
            </w:pPr>
            <w:r>
              <w:rPr>
                <w:noProof/>
                <w:sz w:val="22"/>
                <w:szCs w:val="22"/>
              </w:rPr>
              <w:t>0.39</w:t>
            </w:r>
          </w:p>
        </w:tc>
        <w:tc>
          <w:tcPr>
            <w:tcW w:w="416" w:type="pct"/>
            <w:vAlign w:val="center"/>
          </w:tcPr>
          <w:p w14:paraId="3A7875C4" w14:textId="77777777" w:rsidR="00A05FE2" w:rsidRPr="000653A9" w:rsidRDefault="00A05FE2" w:rsidP="001D31D6">
            <w:pPr>
              <w:spacing w:after="240"/>
              <w:jc w:val="center"/>
              <w:rPr>
                <w:rFonts w:eastAsia="Times New Roman"/>
                <w:noProof/>
                <w:color w:val="auto"/>
                <w:sz w:val="22"/>
                <w:szCs w:val="22"/>
              </w:rPr>
            </w:pPr>
            <w:r>
              <w:rPr>
                <w:noProof/>
                <w:sz w:val="22"/>
                <w:szCs w:val="22"/>
              </w:rPr>
              <w:t>0.26</w:t>
            </w:r>
          </w:p>
        </w:tc>
        <w:tc>
          <w:tcPr>
            <w:tcW w:w="416" w:type="pct"/>
            <w:vAlign w:val="center"/>
          </w:tcPr>
          <w:p w14:paraId="3A4AA836" w14:textId="77777777" w:rsidR="00A05FE2" w:rsidRPr="000653A9" w:rsidRDefault="00A05FE2" w:rsidP="001D31D6">
            <w:pPr>
              <w:spacing w:after="240"/>
              <w:jc w:val="center"/>
              <w:rPr>
                <w:rFonts w:eastAsia="Times New Roman"/>
                <w:noProof/>
                <w:color w:val="auto"/>
                <w:sz w:val="22"/>
                <w:szCs w:val="22"/>
              </w:rPr>
            </w:pPr>
            <w:r>
              <w:rPr>
                <w:noProof/>
                <w:sz w:val="22"/>
                <w:szCs w:val="22"/>
              </w:rPr>
              <w:t>0.14</w:t>
            </w:r>
          </w:p>
        </w:tc>
        <w:tc>
          <w:tcPr>
            <w:tcW w:w="416" w:type="pct"/>
            <w:vAlign w:val="center"/>
          </w:tcPr>
          <w:p w14:paraId="5D23E872" w14:textId="77777777" w:rsidR="00A05FE2" w:rsidRPr="000653A9" w:rsidRDefault="00A05FE2" w:rsidP="001D31D6">
            <w:pPr>
              <w:spacing w:after="240"/>
              <w:jc w:val="center"/>
              <w:rPr>
                <w:rFonts w:eastAsia="Times New Roman"/>
                <w:noProof/>
                <w:color w:val="auto"/>
                <w:sz w:val="22"/>
                <w:szCs w:val="22"/>
              </w:rPr>
            </w:pPr>
            <w:r>
              <w:rPr>
                <w:noProof/>
                <w:sz w:val="22"/>
                <w:szCs w:val="22"/>
              </w:rPr>
              <w:t>0.02</w:t>
            </w:r>
          </w:p>
        </w:tc>
        <w:tc>
          <w:tcPr>
            <w:tcW w:w="364" w:type="pct"/>
            <w:vAlign w:val="center"/>
          </w:tcPr>
          <w:p w14:paraId="45994C88" w14:textId="77777777" w:rsidR="00A05FE2" w:rsidRPr="000653A9" w:rsidRDefault="00A05FE2" w:rsidP="001D31D6">
            <w:pPr>
              <w:spacing w:after="240"/>
              <w:jc w:val="center"/>
              <w:rPr>
                <w:rFonts w:eastAsia="Times New Roman"/>
                <w:noProof/>
                <w:color w:val="auto"/>
                <w:sz w:val="22"/>
                <w:szCs w:val="22"/>
              </w:rPr>
            </w:pPr>
            <w:r>
              <w:rPr>
                <w:noProof/>
                <w:sz w:val="22"/>
                <w:szCs w:val="22"/>
              </w:rPr>
              <w:t>0.00</w:t>
            </w:r>
          </w:p>
        </w:tc>
        <w:bookmarkStart w:id="416" w:name="_Toc219902683"/>
        <w:bookmarkEnd w:id="416"/>
      </w:tr>
      <w:tr w:rsidR="00A05FE2" w:rsidRPr="000653A9" w14:paraId="614ACB54" w14:textId="77777777" w:rsidTr="00F81849">
        <w:trPr>
          <w:trHeight w:val="300"/>
          <w:jc w:val="center"/>
        </w:trPr>
        <w:tc>
          <w:tcPr>
            <w:tcW w:w="893" w:type="pct"/>
            <w:vAlign w:val="center"/>
          </w:tcPr>
          <w:p w14:paraId="6D8864DB" w14:textId="690C9481" w:rsidR="00A05FE2" w:rsidRPr="000653A9" w:rsidRDefault="00A05FE2" w:rsidP="001D31D6">
            <w:pPr>
              <w:spacing w:after="240"/>
              <w:jc w:val="center"/>
              <w:rPr>
                <w:noProof/>
                <w:color w:val="auto"/>
                <w:sz w:val="22"/>
                <w:szCs w:val="22"/>
              </w:rPr>
            </w:pPr>
            <w:r>
              <w:rPr>
                <w:rFonts w:eastAsia="Times New Roman"/>
                <w:noProof/>
                <w:color w:val="auto"/>
                <w:sz w:val="22"/>
                <w:szCs w:val="22"/>
              </w:rPr>
              <w:t>CSCF CL1</w:t>
            </w:r>
          </w:p>
        </w:tc>
        <w:tc>
          <w:tcPr>
            <w:tcW w:w="415" w:type="pct"/>
            <w:vAlign w:val="center"/>
          </w:tcPr>
          <w:p w14:paraId="24921175" w14:textId="77777777" w:rsidR="00A05FE2" w:rsidRPr="000653A9" w:rsidRDefault="00A05FE2" w:rsidP="001D31D6">
            <w:pPr>
              <w:spacing w:after="240"/>
              <w:jc w:val="center"/>
              <w:rPr>
                <w:noProof/>
                <w:color w:val="auto"/>
                <w:sz w:val="22"/>
                <w:szCs w:val="22"/>
              </w:rPr>
            </w:pPr>
            <w:r>
              <w:rPr>
                <w:noProof/>
                <w:sz w:val="22"/>
                <w:szCs w:val="22"/>
              </w:rPr>
              <w:t>0.83</w:t>
            </w:r>
          </w:p>
        </w:tc>
        <w:tc>
          <w:tcPr>
            <w:tcW w:w="416" w:type="pct"/>
            <w:vAlign w:val="center"/>
          </w:tcPr>
          <w:p w14:paraId="12B47E90" w14:textId="77777777" w:rsidR="00A05FE2" w:rsidRPr="000653A9" w:rsidRDefault="00A05FE2" w:rsidP="001D31D6">
            <w:pPr>
              <w:spacing w:after="240"/>
              <w:jc w:val="center"/>
              <w:rPr>
                <w:noProof/>
                <w:color w:val="auto"/>
                <w:sz w:val="22"/>
                <w:szCs w:val="22"/>
              </w:rPr>
            </w:pPr>
            <w:r>
              <w:rPr>
                <w:noProof/>
                <w:sz w:val="22"/>
                <w:szCs w:val="22"/>
              </w:rPr>
              <w:t>0.76</w:t>
            </w:r>
          </w:p>
        </w:tc>
        <w:tc>
          <w:tcPr>
            <w:tcW w:w="416" w:type="pct"/>
            <w:vAlign w:val="center"/>
          </w:tcPr>
          <w:p w14:paraId="3168119C" w14:textId="77777777" w:rsidR="00A05FE2" w:rsidRPr="000653A9" w:rsidRDefault="00A05FE2" w:rsidP="001D31D6">
            <w:pPr>
              <w:spacing w:after="240"/>
              <w:jc w:val="center"/>
              <w:rPr>
                <w:noProof/>
                <w:color w:val="auto"/>
                <w:sz w:val="22"/>
                <w:szCs w:val="22"/>
              </w:rPr>
            </w:pPr>
            <w:r>
              <w:rPr>
                <w:noProof/>
                <w:sz w:val="22"/>
                <w:szCs w:val="22"/>
              </w:rPr>
              <w:t>0.69</w:t>
            </w:r>
          </w:p>
        </w:tc>
        <w:tc>
          <w:tcPr>
            <w:tcW w:w="416" w:type="pct"/>
            <w:vAlign w:val="center"/>
          </w:tcPr>
          <w:p w14:paraId="00786977" w14:textId="77777777" w:rsidR="00A05FE2" w:rsidRPr="000653A9" w:rsidRDefault="00A05FE2" w:rsidP="001D31D6">
            <w:pPr>
              <w:spacing w:after="240"/>
              <w:jc w:val="center"/>
              <w:rPr>
                <w:noProof/>
                <w:color w:val="auto"/>
                <w:sz w:val="22"/>
                <w:szCs w:val="22"/>
              </w:rPr>
            </w:pPr>
            <w:r>
              <w:rPr>
                <w:noProof/>
                <w:sz w:val="22"/>
                <w:szCs w:val="22"/>
              </w:rPr>
              <w:t>0.61</w:t>
            </w:r>
          </w:p>
        </w:tc>
        <w:tc>
          <w:tcPr>
            <w:tcW w:w="416" w:type="pct"/>
            <w:vAlign w:val="center"/>
          </w:tcPr>
          <w:p w14:paraId="26729AE7" w14:textId="77777777" w:rsidR="00A05FE2" w:rsidRPr="000653A9" w:rsidRDefault="00A05FE2" w:rsidP="001D31D6">
            <w:pPr>
              <w:spacing w:after="240"/>
              <w:jc w:val="center"/>
              <w:rPr>
                <w:noProof/>
                <w:color w:val="auto"/>
                <w:sz w:val="22"/>
                <w:szCs w:val="22"/>
              </w:rPr>
            </w:pPr>
            <w:r>
              <w:rPr>
                <w:noProof/>
                <w:sz w:val="22"/>
                <w:szCs w:val="22"/>
              </w:rPr>
              <w:t>0.54</w:t>
            </w:r>
          </w:p>
        </w:tc>
        <w:tc>
          <w:tcPr>
            <w:tcW w:w="415" w:type="pct"/>
            <w:vAlign w:val="center"/>
          </w:tcPr>
          <w:p w14:paraId="15AD4AE4" w14:textId="77777777" w:rsidR="00A05FE2" w:rsidRPr="000653A9" w:rsidRDefault="00A05FE2" w:rsidP="001D31D6">
            <w:pPr>
              <w:spacing w:after="240"/>
              <w:jc w:val="center"/>
              <w:rPr>
                <w:noProof/>
                <w:color w:val="auto"/>
                <w:sz w:val="22"/>
                <w:szCs w:val="22"/>
              </w:rPr>
            </w:pPr>
            <w:r>
              <w:rPr>
                <w:noProof/>
                <w:sz w:val="22"/>
                <w:szCs w:val="22"/>
              </w:rPr>
              <w:t>0.55</w:t>
            </w:r>
          </w:p>
        </w:tc>
        <w:tc>
          <w:tcPr>
            <w:tcW w:w="416" w:type="pct"/>
            <w:vAlign w:val="center"/>
          </w:tcPr>
          <w:p w14:paraId="341EC9EF" w14:textId="77777777" w:rsidR="00A05FE2" w:rsidRPr="000653A9" w:rsidRDefault="00A05FE2" w:rsidP="001D31D6">
            <w:pPr>
              <w:spacing w:after="240"/>
              <w:jc w:val="center"/>
              <w:rPr>
                <w:noProof/>
                <w:color w:val="auto"/>
                <w:sz w:val="22"/>
                <w:szCs w:val="22"/>
              </w:rPr>
            </w:pPr>
            <w:r>
              <w:rPr>
                <w:noProof/>
                <w:sz w:val="22"/>
                <w:szCs w:val="22"/>
              </w:rPr>
              <w:t>0.49</w:t>
            </w:r>
          </w:p>
        </w:tc>
        <w:tc>
          <w:tcPr>
            <w:tcW w:w="416" w:type="pct"/>
            <w:vAlign w:val="center"/>
          </w:tcPr>
          <w:p w14:paraId="1C35A164" w14:textId="77777777" w:rsidR="00A05FE2" w:rsidRPr="000653A9" w:rsidRDefault="00A05FE2" w:rsidP="001D31D6">
            <w:pPr>
              <w:spacing w:after="240"/>
              <w:jc w:val="center"/>
              <w:rPr>
                <w:noProof/>
                <w:color w:val="auto"/>
                <w:sz w:val="22"/>
                <w:szCs w:val="22"/>
              </w:rPr>
            </w:pPr>
            <w:r>
              <w:rPr>
                <w:noProof/>
                <w:sz w:val="22"/>
                <w:szCs w:val="22"/>
              </w:rPr>
              <w:t>0.43</w:t>
            </w:r>
          </w:p>
        </w:tc>
        <w:tc>
          <w:tcPr>
            <w:tcW w:w="416" w:type="pct"/>
            <w:vAlign w:val="center"/>
          </w:tcPr>
          <w:p w14:paraId="507D4711" w14:textId="77777777" w:rsidR="00A05FE2" w:rsidRPr="000653A9" w:rsidRDefault="00A05FE2" w:rsidP="001D31D6">
            <w:pPr>
              <w:spacing w:after="240"/>
              <w:jc w:val="center"/>
              <w:rPr>
                <w:noProof/>
                <w:color w:val="auto"/>
                <w:sz w:val="22"/>
                <w:szCs w:val="22"/>
              </w:rPr>
            </w:pPr>
            <w:r>
              <w:rPr>
                <w:noProof/>
                <w:sz w:val="22"/>
                <w:szCs w:val="22"/>
              </w:rPr>
              <w:t>0.36</w:t>
            </w:r>
          </w:p>
        </w:tc>
        <w:tc>
          <w:tcPr>
            <w:tcW w:w="364" w:type="pct"/>
            <w:vAlign w:val="center"/>
          </w:tcPr>
          <w:p w14:paraId="711C2F2D" w14:textId="77777777" w:rsidR="00A05FE2" w:rsidRPr="000653A9" w:rsidRDefault="00A05FE2" w:rsidP="001D31D6">
            <w:pPr>
              <w:spacing w:after="240"/>
              <w:jc w:val="center"/>
              <w:rPr>
                <w:noProof/>
                <w:color w:val="auto"/>
                <w:sz w:val="22"/>
                <w:szCs w:val="22"/>
              </w:rPr>
            </w:pPr>
            <w:r>
              <w:rPr>
                <w:noProof/>
                <w:sz w:val="22"/>
                <w:szCs w:val="22"/>
              </w:rPr>
              <w:t>0.30</w:t>
            </w:r>
          </w:p>
        </w:tc>
        <w:bookmarkStart w:id="417" w:name="_Toc219902695"/>
        <w:bookmarkEnd w:id="417"/>
      </w:tr>
      <w:tr w:rsidR="00A05FE2" w:rsidRPr="000653A9" w14:paraId="5F435BFD" w14:textId="77777777" w:rsidTr="00F81849">
        <w:trPr>
          <w:trHeight w:val="300"/>
          <w:jc w:val="center"/>
        </w:trPr>
        <w:tc>
          <w:tcPr>
            <w:tcW w:w="893" w:type="pct"/>
            <w:vAlign w:val="center"/>
          </w:tcPr>
          <w:p w14:paraId="0D674AA2" w14:textId="22AA0656" w:rsidR="00A05FE2" w:rsidRPr="000653A9" w:rsidRDefault="00A05FE2" w:rsidP="001D31D6">
            <w:pPr>
              <w:spacing w:after="240"/>
              <w:jc w:val="center"/>
              <w:rPr>
                <w:noProof/>
                <w:color w:val="auto"/>
                <w:sz w:val="22"/>
                <w:szCs w:val="22"/>
              </w:rPr>
            </w:pPr>
            <w:r>
              <w:rPr>
                <w:rFonts w:eastAsia="Times New Roman"/>
                <w:noProof/>
                <w:color w:val="auto"/>
                <w:sz w:val="22"/>
                <w:szCs w:val="22"/>
              </w:rPr>
              <w:t>CSCF CL2_90</w:t>
            </w:r>
          </w:p>
        </w:tc>
        <w:tc>
          <w:tcPr>
            <w:tcW w:w="415" w:type="pct"/>
            <w:vAlign w:val="center"/>
          </w:tcPr>
          <w:p w14:paraId="4EA6D8A8" w14:textId="77777777" w:rsidR="00A05FE2" w:rsidRPr="000653A9" w:rsidRDefault="00A05FE2" w:rsidP="001D31D6">
            <w:pPr>
              <w:spacing w:after="240"/>
              <w:jc w:val="center"/>
              <w:rPr>
                <w:noProof/>
                <w:color w:val="auto"/>
                <w:sz w:val="22"/>
                <w:szCs w:val="22"/>
              </w:rPr>
            </w:pPr>
            <w:r>
              <w:rPr>
                <w:noProof/>
                <w:sz w:val="22"/>
                <w:szCs w:val="22"/>
              </w:rPr>
              <w:t>0.88</w:t>
            </w:r>
          </w:p>
        </w:tc>
        <w:tc>
          <w:tcPr>
            <w:tcW w:w="416" w:type="pct"/>
            <w:vAlign w:val="center"/>
          </w:tcPr>
          <w:p w14:paraId="71D27A86" w14:textId="77777777" w:rsidR="00A05FE2" w:rsidRPr="000653A9" w:rsidRDefault="00A05FE2" w:rsidP="001D31D6">
            <w:pPr>
              <w:spacing w:after="240"/>
              <w:jc w:val="center"/>
              <w:rPr>
                <w:noProof/>
                <w:color w:val="auto"/>
                <w:sz w:val="22"/>
                <w:szCs w:val="22"/>
              </w:rPr>
            </w:pPr>
            <w:r>
              <w:rPr>
                <w:noProof/>
                <w:sz w:val="22"/>
                <w:szCs w:val="22"/>
              </w:rPr>
              <w:t>0.82</w:t>
            </w:r>
          </w:p>
        </w:tc>
        <w:tc>
          <w:tcPr>
            <w:tcW w:w="416" w:type="pct"/>
            <w:vAlign w:val="center"/>
          </w:tcPr>
          <w:p w14:paraId="32B34A30" w14:textId="77777777" w:rsidR="00A05FE2" w:rsidRPr="000653A9" w:rsidRDefault="00A05FE2" w:rsidP="001D31D6">
            <w:pPr>
              <w:spacing w:after="240"/>
              <w:jc w:val="center"/>
              <w:rPr>
                <w:noProof/>
                <w:color w:val="auto"/>
                <w:sz w:val="22"/>
                <w:szCs w:val="22"/>
              </w:rPr>
            </w:pPr>
            <w:r>
              <w:rPr>
                <w:noProof/>
                <w:sz w:val="22"/>
                <w:szCs w:val="22"/>
              </w:rPr>
              <w:t>0.75</w:t>
            </w:r>
          </w:p>
        </w:tc>
        <w:tc>
          <w:tcPr>
            <w:tcW w:w="416" w:type="pct"/>
            <w:vAlign w:val="center"/>
          </w:tcPr>
          <w:p w14:paraId="2331CF4F" w14:textId="77777777" w:rsidR="00A05FE2" w:rsidRPr="000653A9" w:rsidRDefault="00A05FE2" w:rsidP="001D31D6">
            <w:pPr>
              <w:spacing w:after="240"/>
              <w:jc w:val="center"/>
              <w:rPr>
                <w:noProof/>
                <w:color w:val="auto"/>
                <w:sz w:val="22"/>
                <w:szCs w:val="22"/>
              </w:rPr>
            </w:pPr>
            <w:r>
              <w:rPr>
                <w:noProof/>
                <w:sz w:val="22"/>
                <w:szCs w:val="22"/>
              </w:rPr>
              <w:t>0.69</w:t>
            </w:r>
          </w:p>
        </w:tc>
        <w:tc>
          <w:tcPr>
            <w:tcW w:w="416" w:type="pct"/>
            <w:vAlign w:val="center"/>
          </w:tcPr>
          <w:p w14:paraId="48EAC232" w14:textId="77777777" w:rsidR="00A05FE2" w:rsidRPr="000653A9" w:rsidRDefault="00A05FE2" w:rsidP="001D31D6">
            <w:pPr>
              <w:spacing w:after="240"/>
              <w:jc w:val="center"/>
              <w:rPr>
                <w:noProof/>
                <w:color w:val="auto"/>
                <w:sz w:val="22"/>
                <w:szCs w:val="22"/>
              </w:rPr>
            </w:pPr>
            <w:r>
              <w:rPr>
                <w:noProof/>
                <w:sz w:val="22"/>
                <w:szCs w:val="22"/>
              </w:rPr>
              <w:t>0.61</w:t>
            </w:r>
          </w:p>
        </w:tc>
        <w:tc>
          <w:tcPr>
            <w:tcW w:w="415" w:type="pct"/>
            <w:vAlign w:val="center"/>
          </w:tcPr>
          <w:p w14:paraId="7128D05A" w14:textId="77777777" w:rsidR="00A05FE2" w:rsidRPr="000653A9" w:rsidRDefault="00A05FE2" w:rsidP="001D31D6">
            <w:pPr>
              <w:spacing w:after="240"/>
              <w:jc w:val="center"/>
              <w:rPr>
                <w:noProof/>
                <w:color w:val="auto"/>
                <w:sz w:val="22"/>
                <w:szCs w:val="22"/>
              </w:rPr>
            </w:pPr>
            <w:r>
              <w:rPr>
                <w:noProof/>
                <w:sz w:val="22"/>
                <w:szCs w:val="22"/>
              </w:rPr>
              <w:t>0.61</w:t>
            </w:r>
          </w:p>
        </w:tc>
        <w:tc>
          <w:tcPr>
            <w:tcW w:w="416" w:type="pct"/>
            <w:vAlign w:val="center"/>
          </w:tcPr>
          <w:p w14:paraId="45CE04E1" w14:textId="77777777" w:rsidR="00A05FE2" w:rsidRPr="000653A9" w:rsidRDefault="00A05FE2" w:rsidP="001D31D6">
            <w:pPr>
              <w:spacing w:after="240"/>
              <w:jc w:val="center"/>
              <w:rPr>
                <w:noProof/>
                <w:color w:val="auto"/>
                <w:sz w:val="22"/>
                <w:szCs w:val="22"/>
              </w:rPr>
            </w:pPr>
            <w:r>
              <w:rPr>
                <w:noProof/>
                <w:sz w:val="22"/>
                <w:szCs w:val="22"/>
              </w:rPr>
              <w:t>0.53</w:t>
            </w:r>
          </w:p>
        </w:tc>
        <w:tc>
          <w:tcPr>
            <w:tcW w:w="416" w:type="pct"/>
            <w:vAlign w:val="center"/>
          </w:tcPr>
          <w:p w14:paraId="0B9E1311" w14:textId="77777777" w:rsidR="00A05FE2" w:rsidRPr="000653A9" w:rsidRDefault="00A05FE2" w:rsidP="001D31D6">
            <w:pPr>
              <w:spacing w:after="240"/>
              <w:jc w:val="center"/>
              <w:rPr>
                <w:noProof/>
                <w:color w:val="auto"/>
                <w:sz w:val="22"/>
                <w:szCs w:val="22"/>
              </w:rPr>
            </w:pPr>
            <w:r>
              <w:rPr>
                <w:noProof/>
                <w:sz w:val="22"/>
                <w:szCs w:val="22"/>
              </w:rPr>
              <w:t>0.45</w:t>
            </w:r>
          </w:p>
        </w:tc>
        <w:tc>
          <w:tcPr>
            <w:tcW w:w="416" w:type="pct"/>
            <w:vAlign w:val="center"/>
          </w:tcPr>
          <w:p w14:paraId="4A4E3929" w14:textId="77777777" w:rsidR="00A05FE2" w:rsidRPr="000653A9" w:rsidRDefault="00A05FE2" w:rsidP="001D31D6">
            <w:pPr>
              <w:spacing w:after="240"/>
              <w:jc w:val="center"/>
              <w:rPr>
                <w:noProof/>
                <w:color w:val="auto"/>
                <w:sz w:val="22"/>
                <w:szCs w:val="22"/>
              </w:rPr>
            </w:pPr>
            <w:r>
              <w:rPr>
                <w:noProof/>
                <w:sz w:val="22"/>
                <w:szCs w:val="22"/>
              </w:rPr>
              <w:t>0.37</w:t>
            </w:r>
          </w:p>
        </w:tc>
        <w:tc>
          <w:tcPr>
            <w:tcW w:w="364" w:type="pct"/>
            <w:vAlign w:val="center"/>
          </w:tcPr>
          <w:p w14:paraId="35F3A666" w14:textId="77777777" w:rsidR="00A05FE2" w:rsidRPr="000653A9" w:rsidRDefault="00A05FE2" w:rsidP="001D31D6">
            <w:pPr>
              <w:spacing w:after="240"/>
              <w:jc w:val="center"/>
              <w:rPr>
                <w:noProof/>
                <w:color w:val="auto"/>
                <w:sz w:val="22"/>
                <w:szCs w:val="22"/>
              </w:rPr>
            </w:pPr>
            <w:r>
              <w:rPr>
                <w:noProof/>
                <w:sz w:val="22"/>
                <w:szCs w:val="22"/>
              </w:rPr>
              <w:t>0.30</w:t>
            </w:r>
          </w:p>
        </w:tc>
        <w:bookmarkStart w:id="418" w:name="_Toc219902707"/>
        <w:bookmarkEnd w:id="418"/>
      </w:tr>
      <w:tr w:rsidR="00A05FE2" w:rsidRPr="000653A9" w14:paraId="4CC5189C" w14:textId="77777777" w:rsidTr="00F81849">
        <w:trPr>
          <w:trHeight w:val="300"/>
          <w:jc w:val="center"/>
        </w:trPr>
        <w:tc>
          <w:tcPr>
            <w:tcW w:w="893" w:type="pct"/>
            <w:vAlign w:val="center"/>
          </w:tcPr>
          <w:p w14:paraId="362CD6F2" w14:textId="6FC1D32D" w:rsidR="00A05FE2" w:rsidRPr="000653A9" w:rsidRDefault="00A05FE2" w:rsidP="001D31D6">
            <w:pPr>
              <w:spacing w:after="240"/>
              <w:jc w:val="center"/>
              <w:rPr>
                <w:noProof/>
                <w:color w:val="auto"/>
                <w:sz w:val="22"/>
                <w:szCs w:val="22"/>
              </w:rPr>
            </w:pPr>
            <w:r>
              <w:rPr>
                <w:rFonts w:eastAsia="Times New Roman"/>
                <w:noProof/>
                <w:color w:val="auto"/>
                <w:sz w:val="22"/>
                <w:szCs w:val="22"/>
              </w:rPr>
              <w:t>CSCF CL2_50</w:t>
            </w:r>
          </w:p>
        </w:tc>
        <w:tc>
          <w:tcPr>
            <w:tcW w:w="415" w:type="pct"/>
            <w:vAlign w:val="center"/>
          </w:tcPr>
          <w:p w14:paraId="713EDA2D" w14:textId="77777777" w:rsidR="00A05FE2" w:rsidRPr="000653A9" w:rsidRDefault="00A05FE2" w:rsidP="001D31D6">
            <w:pPr>
              <w:spacing w:after="240"/>
              <w:jc w:val="center"/>
              <w:rPr>
                <w:noProof/>
                <w:color w:val="auto"/>
                <w:sz w:val="22"/>
                <w:szCs w:val="22"/>
              </w:rPr>
            </w:pPr>
            <w:r>
              <w:rPr>
                <w:noProof/>
                <w:sz w:val="22"/>
                <w:szCs w:val="22"/>
              </w:rPr>
              <w:t>0.92</w:t>
            </w:r>
          </w:p>
        </w:tc>
        <w:tc>
          <w:tcPr>
            <w:tcW w:w="416" w:type="pct"/>
            <w:vAlign w:val="center"/>
          </w:tcPr>
          <w:p w14:paraId="1344EF81" w14:textId="77777777" w:rsidR="00A05FE2" w:rsidRPr="000653A9" w:rsidRDefault="00A05FE2" w:rsidP="001D31D6">
            <w:pPr>
              <w:spacing w:after="240"/>
              <w:jc w:val="center"/>
              <w:rPr>
                <w:noProof/>
                <w:color w:val="auto"/>
                <w:sz w:val="22"/>
                <w:szCs w:val="22"/>
              </w:rPr>
            </w:pPr>
            <w:r>
              <w:rPr>
                <w:noProof/>
                <w:sz w:val="22"/>
                <w:szCs w:val="22"/>
              </w:rPr>
              <w:t>0.88</w:t>
            </w:r>
          </w:p>
        </w:tc>
        <w:tc>
          <w:tcPr>
            <w:tcW w:w="416" w:type="pct"/>
            <w:vAlign w:val="center"/>
          </w:tcPr>
          <w:p w14:paraId="56A4E4C7" w14:textId="77777777" w:rsidR="00A05FE2" w:rsidRPr="000653A9" w:rsidRDefault="00A05FE2" w:rsidP="001D31D6">
            <w:pPr>
              <w:spacing w:after="240"/>
              <w:jc w:val="center"/>
              <w:rPr>
                <w:noProof/>
                <w:color w:val="auto"/>
                <w:sz w:val="22"/>
                <w:szCs w:val="22"/>
              </w:rPr>
            </w:pPr>
            <w:r>
              <w:rPr>
                <w:noProof/>
                <w:sz w:val="22"/>
                <w:szCs w:val="22"/>
              </w:rPr>
              <w:t>0.85</w:t>
            </w:r>
          </w:p>
        </w:tc>
        <w:tc>
          <w:tcPr>
            <w:tcW w:w="416" w:type="pct"/>
            <w:vAlign w:val="center"/>
          </w:tcPr>
          <w:p w14:paraId="0EE999FC" w14:textId="77777777" w:rsidR="00A05FE2" w:rsidRPr="000653A9" w:rsidRDefault="00A05FE2" w:rsidP="001D31D6">
            <w:pPr>
              <w:spacing w:after="240"/>
              <w:jc w:val="center"/>
              <w:rPr>
                <w:noProof/>
                <w:color w:val="auto"/>
                <w:sz w:val="22"/>
                <w:szCs w:val="22"/>
              </w:rPr>
            </w:pPr>
            <w:r>
              <w:rPr>
                <w:noProof/>
                <w:sz w:val="22"/>
                <w:szCs w:val="22"/>
              </w:rPr>
              <w:t>0.85</w:t>
            </w:r>
          </w:p>
        </w:tc>
        <w:tc>
          <w:tcPr>
            <w:tcW w:w="416" w:type="pct"/>
            <w:vAlign w:val="center"/>
          </w:tcPr>
          <w:p w14:paraId="32C51D68" w14:textId="77777777" w:rsidR="00A05FE2" w:rsidRPr="000653A9" w:rsidRDefault="00A05FE2" w:rsidP="001D31D6">
            <w:pPr>
              <w:spacing w:after="240"/>
              <w:jc w:val="center"/>
              <w:rPr>
                <w:noProof/>
                <w:color w:val="auto"/>
                <w:sz w:val="22"/>
                <w:szCs w:val="22"/>
              </w:rPr>
            </w:pPr>
            <w:r>
              <w:rPr>
                <w:noProof/>
                <w:sz w:val="22"/>
                <w:szCs w:val="22"/>
              </w:rPr>
              <w:t>0.75</w:t>
            </w:r>
          </w:p>
        </w:tc>
        <w:tc>
          <w:tcPr>
            <w:tcW w:w="415" w:type="pct"/>
            <w:vAlign w:val="center"/>
          </w:tcPr>
          <w:p w14:paraId="4F05F5D9" w14:textId="77777777" w:rsidR="00A05FE2" w:rsidRPr="000653A9" w:rsidRDefault="00A05FE2" w:rsidP="001D31D6">
            <w:pPr>
              <w:spacing w:after="240"/>
              <w:jc w:val="center"/>
              <w:rPr>
                <w:noProof/>
                <w:color w:val="auto"/>
                <w:sz w:val="22"/>
                <w:szCs w:val="22"/>
              </w:rPr>
            </w:pPr>
            <w:r>
              <w:rPr>
                <w:noProof/>
                <w:sz w:val="22"/>
                <w:szCs w:val="22"/>
              </w:rPr>
              <w:t>0.74</w:t>
            </w:r>
          </w:p>
        </w:tc>
        <w:tc>
          <w:tcPr>
            <w:tcW w:w="416" w:type="pct"/>
            <w:vAlign w:val="center"/>
          </w:tcPr>
          <w:p w14:paraId="32B56238" w14:textId="77777777" w:rsidR="00A05FE2" w:rsidRPr="000653A9" w:rsidRDefault="00A05FE2" w:rsidP="001D31D6">
            <w:pPr>
              <w:spacing w:after="240"/>
              <w:jc w:val="center"/>
              <w:rPr>
                <w:noProof/>
                <w:color w:val="auto"/>
                <w:sz w:val="22"/>
                <w:szCs w:val="22"/>
              </w:rPr>
            </w:pPr>
            <w:r>
              <w:rPr>
                <w:noProof/>
                <w:sz w:val="22"/>
                <w:szCs w:val="22"/>
              </w:rPr>
              <w:t>0.64</w:t>
            </w:r>
          </w:p>
        </w:tc>
        <w:tc>
          <w:tcPr>
            <w:tcW w:w="416" w:type="pct"/>
            <w:vAlign w:val="center"/>
          </w:tcPr>
          <w:p w14:paraId="7385D6C2" w14:textId="77777777" w:rsidR="00A05FE2" w:rsidRPr="000653A9" w:rsidRDefault="00A05FE2" w:rsidP="001D31D6">
            <w:pPr>
              <w:spacing w:after="240"/>
              <w:jc w:val="center"/>
              <w:rPr>
                <w:noProof/>
                <w:color w:val="auto"/>
                <w:sz w:val="22"/>
                <w:szCs w:val="22"/>
              </w:rPr>
            </w:pPr>
            <w:r>
              <w:rPr>
                <w:noProof/>
                <w:sz w:val="22"/>
                <w:szCs w:val="22"/>
              </w:rPr>
              <w:t>0.55</w:t>
            </w:r>
          </w:p>
        </w:tc>
        <w:tc>
          <w:tcPr>
            <w:tcW w:w="416" w:type="pct"/>
            <w:vAlign w:val="center"/>
          </w:tcPr>
          <w:p w14:paraId="708CB733" w14:textId="77777777" w:rsidR="00A05FE2" w:rsidRPr="000653A9" w:rsidRDefault="00A05FE2" w:rsidP="001D31D6">
            <w:pPr>
              <w:spacing w:after="240"/>
              <w:jc w:val="center"/>
              <w:rPr>
                <w:noProof/>
                <w:color w:val="auto"/>
                <w:sz w:val="22"/>
                <w:szCs w:val="22"/>
              </w:rPr>
            </w:pPr>
            <w:r>
              <w:rPr>
                <w:noProof/>
                <w:sz w:val="22"/>
                <w:szCs w:val="22"/>
              </w:rPr>
              <w:t>0.45</w:t>
            </w:r>
          </w:p>
        </w:tc>
        <w:tc>
          <w:tcPr>
            <w:tcW w:w="364" w:type="pct"/>
            <w:vAlign w:val="center"/>
          </w:tcPr>
          <w:p w14:paraId="615D20ED" w14:textId="77777777" w:rsidR="00A05FE2" w:rsidRPr="000653A9" w:rsidRDefault="00A05FE2" w:rsidP="001D31D6">
            <w:pPr>
              <w:spacing w:after="240"/>
              <w:jc w:val="center"/>
              <w:rPr>
                <w:noProof/>
                <w:color w:val="auto"/>
                <w:sz w:val="22"/>
                <w:szCs w:val="22"/>
              </w:rPr>
            </w:pPr>
            <w:r>
              <w:rPr>
                <w:noProof/>
                <w:sz w:val="22"/>
                <w:szCs w:val="22"/>
              </w:rPr>
              <w:t>0.36</w:t>
            </w:r>
          </w:p>
        </w:tc>
        <w:bookmarkStart w:id="419" w:name="_Toc219902719"/>
        <w:bookmarkEnd w:id="419"/>
      </w:tr>
      <w:tr w:rsidR="00A05FE2" w:rsidRPr="000653A9" w14:paraId="4B36822E" w14:textId="77777777" w:rsidTr="00F81849">
        <w:trPr>
          <w:trHeight w:val="300"/>
          <w:jc w:val="center"/>
        </w:trPr>
        <w:tc>
          <w:tcPr>
            <w:tcW w:w="893" w:type="pct"/>
            <w:vAlign w:val="center"/>
          </w:tcPr>
          <w:p w14:paraId="404E03D2" w14:textId="79CF5F8D" w:rsidR="00A05FE2" w:rsidRPr="000653A9" w:rsidRDefault="00A05FE2" w:rsidP="001D31D6">
            <w:pPr>
              <w:spacing w:after="240"/>
              <w:jc w:val="center"/>
              <w:rPr>
                <w:noProof/>
                <w:color w:val="auto"/>
                <w:sz w:val="22"/>
                <w:szCs w:val="22"/>
              </w:rPr>
            </w:pPr>
            <w:r>
              <w:rPr>
                <w:rFonts w:eastAsia="Times New Roman"/>
                <w:noProof/>
                <w:color w:val="auto"/>
                <w:sz w:val="22"/>
                <w:szCs w:val="22"/>
              </w:rPr>
              <w:t>CSCF CL3</w:t>
            </w:r>
          </w:p>
        </w:tc>
        <w:tc>
          <w:tcPr>
            <w:tcW w:w="415" w:type="pct"/>
            <w:vAlign w:val="center"/>
          </w:tcPr>
          <w:p w14:paraId="0BF55F64" w14:textId="77777777" w:rsidR="00A05FE2" w:rsidRPr="000653A9" w:rsidRDefault="00A05FE2" w:rsidP="001D31D6">
            <w:pPr>
              <w:spacing w:after="240"/>
              <w:jc w:val="center"/>
              <w:rPr>
                <w:noProof/>
                <w:color w:val="auto"/>
                <w:sz w:val="22"/>
                <w:szCs w:val="22"/>
              </w:rPr>
            </w:pPr>
            <w:r>
              <w:rPr>
                <w:noProof/>
                <w:sz w:val="22"/>
                <w:szCs w:val="22"/>
              </w:rPr>
              <w:t>0.91</w:t>
            </w:r>
          </w:p>
        </w:tc>
        <w:tc>
          <w:tcPr>
            <w:tcW w:w="416" w:type="pct"/>
            <w:vAlign w:val="center"/>
          </w:tcPr>
          <w:p w14:paraId="5F593979" w14:textId="77777777" w:rsidR="00A05FE2" w:rsidRPr="000653A9" w:rsidRDefault="00A05FE2" w:rsidP="001D31D6">
            <w:pPr>
              <w:spacing w:after="240"/>
              <w:jc w:val="center"/>
              <w:rPr>
                <w:noProof/>
                <w:color w:val="auto"/>
                <w:sz w:val="22"/>
                <w:szCs w:val="22"/>
              </w:rPr>
            </w:pPr>
            <w:r>
              <w:rPr>
                <w:noProof/>
                <w:sz w:val="22"/>
                <w:szCs w:val="22"/>
              </w:rPr>
              <w:t>1.00</w:t>
            </w:r>
          </w:p>
        </w:tc>
        <w:tc>
          <w:tcPr>
            <w:tcW w:w="416" w:type="pct"/>
            <w:vAlign w:val="center"/>
          </w:tcPr>
          <w:p w14:paraId="7CFEAEFF" w14:textId="77777777" w:rsidR="00A05FE2" w:rsidRPr="000653A9" w:rsidRDefault="00A05FE2" w:rsidP="001D31D6">
            <w:pPr>
              <w:spacing w:after="240"/>
              <w:jc w:val="center"/>
              <w:rPr>
                <w:noProof/>
                <w:color w:val="auto"/>
                <w:sz w:val="22"/>
                <w:szCs w:val="22"/>
              </w:rPr>
            </w:pPr>
            <w:r>
              <w:rPr>
                <w:noProof/>
                <w:sz w:val="22"/>
                <w:szCs w:val="22"/>
              </w:rPr>
              <w:t>1.00</w:t>
            </w:r>
          </w:p>
        </w:tc>
        <w:tc>
          <w:tcPr>
            <w:tcW w:w="416" w:type="pct"/>
            <w:vAlign w:val="center"/>
          </w:tcPr>
          <w:p w14:paraId="518C56E2" w14:textId="77777777" w:rsidR="00A05FE2" w:rsidRPr="000653A9" w:rsidRDefault="00A05FE2" w:rsidP="001D31D6">
            <w:pPr>
              <w:spacing w:after="240"/>
              <w:jc w:val="center"/>
              <w:rPr>
                <w:noProof/>
                <w:color w:val="auto"/>
                <w:sz w:val="22"/>
                <w:szCs w:val="22"/>
              </w:rPr>
            </w:pPr>
            <w:r>
              <w:rPr>
                <w:noProof/>
                <w:sz w:val="22"/>
                <w:szCs w:val="22"/>
              </w:rPr>
              <w:t>1.00</w:t>
            </w:r>
          </w:p>
        </w:tc>
        <w:tc>
          <w:tcPr>
            <w:tcW w:w="416" w:type="pct"/>
            <w:vAlign w:val="center"/>
          </w:tcPr>
          <w:p w14:paraId="0FEE0BD3" w14:textId="77777777" w:rsidR="00A05FE2" w:rsidRPr="000653A9" w:rsidRDefault="00A05FE2" w:rsidP="001D31D6">
            <w:pPr>
              <w:spacing w:after="240"/>
              <w:jc w:val="center"/>
              <w:rPr>
                <w:noProof/>
                <w:color w:val="auto"/>
                <w:sz w:val="22"/>
                <w:szCs w:val="22"/>
              </w:rPr>
            </w:pPr>
            <w:r>
              <w:rPr>
                <w:noProof/>
                <w:sz w:val="22"/>
                <w:szCs w:val="22"/>
              </w:rPr>
              <w:t>1.00</w:t>
            </w:r>
          </w:p>
        </w:tc>
        <w:tc>
          <w:tcPr>
            <w:tcW w:w="415" w:type="pct"/>
            <w:vAlign w:val="center"/>
          </w:tcPr>
          <w:p w14:paraId="3A484A76" w14:textId="77777777" w:rsidR="00A05FE2" w:rsidRPr="000653A9" w:rsidRDefault="00A05FE2" w:rsidP="001D31D6">
            <w:pPr>
              <w:spacing w:after="240"/>
              <w:jc w:val="center"/>
              <w:rPr>
                <w:noProof/>
                <w:color w:val="auto"/>
                <w:sz w:val="22"/>
                <w:szCs w:val="22"/>
              </w:rPr>
            </w:pPr>
            <w:r>
              <w:rPr>
                <w:noProof/>
                <w:sz w:val="22"/>
                <w:szCs w:val="22"/>
              </w:rPr>
              <w:t>1.00</w:t>
            </w:r>
          </w:p>
        </w:tc>
        <w:tc>
          <w:tcPr>
            <w:tcW w:w="416" w:type="pct"/>
            <w:vAlign w:val="center"/>
          </w:tcPr>
          <w:p w14:paraId="025D5C2D" w14:textId="77777777" w:rsidR="00A05FE2" w:rsidRPr="000653A9" w:rsidRDefault="00A05FE2" w:rsidP="001D31D6">
            <w:pPr>
              <w:spacing w:after="240"/>
              <w:jc w:val="center"/>
              <w:rPr>
                <w:noProof/>
                <w:color w:val="auto"/>
                <w:sz w:val="22"/>
                <w:szCs w:val="22"/>
              </w:rPr>
            </w:pPr>
            <w:r>
              <w:rPr>
                <w:noProof/>
                <w:sz w:val="22"/>
                <w:szCs w:val="22"/>
              </w:rPr>
              <w:t>1.00</w:t>
            </w:r>
          </w:p>
        </w:tc>
        <w:tc>
          <w:tcPr>
            <w:tcW w:w="416" w:type="pct"/>
            <w:vAlign w:val="center"/>
          </w:tcPr>
          <w:p w14:paraId="52A5CC84" w14:textId="77777777" w:rsidR="00A05FE2" w:rsidRPr="000653A9" w:rsidRDefault="00A05FE2" w:rsidP="001D31D6">
            <w:pPr>
              <w:spacing w:after="240"/>
              <w:jc w:val="center"/>
              <w:rPr>
                <w:noProof/>
                <w:color w:val="auto"/>
                <w:sz w:val="22"/>
                <w:szCs w:val="22"/>
              </w:rPr>
            </w:pPr>
            <w:r>
              <w:rPr>
                <w:noProof/>
                <w:sz w:val="22"/>
                <w:szCs w:val="22"/>
              </w:rPr>
              <w:t>1.00</w:t>
            </w:r>
          </w:p>
        </w:tc>
        <w:tc>
          <w:tcPr>
            <w:tcW w:w="416" w:type="pct"/>
            <w:vAlign w:val="center"/>
          </w:tcPr>
          <w:p w14:paraId="3DA3B734" w14:textId="77777777" w:rsidR="00A05FE2" w:rsidRPr="000653A9" w:rsidRDefault="00A05FE2" w:rsidP="001D31D6">
            <w:pPr>
              <w:spacing w:after="240"/>
              <w:jc w:val="center"/>
              <w:rPr>
                <w:noProof/>
                <w:color w:val="auto"/>
                <w:sz w:val="22"/>
                <w:szCs w:val="22"/>
              </w:rPr>
            </w:pPr>
            <w:r>
              <w:rPr>
                <w:noProof/>
                <w:sz w:val="22"/>
                <w:szCs w:val="22"/>
              </w:rPr>
              <w:t>1.00</w:t>
            </w:r>
          </w:p>
        </w:tc>
        <w:tc>
          <w:tcPr>
            <w:tcW w:w="364" w:type="pct"/>
            <w:vAlign w:val="center"/>
          </w:tcPr>
          <w:p w14:paraId="4CB808CD" w14:textId="77777777" w:rsidR="00A05FE2" w:rsidRPr="000653A9" w:rsidRDefault="00A05FE2" w:rsidP="001D31D6">
            <w:pPr>
              <w:spacing w:after="240"/>
              <w:jc w:val="center"/>
              <w:rPr>
                <w:noProof/>
                <w:color w:val="auto"/>
                <w:sz w:val="22"/>
                <w:szCs w:val="22"/>
              </w:rPr>
            </w:pPr>
            <w:r>
              <w:rPr>
                <w:noProof/>
                <w:sz w:val="22"/>
                <w:szCs w:val="22"/>
              </w:rPr>
              <w:t>1.00</w:t>
            </w:r>
          </w:p>
        </w:tc>
        <w:bookmarkStart w:id="420" w:name="_Toc219902731"/>
        <w:bookmarkEnd w:id="420"/>
      </w:tr>
    </w:tbl>
    <w:p w14:paraId="2D6EF0AC" w14:textId="26275A49" w:rsidR="00344ADD" w:rsidRPr="000653A9" w:rsidRDefault="006D7606" w:rsidP="2B7FB05A">
      <w:pPr>
        <w:rPr>
          <w:i/>
          <w:iCs/>
          <w:noProof/>
          <w:lang w:eastAsia="en-GB"/>
        </w:rPr>
      </w:pPr>
      <w:r w:rsidRPr="000653A9">
        <w:rPr>
          <w:rFonts w:eastAsia="Arial" w:cs="Arial"/>
          <w:i/>
          <w:iCs/>
          <w:noProof/>
          <w:sz w:val="20"/>
          <w:szCs w:val="20"/>
          <w:lang w:eastAsia="en-GB"/>
        </w:rPr>
        <w:t>Source:</w:t>
      </w:r>
      <w:r w:rsidRPr="000653A9">
        <w:rPr>
          <w:i/>
          <w:iCs/>
          <w:noProof/>
          <w:sz w:val="22"/>
          <w:szCs w:val="22"/>
        </w:rPr>
        <w:tab/>
      </w:r>
      <w:r w:rsidRPr="000653A9">
        <w:rPr>
          <w:rFonts w:eastAsia="Arial" w:cs="Arial"/>
          <w:i/>
          <w:iCs/>
          <w:noProof/>
          <w:sz w:val="20"/>
          <w:szCs w:val="20"/>
          <w:lang w:eastAsia="en-GB"/>
        </w:rPr>
        <w:t xml:space="preserve"> </w:t>
      </w:r>
      <w:r w:rsidRPr="000653A9">
        <w:rPr>
          <w:i/>
          <w:iCs/>
          <w:noProof/>
          <w:sz w:val="22"/>
          <w:szCs w:val="22"/>
        </w:rPr>
        <w:tab/>
      </w:r>
      <w:r w:rsidRPr="000653A9">
        <w:rPr>
          <w:rFonts w:eastAsia="Arial" w:cs="Arial"/>
          <w:i/>
          <w:iCs/>
          <w:noProof/>
          <w:sz w:val="20"/>
          <w:szCs w:val="20"/>
          <w:lang w:eastAsia="en-GB"/>
        </w:rPr>
        <w:t>Own calculation</w:t>
      </w:r>
    </w:p>
    <w:p w14:paraId="29947096" w14:textId="18DBB1BC" w:rsidR="00DC63F8" w:rsidRPr="000653A9" w:rsidRDefault="00DC63F8" w:rsidP="009539AB">
      <w:pPr>
        <w:pStyle w:val="Heading5COM"/>
        <w:outlineLvl w:val="5"/>
        <w:rPr>
          <w:noProof/>
        </w:rPr>
      </w:pPr>
      <w:bookmarkStart w:id="421" w:name="_Toc212049710"/>
      <w:bookmarkStart w:id="422" w:name="_Toc230857913"/>
      <w:bookmarkStart w:id="423" w:name="_Toc232751104"/>
      <w:r w:rsidRPr="000653A9">
        <w:rPr>
          <w:noProof/>
        </w:rPr>
        <w:t>Carbon leakage prevention measures for indirect emissions</w:t>
      </w:r>
      <w:bookmarkEnd w:id="421"/>
      <w:bookmarkEnd w:id="422"/>
      <w:bookmarkEnd w:id="423"/>
    </w:p>
    <w:p w14:paraId="719B7104" w14:textId="786897E7" w:rsidR="00AB48A5" w:rsidRPr="000653A9" w:rsidRDefault="00AB48A5" w:rsidP="00E82857">
      <w:pPr>
        <w:rPr>
          <w:noProof/>
          <w:lang w:eastAsia="en-GB"/>
        </w:rPr>
      </w:pPr>
      <w:r w:rsidRPr="000653A9">
        <w:rPr>
          <w:noProof/>
        </w:rPr>
        <w:t xml:space="preserve">The main effect of continuing to provide </w:t>
      </w:r>
      <w:r w:rsidR="003F2AE1" w:rsidRPr="000653A9">
        <w:rPr>
          <w:noProof/>
        </w:rPr>
        <w:t xml:space="preserve">ICC </w:t>
      </w:r>
      <w:r w:rsidRPr="000653A9">
        <w:rPr>
          <w:noProof/>
        </w:rPr>
        <w:t xml:space="preserve">compensation would be to alleviate the risk of carbon leakage and incentivise electrification by compensating for some of this cost. </w:t>
      </w:r>
      <w:r w:rsidR="00AE4370" w:rsidRPr="000653A9">
        <w:rPr>
          <w:noProof/>
        </w:rPr>
        <w:t>It</w:t>
      </w:r>
      <w:r w:rsidRPr="000653A9">
        <w:rPr>
          <w:noProof/>
        </w:rPr>
        <w:t xml:space="preserve"> is therefore an important contributor to the competitiveness of electro-intensive processes within sectors</w:t>
      </w:r>
      <w:r w:rsidR="00076EB2" w:rsidRPr="000653A9">
        <w:rPr>
          <w:noProof/>
        </w:rPr>
        <w:t>, particularly</w:t>
      </w:r>
      <w:r w:rsidRPr="000653A9">
        <w:rPr>
          <w:noProof/>
        </w:rPr>
        <w:t xml:space="preserve"> </w:t>
      </w:r>
      <w:r w:rsidR="00076EB2" w:rsidRPr="000653A9">
        <w:rPr>
          <w:noProof/>
        </w:rPr>
        <w:t xml:space="preserve">for </w:t>
      </w:r>
      <w:r w:rsidRPr="000653A9">
        <w:rPr>
          <w:noProof/>
        </w:rPr>
        <w:t>as long as direct emitting processes continue to receive free allocation and</w:t>
      </w:r>
      <w:r w:rsidR="00076EB2" w:rsidRPr="000653A9">
        <w:rPr>
          <w:noProof/>
        </w:rPr>
        <w:t>/or</w:t>
      </w:r>
      <w:r w:rsidRPr="000653A9">
        <w:rPr>
          <w:noProof/>
        </w:rPr>
        <w:t xml:space="preserve"> fossil fuels continue to act as the marginal generator, thereby exerting a greater influence on electricity prices than their generation share would suggest. </w:t>
      </w:r>
    </w:p>
    <w:p w14:paraId="53FAA075" w14:textId="3ECD7288" w:rsidR="00EE2169" w:rsidRPr="000653A9" w:rsidRDefault="00747C41" w:rsidP="00CF118B">
      <w:pPr>
        <w:rPr>
          <w:noProof/>
          <w:lang w:eastAsia="en-GB"/>
        </w:rPr>
      </w:pPr>
      <w:r w:rsidRPr="000653A9">
        <w:rPr>
          <w:noProof/>
          <w:lang w:eastAsia="en-GB"/>
        </w:rPr>
        <w:t xml:space="preserve">Option ICC1 would ensure that this benefit continues, subject to each Member State’s </w:t>
      </w:r>
      <w:r w:rsidR="00A12991" w:rsidRPr="000653A9">
        <w:rPr>
          <w:noProof/>
          <w:lang w:eastAsia="en-GB"/>
        </w:rPr>
        <w:t>decision regarding the granting of State aid.</w:t>
      </w:r>
      <w:r>
        <w:rPr>
          <w:noProof/>
          <w:lang w:eastAsia="en-GB"/>
        </w:rPr>
        <w:t xml:space="preserve"> </w:t>
      </w:r>
    </w:p>
    <w:p w14:paraId="734BAB86" w14:textId="1E1F6BA2" w:rsidR="00AB48A5" w:rsidRPr="000653A9" w:rsidRDefault="00EE2169" w:rsidP="00CF118B">
      <w:pPr>
        <w:rPr>
          <w:noProof/>
          <w:lang w:eastAsia="en-GB"/>
        </w:rPr>
      </w:pPr>
      <w:r w:rsidRPr="000653A9">
        <w:rPr>
          <w:noProof/>
          <w:lang w:eastAsia="en-GB"/>
        </w:rPr>
        <w:t>O</w:t>
      </w:r>
      <w:r w:rsidR="00AB48A5" w:rsidRPr="000653A9">
        <w:rPr>
          <w:noProof/>
          <w:lang w:eastAsia="en-GB"/>
        </w:rPr>
        <w:t xml:space="preserve">ption ICC2 would </w:t>
      </w:r>
      <w:r w:rsidRPr="000653A9">
        <w:rPr>
          <w:noProof/>
          <w:lang w:eastAsia="en-GB"/>
        </w:rPr>
        <w:t>bring</w:t>
      </w:r>
      <w:r w:rsidR="00AB48A5" w:rsidRPr="000653A9">
        <w:rPr>
          <w:noProof/>
          <w:lang w:eastAsia="en-GB"/>
        </w:rPr>
        <w:t xml:space="preserve"> additional competitiveness benefits to some installations (those who would not have received </w:t>
      </w:r>
      <w:r w:rsidRPr="000653A9">
        <w:rPr>
          <w:noProof/>
          <w:lang w:eastAsia="en-GB"/>
        </w:rPr>
        <w:t xml:space="preserve">State </w:t>
      </w:r>
      <w:r w:rsidR="00AB48A5" w:rsidRPr="000653A9">
        <w:rPr>
          <w:noProof/>
          <w:lang w:eastAsia="en-GB"/>
        </w:rPr>
        <w:t>aid under ICC1).</w:t>
      </w:r>
      <w:r w:rsidR="00D30F2E" w:rsidRPr="000653A9">
        <w:rPr>
          <w:noProof/>
          <w:lang w:eastAsia="en-GB"/>
        </w:rPr>
        <w:t xml:space="preserve"> However, this benefit would need to be weighed against the</w:t>
      </w:r>
      <w:r w:rsidR="00AB48A5" w:rsidRPr="000653A9">
        <w:rPr>
          <w:noProof/>
          <w:lang w:eastAsia="en-GB"/>
        </w:rPr>
        <w:t xml:space="preserve"> additional administrative burden</w:t>
      </w:r>
      <w:r w:rsidR="00D30F2E" w:rsidRPr="000653A9">
        <w:rPr>
          <w:noProof/>
          <w:lang w:eastAsia="en-GB"/>
        </w:rPr>
        <w:t xml:space="preserve"> </w:t>
      </w:r>
      <w:r w:rsidR="006B61B5" w:rsidRPr="000653A9">
        <w:rPr>
          <w:noProof/>
          <w:lang w:eastAsia="en-GB"/>
        </w:rPr>
        <w:t>associated with a standalone ICC fund</w:t>
      </w:r>
      <w:r w:rsidR="00AB48A5" w:rsidRPr="000653A9">
        <w:rPr>
          <w:noProof/>
          <w:lang w:eastAsia="en-GB"/>
        </w:rPr>
        <w:t xml:space="preserve">. </w:t>
      </w:r>
    </w:p>
    <w:p w14:paraId="639433B5" w14:textId="053D8E62" w:rsidR="00F81849" w:rsidRDefault="007D46B6" w:rsidP="007D46B6">
      <w:pPr>
        <w:rPr>
          <w:noProof/>
          <w:color w:val="auto"/>
        </w:rPr>
      </w:pPr>
      <w:r w:rsidRPr="000653A9">
        <w:rPr>
          <w:noProof/>
          <w:color w:val="auto"/>
        </w:rPr>
        <w:t xml:space="preserve">During the stakeholder consultation with industry, the differential between electricity prices in the EU-27 with international competitors was often cited as having a negative impact on their levels of competitiveness. </w:t>
      </w:r>
      <w:r w:rsidR="00DF1496" w:rsidRPr="000653A9">
        <w:rPr>
          <w:noProof/>
          <w:color w:val="auto"/>
        </w:rPr>
        <w:t xml:space="preserve">While industrial electricity prices in the EU are generally high compared to US and China, </w:t>
      </w:r>
      <w:r w:rsidR="002732A3" w:rsidRPr="000653A9">
        <w:rPr>
          <w:noProof/>
          <w:color w:val="auto"/>
        </w:rPr>
        <w:t xml:space="preserve">this </w:t>
      </w:r>
      <w:r w:rsidR="002A50DB" w:rsidRPr="000653A9">
        <w:rPr>
          <w:noProof/>
          <w:color w:val="auto"/>
        </w:rPr>
        <w:t>gap has narrowed since the height of the energy crisis in 2022</w:t>
      </w:r>
      <w:r w:rsidR="003A499D" w:rsidRPr="000653A9">
        <w:rPr>
          <w:noProof/>
          <w:color w:val="auto"/>
        </w:rPr>
        <w:t xml:space="preserve"> and is smaller in Member States with a larger non-fossil share in electricity generation</w:t>
      </w:r>
      <w:r w:rsidR="00113403" w:rsidRPr="000653A9">
        <w:rPr>
          <w:noProof/>
          <w:color w:val="auto"/>
        </w:rPr>
        <w:t>, as shown in Figure 1</w:t>
      </w:r>
      <w:r w:rsidR="00636F13" w:rsidRPr="000653A9">
        <w:rPr>
          <w:noProof/>
          <w:color w:val="auto"/>
        </w:rPr>
        <w:t>3.</w:t>
      </w:r>
      <w:r w:rsidR="00443874" w:rsidRPr="000653A9">
        <w:rPr>
          <w:noProof/>
          <w:color w:val="auto"/>
        </w:rPr>
        <w:t xml:space="preserve"> </w:t>
      </w:r>
      <w:r w:rsidR="004C6251" w:rsidRPr="000653A9">
        <w:rPr>
          <w:noProof/>
          <w:color w:val="auto"/>
        </w:rPr>
        <w:t>European Commission analysis has indicated that carbon costs account</w:t>
      </w:r>
      <w:r w:rsidR="004F1EF5" w:rsidRPr="000653A9">
        <w:rPr>
          <w:noProof/>
          <w:color w:val="auto"/>
        </w:rPr>
        <w:t>ed</w:t>
      </w:r>
      <w:r w:rsidR="004C6251" w:rsidRPr="000653A9">
        <w:rPr>
          <w:noProof/>
          <w:color w:val="auto"/>
        </w:rPr>
        <w:t xml:space="preserve"> for up to 11% </w:t>
      </w:r>
      <w:r w:rsidR="004F1EF5" w:rsidRPr="000653A9">
        <w:rPr>
          <w:noProof/>
          <w:color w:val="auto"/>
        </w:rPr>
        <w:t xml:space="preserve">of industrial energy prices in the EU </w:t>
      </w:r>
      <w:r w:rsidR="004C6251" w:rsidRPr="000653A9">
        <w:rPr>
          <w:noProof/>
          <w:color w:val="auto"/>
        </w:rPr>
        <w:t>on average in 2025</w:t>
      </w:r>
      <w:r w:rsidR="002018D8" w:rsidRPr="000653A9">
        <w:rPr>
          <w:noProof/>
          <w:color w:val="auto"/>
        </w:rPr>
        <w:t>, with fuel costs</w:t>
      </w:r>
      <w:r w:rsidR="00E66A0B" w:rsidRPr="000653A9">
        <w:rPr>
          <w:noProof/>
          <w:color w:val="auto"/>
        </w:rPr>
        <w:t xml:space="preserve">, network charges and taxes each accounting </w:t>
      </w:r>
      <w:r w:rsidR="00251778" w:rsidRPr="000653A9">
        <w:rPr>
          <w:noProof/>
          <w:color w:val="auto"/>
        </w:rPr>
        <w:t>for a larger share</w:t>
      </w:r>
      <w:r w:rsidR="003A4C01" w:rsidRPr="000653A9">
        <w:rPr>
          <w:noProof/>
          <w:color w:val="auto"/>
        </w:rPr>
        <w:t>.</w:t>
      </w:r>
    </w:p>
    <w:p w14:paraId="258C05AB" w14:textId="77777777" w:rsidR="00F81849" w:rsidRDefault="00F81849">
      <w:pPr>
        <w:spacing w:before="0" w:line="259" w:lineRule="auto"/>
        <w:rPr>
          <w:noProof/>
          <w:color w:val="auto"/>
        </w:rPr>
      </w:pPr>
      <w:r>
        <w:rPr>
          <w:noProof/>
          <w:color w:val="auto"/>
        </w:rPr>
        <w:br w:type="page"/>
      </w:r>
    </w:p>
    <w:p w14:paraId="31B912D7" w14:textId="33A14BAB" w:rsidR="007D46B6" w:rsidRPr="000653A9" w:rsidRDefault="00181BC0" w:rsidP="00C92FA9">
      <w:pPr>
        <w:pStyle w:val="Figuretitle"/>
        <w:rPr>
          <w:noProof/>
        </w:rPr>
      </w:pPr>
      <w:bookmarkStart w:id="424" w:name="_Toc224659147"/>
      <w:r w:rsidRPr="000653A9">
        <w:rPr>
          <w:noProof/>
        </w:rPr>
        <w:t>Estimated electricity price for large industrial consumers</w:t>
      </w:r>
      <w:bookmarkEnd w:id="424"/>
    </w:p>
    <w:p w14:paraId="24148C10" w14:textId="7C50B9F2" w:rsidR="007D46B6" w:rsidRPr="000653A9" w:rsidRDefault="000B4875" w:rsidP="000B4875">
      <w:pPr>
        <w:jc w:val="center"/>
        <w:rPr>
          <w:noProof/>
          <w:color w:val="auto"/>
        </w:rPr>
      </w:pPr>
      <w:r w:rsidRPr="000653A9">
        <w:rPr>
          <w:noProof/>
          <w:color w:val="auto"/>
          <w:lang w:eastAsia="en-GB"/>
        </w:rPr>
        <w:drawing>
          <wp:inline distT="0" distB="0" distL="0" distR="0" wp14:anchorId="6FACAA18" wp14:editId="63ADEE17">
            <wp:extent cx="5742940" cy="2847340"/>
            <wp:effectExtent l="0" t="0" r="0" b="0"/>
            <wp:docPr id="1918708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42940" cy="2847340"/>
                    </a:xfrm>
                    <a:prstGeom prst="rect">
                      <a:avLst/>
                    </a:prstGeom>
                    <a:noFill/>
                  </pic:spPr>
                </pic:pic>
              </a:graphicData>
            </a:graphic>
          </wp:inline>
        </w:drawing>
      </w:r>
    </w:p>
    <w:p w14:paraId="434E0001" w14:textId="38678E1E" w:rsidR="007D46B6" w:rsidRPr="000653A9" w:rsidRDefault="007D46B6" w:rsidP="007D46B6">
      <w:pPr>
        <w:rPr>
          <w:i/>
          <w:iCs/>
          <w:noProof/>
          <w:color w:val="auto"/>
          <w:sz w:val="20"/>
          <w:szCs w:val="20"/>
        </w:rPr>
      </w:pPr>
      <w:r w:rsidRPr="000653A9">
        <w:rPr>
          <w:i/>
          <w:iCs/>
          <w:noProof/>
          <w:color w:val="auto"/>
          <w:sz w:val="20"/>
          <w:szCs w:val="20"/>
        </w:rPr>
        <w:t>Source:</w:t>
      </w:r>
      <w:r w:rsidR="00194FFB" w:rsidRPr="000653A9">
        <w:rPr>
          <w:i/>
          <w:iCs/>
          <w:noProof/>
          <w:color w:val="auto"/>
          <w:sz w:val="20"/>
          <w:szCs w:val="20"/>
        </w:rPr>
        <w:t xml:space="preserve"> European Commission</w:t>
      </w:r>
      <w:r w:rsidR="0002580C" w:rsidRPr="000653A9">
        <w:rPr>
          <w:i/>
          <w:iCs/>
          <w:noProof/>
          <w:sz w:val="20"/>
          <w:szCs w:val="20"/>
        </w:rPr>
        <w:t>: Derived from IEA Electricity 2026 for US, Japan and China</w:t>
      </w:r>
      <w:r w:rsidR="0002580C" w:rsidRPr="000653A9">
        <w:rPr>
          <w:rStyle w:val="FootnoteReference"/>
          <w:noProof/>
        </w:rPr>
        <w:footnoteReference w:id="24"/>
      </w:r>
      <w:r w:rsidR="0002580C" w:rsidRPr="000653A9">
        <w:rPr>
          <w:i/>
          <w:iCs/>
          <w:noProof/>
          <w:sz w:val="20"/>
          <w:szCs w:val="20"/>
        </w:rPr>
        <w:t>, Others: EUROSTAT</w:t>
      </w:r>
      <w:r w:rsidR="009F0C6A" w:rsidRPr="000653A9">
        <w:rPr>
          <w:i/>
          <w:iCs/>
          <w:noProof/>
          <w:color w:val="auto"/>
          <w:sz w:val="20"/>
          <w:szCs w:val="20"/>
        </w:rPr>
        <w:t xml:space="preserve"> </w:t>
      </w:r>
      <w:r w:rsidR="00194FFB" w:rsidRPr="000653A9">
        <w:rPr>
          <w:rStyle w:val="FootnoteReference"/>
          <w:i/>
          <w:iCs/>
          <w:noProof/>
          <w:sz w:val="20"/>
          <w:szCs w:val="20"/>
        </w:rPr>
        <w:footnoteReference w:id="25"/>
      </w:r>
    </w:p>
    <w:p w14:paraId="326B491F" w14:textId="1CFF21FF" w:rsidR="00433262" w:rsidRPr="000653A9" w:rsidRDefault="007D46B6" w:rsidP="00EF4DE6">
      <w:pPr>
        <w:rPr>
          <w:noProof/>
          <w:color w:val="auto"/>
        </w:rPr>
      </w:pPr>
      <w:r w:rsidRPr="000653A9">
        <w:rPr>
          <w:noProof/>
          <w:color w:val="auto"/>
        </w:rPr>
        <w:t>The issue of indirect carbon costs w</w:t>
      </w:r>
      <w:r w:rsidR="004B4CE2" w:rsidRPr="000653A9">
        <w:rPr>
          <w:noProof/>
          <w:color w:val="auto"/>
        </w:rPr>
        <w:t>as</w:t>
      </w:r>
      <w:r w:rsidRPr="000653A9">
        <w:rPr>
          <w:noProof/>
          <w:color w:val="auto"/>
        </w:rPr>
        <w:t>e often raised by industry as this is often a cost that they have no direct control over and this will instead depend upon efforts to decarbonise the electricity grid in a way that also ensures the price of electricity does not become excessively high in comparison to industrial competitors. The continuation of indirect cost compensation was therefore consistently supported by industrial stakeholders during the consultation</w:t>
      </w:r>
      <w:r w:rsidR="005F2A4A" w:rsidRPr="000653A9">
        <w:rPr>
          <w:noProof/>
          <w:color w:val="auto"/>
        </w:rPr>
        <w:t xml:space="preserve">, with </w:t>
      </w:r>
      <w:r w:rsidR="007B38E8" w:rsidRPr="000653A9">
        <w:rPr>
          <w:noProof/>
          <w:color w:val="auto"/>
        </w:rPr>
        <w:t>74% of respondents</w:t>
      </w:r>
      <w:r w:rsidR="00FC7CC8" w:rsidRPr="000653A9">
        <w:rPr>
          <w:noProof/>
          <w:color w:val="auto"/>
        </w:rPr>
        <w:t xml:space="preserve"> to the OPC </w:t>
      </w:r>
      <w:r w:rsidR="00C03E8E" w:rsidRPr="000653A9">
        <w:rPr>
          <w:noProof/>
          <w:color w:val="auto"/>
        </w:rPr>
        <w:t xml:space="preserve">considering that indirect cost compensation </w:t>
      </w:r>
      <w:r w:rsidR="008A3035" w:rsidRPr="000653A9">
        <w:rPr>
          <w:noProof/>
          <w:color w:val="auto"/>
        </w:rPr>
        <w:t>should</w:t>
      </w:r>
      <w:r w:rsidR="00C03E8E" w:rsidRPr="000653A9">
        <w:rPr>
          <w:noProof/>
          <w:color w:val="auto"/>
        </w:rPr>
        <w:t xml:space="preserve"> remain after 2030 to address the risk of carbon leakage from carbon costs passed on in electricity prices (in sectors</w:t>
      </w:r>
      <w:r w:rsidR="000C43E0" w:rsidRPr="000653A9">
        <w:rPr>
          <w:noProof/>
          <w:color w:val="auto"/>
        </w:rPr>
        <w:t xml:space="preserve"> where indirec</w:t>
      </w:r>
      <w:r w:rsidR="00D90C80" w:rsidRPr="000653A9">
        <w:rPr>
          <w:noProof/>
          <w:color w:val="auto"/>
        </w:rPr>
        <w:t>t emissions are</w:t>
      </w:r>
      <w:r w:rsidR="00C03E8E" w:rsidRPr="000653A9">
        <w:rPr>
          <w:noProof/>
          <w:color w:val="auto"/>
        </w:rPr>
        <w:t xml:space="preserve"> not covered by CBAM)</w:t>
      </w:r>
      <w:r w:rsidRPr="000653A9">
        <w:rPr>
          <w:noProof/>
          <w:color w:val="auto"/>
        </w:rPr>
        <w:t xml:space="preserve">. </w:t>
      </w:r>
    </w:p>
    <w:p w14:paraId="3DC5728F" w14:textId="01FEE5FD" w:rsidR="007D46B6" w:rsidRPr="000653A9" w:rsidRDefault="00BE7520" w:rsidP="00EF4DE6">
      <w:pPr>
        <w:rPr>
          <w:noProof/>
          <w:color w:val="auto"/>
        </w:rPr>
      </w:pPr>
      <w:r w:rsidRPr="000653A9">
        <w:rPr>
          <w:noProof/>
          <w:color w:val="auto"/>
        </w:rPr>
        <w:t>Stakeholders</w:t>
      </w:r>
      <w:r w:rsidR="00A13FF0" w:rsidRPr="000653A9">
        <w:rPr>
          <w:noProof/>
          <w:color w:val="auto"/>
        </w:rPr>
        <w:t>, including in sectors not c</w:t>
      </w:r>
      <w:r w:rsidR="00C00050" w:rsidRPr="000653A9">
        <w:rPr>
          <w:noProof/>
          <w:color w:val="auto"/>
        </w:rPr>
        <w:t>urrently eligible for ICC compensation,</w:t>
      </w:r>
      <w:r w:rsidRPr="000653A9">
        <w:rPr>
          <w:noProof/>
          <w:color w:val="auto"/>
        </w:rPr>
        <w:t xml:space="preserve"> considered it</w:t>
      </w:r>
      <w:r w:rsidR="007D46B6" w:rsidRPr="000653A9">
        <w:rPr>
          <w:noProof/>
          <w:color w:val="auto"/>
        </w:rPr>
        <w:t xml:space="preserve"> necessary to offset the high electricity costs in Europe in comparison to international competitors and it was argued that without the continuation of such support the viability of current electro-intensive production processes would increasingly become at risk of closure in the future.</w:t>
      </w:r>
      <w:r w:rsidR="00C00050" w:rsidRPr="000653A9">
        <w:rPr>
          <w:noProof/>
          <w:color w:val="auto"/>
        </w:rPr>
        <w:t xml:space="preserve"> </w:t>
      </w:r>
      <w:r w:rsidR="00A81B00" w:rsidRPr="000653A9">
        <w:rPr>
          <w:noProof/>
          <w:color w:val="auto"/>
        </w:rPr>
        <w:t>On this point, i</w:t>
      </w:r>
      <w:r w:rsidR="00C00050" w:rsidRPr="000653A9">
        <w:rPr>
          <w:noProof/>
          <w:color w:val="auto"/>
        </w:rPr>
        <w:t xml:space="preserve">t is important to note that </w:t>
      </w:r>
      <w:r w:rsidR="00A81B00" w:rsidRPr="000653A9">
        <w:rPr>
          <w:noProof/>
          <w:color w:val="auto"/>
        </w:rPr>
        <w:t xml:space="preserve">ICC </w:t>
      </w:r>
      <w:r w:rsidR="00492D25" w:rsidRPr="000653A9">
        <w:rPr>
          <w:noProof/>
          <w:color w:val="auto"/>
        </w:rPr>
        <w:t>compensation</w:t>
      </w:r>
      <w:r w:rsidR="00DB02C7" w:rsidRPr="000653A9">
        <w:rPr>
          <w:noProof/>
          <w:color w:val="auto"/>
        </w:rPr>
        <w:t xml:space="preserve"> addresses only </w:t>
      </w:r>
      <w:r w:rsidR="00F14ED1" w:rsidRPr="000653A9">
        <w:rPr>
          <w:noProof/>
          <w:color w:val="auto"/>
        </w:rPr>
        <w:t xml:space="preserve">addresses </w:t>
      </w:r>
      <w:r w:rsidR="00A27B4D" w:rsidRPr="000653A9">
        <w:rPr>
          <w:noProof/>
          <w:color w:val="auto"/>
        </w:rPr>
        <w:t xml:space="preserve">the pass through of </w:t>
      </w:r>
      <w:r w:rsidR="00F14ED1" w:rsidRPr="000653A9">
        <w:rPr>
          <w:noProof/>
          <w:color w:val="auto"/>
        </w:rPr>
        <w:t>carbon cost</w:t>
      </w:r>
      <w:r w:rsidR="00A27B4D" w:rsidRPr="000653A9">
        <w:rPr>
          <w:noProof/>
          <w:color w:val="auto"/>
        </w:rPr>
        <w:t>s to electricity consumers</w:t>
      </w:r>
      <w:r w:rsidR="00EB2503" w:rsidRPr="000653A9">
        <w:rPr>
          <w:noProof/>
          <w:color w:val="auto"/>
        </w:rPr>
        <w:t xml:space="preserve">. </w:t>
      </w:r>
      <w:r w:rsidR="00A565E0" w:rsidRPr="000653A9">
        <w:rPr>
          <w:noProof/>
          <w:color w:val="auto"/>
        </w:rPr>
        <w:t xml:space="preserve">Other high price drivers will need to be addressed by other means such as </w:t>
      </w:r>
      <w:r w:rsidR="00BD216A" w:rsidRPr="000653A9">
        <w:rPr>
          <w:noProof/>
          <w:color w:val="auto"/>
        </w:rPr>
        <w:t>infrastructure improvements (</w:t>
      </w:r>
      <w:r w:rsidR="00817015" w:rsidRPr="000653A9">
        <w:rPr>
          <w:noProof/>
          <w:color w:val="auto"/>
        </w:rPr>
        <w:t>e.g.</w:t>
      </w:r>
      <w:r w:rsidR="00BD216A" w:rsidRPr="000653A9">
        <w:rPr>
          <w:noProof/>
          <w:color w:val="auto"/>
        </w:rPr>
        <w:t xml:space="preserve"> the European Grids Package</w:t>
      </w:r>
      <w:r w:rsidR="009D41F4" w:rsidRPr="000653A9">
        <w:rPr>
          <w:rStyle w:val="FootnoteReference"/>
          <w:noProof/>
          <w:color w:val="auto"/>
        </w:rPr>
        <w:footnoteReference w:id="26"/>
      </w:r>
      <w:r w:rsidR="00BD216A" w:rsidRPr="000653A9">
        <w:rPr>
          <w:noProof/>
          <w:color w:val="auto"/>
        </w:rPr>
        <w:t>) or other types of State aid (</w:t>
      </w:r>
      <w:r w:rsidR="00817015" w:rsidRPr="000653A9">
        <w:rPr>
          <w:noProof/>
          <w:color w:val="auto"/>
        </w:rPr>
        <w:t xml:space="preserve">e.g. </w:t>
      </w:r>
      <w:r w:rsidR="004D0A66" w:rsidRPr="000653A9">
        <w:rPr>
          <w:noProof/>
          <w:color w:val="auto"/>
        </w:rPr>
        <w:t xml:space="preserve">the Temporary Electricity Price </w:t>
      </w:r>
      <w:r w:rsidR="007B66D2" w:rsidRPr="000653A9">
        <w:rPr>
          <w:noProof/>
          <w:color w:val="auto"/>
        </w:rPr>
        <w:t xml:space="preserve">relief available </w:t>
      </w:r>
      <w:r w:rsidR="00BD216A" w:rsidRPr="000653A9">
        <w:rPr>
          <w:noProof/>
          <w:color w:val="auto"/>
        </w:rPr>
        <w:t xml:space="preserve">under the Clean Industrial Deal State </w:t>
      </w:r>
      <w:r w:rsidR="00B245A5" w:rsidRPr="000653A9">
        <w:rPr>
          <w:noProof/>
          <w:color w:val="auto"/>
        </w:rPr>
        <w:t>Aid</w:t>
      </w:r>
      <w:r w:rsidR="00BD216A" w:rsidRPr="000653A9">
        <w:rPr>
          <w:noProof/>
          <w:color w:val="auto"/>
        </w:rPr>
        <w:t xml:space="preserve"> Framework</w:t>
      </w:r>
      <w:r w:rsidR="009D41F4" w:rsidRPr="000653A9">
        <w:rPr>
          <w:rStyle w:val="FootnoteReference"/>
          <w:noProof/>
          <w:color w:val="auto"/>
        </w:rPr>
        <w:footnoteReference w:id="27"/>
      </w:r>
      <w:r w:rsidR="00BD216A" w:rsidRPr="000653A9">
        <w:rPr>
          <w:noProof/>
          <w:color w:val="auto"/>
        </w:rPr>
        <w:t>).</w:t>
      </w:r>
    </w:p>
    <w:p w14:paraId="5AC8BA7B" w14:textId="13A12753" w:rsidR="007D46B6" w:rsidRPr="000653A9" w:rsidRDefault="007D46B6" w:rsidP="007D46B6">
      <w:pPr>
        <w:rPr>
          <w:noProof/>
          <w:color w:val="auto"/>
        </w:rPr>
      </w:pPr>
      <w:r w:rsidRPr="000653A9">
        <w:rPr>
          <w:noProof/>
          <w:color w:val="auto"/>
        </w:rPr>
        <w:t>Many industrial stakeholders expressed support for the harmonisation of indirect cost compensation</w:t>
      </w:r>
      <w:r w:rsidR="008B229C" w:rsidRPr="000653A9">
        <w:rPr>
          <w:noProof/>
          <w:color w:val="auto"/>
        </w:rPr>
        <w:t xml:space="preserve"> in principle</w:t>
      </w:r>
      <w:r w:rsidRPr="000653A9">
        <w:rPr>
          <w:noProof/>
          <w:color w:val="auto"/>
        </w:rPr>
        <w:t xml:space="preserve">. </w:t>
      </w:r>
      <w:r w:rsidR="00F30759" w:rsidRPr="000653A9">
        <w:rPr>
          <w:noProof/>
          <w:color w:val="auto"/>
        </w:rPr>
        <w:t xml:space="preserve">Overall, 39% of respondents </w:t>
      </w:r>
      <w:r w:rsidR="002E4B40" w:rsidRPr="000653A9">
        <w:rPr>
          <w:noProof/>
          <w:color w:val="auto"/>
        </w:rPr>
        <w:t>supported harmonising the system for compensating indirect carbon costs at EU level</w:t>
      </w:r>
      <w:r w:rsidR="008B229C" w:rsidRPr="000653A9">
        <w:rPr>
          <w:noProof/>
          <w:color w:val="auto"/>
        </w:rPr>
        <w:t>,</w:t>
      </w:r>
      <w:r w:rsidR="002E4B40" w:rsidRPr="000653A9">
        <w:rPr>
          <w:noProof/>
          <w:color w:val="auto"/>
        </w:rPr>
        <w:t xml:space="preserve"> in response </w:t>
      </w:r>
      <w:r w:rsidR="00F30759" w:rsidRPr="000653A9">
        <w:rPr>
          <w:noProof/>
          <w:color w:val="auto"/>
        </w:rPr>
        <w:t>to the OPC question</w:t>
      </w:r>
      <w:r w:rsidR="00FA3D0C" w:rsidRPr="000653A9">
        <w:rPr>
          <w:rStyle w:val="FootnoteReference"/>
          <w:noProof/>
          <w:color w:val="auto"/>
        </w:rPr>
        <w:footnoteReference w:id="28"/>
      </w:r>
      <w:r w:rsidR="00F30759" w:rsidRPr="000653A9">
        <w:rPr>
          <w:noProof/>
          <w:color w:val="auto"/>
        </w:rPr>
        <w:t xml:space="preserve"> if indirect cost compensation will remain necessary after 2030 to address the risk of carbon leakage from carbon costs passed on in electricity prices (in sectors not covered by the CBAM)</w:t>
      </w:r>
      <w:r w:rsidRPr="000653A9">
        <w:rPr>
          <w:noProof/>
          <w:color w:val="auto"/>
        </w:rPr>
        <w:t>. This response was mainly from sectors and sub-sectors currently not eligible for indirect cost compensation</w:t>
      </w:r>
      <w:r w:rsidR="00644473" w:rsidRPr="000653A9">
        <w:rPr>
          <w:noProof/>
          <w:color w:val="auto"/>
        </w:rPr>
        <w:t xml:space="preserve">, which could indicate that respondents </w:t>
      </w:r>
      <w:r w:rsidR="00F72BF3" w:rsidRPr="000653A9">
        <w:rPr>
          <w:noProof/>
          <w:color w:val="auto"/>
        </w:rPr>
        <w:t>believed</w:t>
      </w:r>
      <w:r w:rsidR="00644473" w:rsidRPr="000653A9">
        <w:rPr>
          <w:noProof/>
          <w:color w:val="auto"/>
        </w:rPr>
        <w:t xml:space="preserve"> harmonisation </w:t>
      </w:r>
      <w:r w:rsidR="00F72BF3" w:rsidRPr="000653A9">
        <w:rPr>
          <w:noProof/>
          <w:color w:val="auto"/>
        </w:rPr>
        <w:t>would involve expansion of the eligible sectors</w:t>
      </w:r>
      <w:r w:rsidRPr="000653A9">
        <w:rPr>
          <w:noProof/>
          <w:color w:val="auto"/>
        </w:rPr>
        <w:t xml:space="preserve">. </w:t>
      </w:r>
      <w:r w:rsidR="00F945B7" w:rsidRPr="000653A9">
        <w:rPr>
          <w:noProof/>
          <w:color w:val="auto"/>
        </w:rPr>
        <w:t>Subsequently</w:t>
      </w:r>
      <w:r w:rsidR="00F72BF3" w:rsidRPr="000653A9">
        <w:rPr>
          <w:noProof/>
          <w:color w:val="auto"/>
        </w:rPr>
        <w:t xml:space="preserve"> (and separately)</w:t>
      </w:r>
      <w:r w:rsidR="00F945B7" w:rsidRPr="000653A9">
        <w:rPr>
          <w:noProof/>
          <w:color w:val="auto"/>
        </w:rPr>
        <w:t xml:space="preserve">, additional sectors were made eligible for ICC </w:t>
      </w:r>
      <w:r w:rsidR="00EF2DF6" w:rsidRPr="000653A9">
        <w:rPr>
          <w:noProof/>
          <w:color w:val="auto"/>
        </w:rPr>
        <w:t xml:space="preserve">compensation in the </w:t>
      </w:r>
      <w:r w:rsidR="002336EB" w:rsidRPr="000653A9">
        <w:rPr>
          <w:noProof/>
          <w:color w:val="auto"/>
        </w:rPr>
        <w:t>amendment of State aid guidelines for the period 2025-2030</w:t>
      </w:r>
      <w:r w:rsidR="00EF2DF6" w:rsidRPr="000653A9">
        <w:rPr>
          <w:noProof/>
          <w:color w:val="auto"/>
        </w:rPr>
        <w:t>.</w:t>
      </w:r>
    </w:p>
    <w:p w14:paraId="6C4DA426" w14:textId="5356D7D0" w:rsidR="007D46B6" w:rsidRPr="000653A9" w:rsidRDefault="00714FF3" w:rsidP="00FE6BC8">
      <w:pPr>
        <w:rPr>
          <w:noProof/>
          <w:color w:val="auto"/>
        </w:rPr>
      </w:pPr>
      <w:r w:rsidRPr="000653A9">
        <w:rPr>
          <w:noProof/>
          <w:color w:val="auto"/>
        </w:rPr>
        <w:t>A</w:t>
      </w:r>
      <w:r w:rsidR="007D46B6" w:rsidRPr="000653A9">
        <w:rPr>
          <w:noProof/>
          <w:color w:val="auto"/>
        </w:rPr>
        <w:t xml:space="preserve"> harmonised system </w:t>
      </w:r>
      <w:r w:rsidRPr="000653A9">
        <w:rPr>
          <w:noProof/>
          <w:color w:val="auto"/>
        </w:rPr>
        <w:t>with a common ICC Fund would not amount to State aid</w:t>
      </w:r>
      <w:r w:rsidR="007D46B6" w:rsidRPr="000653A9">
        <w:rPr>
          <w:noProof/>
          <w:color w:val="auto"/>
        </w:rPr>
        <w:t xml:space="preserve">. The extent to which specific firms and sectors would benefit would depend on the generosity of a harmonised system compared to the support they </w:t>
      </w:r>
      <w:r w:rsidR="0085698C" w:rsidRPr="000653A9">
        <w:rPr>
          <w:noProof/>
          <w:color w:val="auto"/>
        </w:rPr>
        <w:t>would otherwise</w:t>
      </w:r>
      <w:r w:rsidR="007D46B6" w:rsidRPr="000653A9">
        <w:rPr>
          <w:noProof/>
          <w:color w:val="auto"/>
        </w:rPr>
        <w:t xml:space="preserve"> receive from national State aid schemes. </w:t>
      </w:r>
    </w:p>
    <w:p w14:paraId="758B7431" w14:textId="77777777" w:rsidR="00DC63F8" w:rsidRPr="000653A9" w:rsidRDefault="00DC63F8" w:rsidP="00794BC8">
      <w:pPr>
        <w:pStyle w:val="Heading4COM"/>
        <w:outlineLvl w:val="4"/>
        <w:rPr>
          <w:noProof/>
        </w:rPr>
      </w:pPr>
      <w:bookmarkStart w:id="425" w:name="_Toc212049711"/>
      <w:bookmarkStart w:id="426" w:name="_Toc230857914"/>
      <w:bookmarkStart w:id="427" w:name="_Toc232751105"/>
      <w:r w:rsidRPr="000653A9">
        <w:rPr>
          <w:noProof/>
        </w:rPr>
        <w:t>Impact on innovation and technological development</w:t>
      </w:r>
      <w:bookmarkEnd w:id="425"/>
      <w:bookmarkEnd w:id="426"/>
      <w:bookmarkEnd w:id="427"/>
    </w:p>
    <w:p w14:paraId="01F55F62" w14:textId="77777777" w:rsidR="00DC63F8" w:rsidRPr="000653A9" w:rsidRDefault="00DC63F8" w:rsidP="00794BC8">
      <w:pPr>
        <w:pStyle w:val="Heading5COM"/>
        <w:outlineLvl w:val="5"/>
        <w:rPr>
          <w:noProof/>
        </w:rPr>
      </w:pPr>
      <w:bookmarkStart w:id="428" w:name="_Toc212049712"/>
      <w:bookmarkStart w:id="429" w:name="_Toc230857915"/>
      <w:bookmarkStart w:id="430" w:name="_Toc232751106"/>
      <w:r w:rsidRPr="000653A9">
        <w:rPr>
          <w:noProof/>
        </w:rPr>
        <w:t>Carbon leakage prevention measures for direct emissions</w:t>
      </w:r>
      <w:bookmarkEnd w:id="428"/>
      <w:bookmarkEnd w:id="429"/>
      <w:bookmarkEnd w:id="430"/>
    </w:p>
    <w:p w14:paraId="15B13BDA" w14:textId="068AD555" w:rsidR="00757349" w:rsidRPr="000653A9" w:rsidRDefault="00757349" w:rsidP="00757349">
      <w:pPr>
        <w:rPr>
          <w:noProof/>
          <w:color w:val="auto"/>
        </w:rPr>
      </w:pPr>
      <w:r w:rsidRPr="000653A9">
        <w:rPr>
          <w:noProof/>
          <w:color w:val="auto"/>
        </w:rPr>
        <w:t>The provision of free allocation limit</w:t>
      </w:r>
      <w:r w:rsidR="195B0145" w:rsidRPr="000653A9">
        <w:rPr>
          <w:noProof/>
          <w:color w:val="auto"/>
        </w:rPr>
        <w:t>s</w:t>
      </w:r>
      <w:r w:rsidRPr="000653A9">
        <w:rPr>
          <w:noProof/>
          <w:color w:val="auto"/>
        </w:rPr>
        <w:t xml:space="preserve"> </w:t>
      </w:r>
      <w:r w:rsidR="008036A7" w:rsidRPr="000653A9">
        <w:rPr>
          <w:noProof/>
          <w:color w:val="auto"/>
        </w:rPr>
        <w:t>industry’s exposure to the carbon price signal</w:t>
      </w:r>
      <w:r w:rsidR="6060B515" w:rsidRPr="000653A9">
        <w:rPr>
          <w:noProof/>
          <w:color w:val="auto"/>
        </w:rPr>
        <w:t xml:space="preserve">. </w:t>
      </w:r>
      <w:r w:rsidR="01E4C312" w:rsidRPr="000653A9">
        <w:rPr>
          <w:noProof/>
          <w:color w:val="auto"/>
        </w:rPr>
        <w:t xml:space="preserve">On the one </w:t>
      </w:r>
      <w:r w:rsidR="00F25FF9" w:rsidRPr="000653A9">
        <w:rPr>
          <w:noProof/>
          <w:color w:val="auto"/>
        </w:rPr>
        <w:t>hand, this</w:t>
      </w:r>
      <w:r w:rsidR="0FC743B9" w:rsidRPr="000653A9">
        <w:rPr>
          <w:noProof/>
          <w:color w:val="auto"/>
        </w:rPr>
        <w:t xml:space="preserve"> may</w:t>
      </w:r>
      <w:r w:rsidR="008036A7" w:rsidRPr="000653A9">
        <w:rPr>
          <w:noProof/>
          <w:color w:val="auto"/>
        </w:rPr>
        <w:t xml:space="preserve"> reduce the </w:t>
      </w:r>
      <w:r w:rsidR="0F0B7A3C" w:rsidRPr="000653A9">
        <w:rPr>
          <w:noProof/>
          <w:color w:val="auto"/>
        </w:rPr>
        <w:t xml:space="preserve">incentives </w:t>
      </w:r>
      <w:r w:rsidRPr="000653A9">
        <w:rPr>
          <w:noProof/>
          <w:color w:val="auto"/>
        </w:rPr>
        <w:t xml:space="preserve">within industry to abate their emissions. </w:t>
      </w:r>
      <w:r w:rsidR="07788A3B" w:rsidRPr="000653A9">
        <w:rPr>
          <w:noProof/>
          <w:color w:val="auto"/>
        </w:rPr>
        <w:t>T</w:t>
      </w:r>
      <w:r w:rsidRPr="000653A9">
        <w:rPr>
          <w:noProof/>
          <w:color w:val="auto"/>
        </w:rPr>
        <w:t xml:space="preserve">he historical rate of improvement in specific emissions across industry has been limited (with some notable exceptions such as the rapid </w:t>
      </w:r>
      <w:r w:rsidR="00824BAA" w:rsidRPr="000653A9">
        <w:rPr>
          <w:noProof/>
          <w:color w:val="auto"/>
        </w:rPr>
        <w:t>re</w:t>
      </w:r>
      <w:r w:rsidRPr="000653A9">
        <w:rPr>
          <w:noProof/>
          <w:color w:val="auto"/>
        </w:rPr>
        <w:t>d</w:t>
      </w:r>
      <w:r w:rsidR="00824BAA" w:rsidRPr="000653A9">
        <w:rPr>
          <w:noProof/>
          <w:color w:val="auto"/>
        </w:rPr>
        <w:t>u</w:t>
      </w:r>
      <w:r w:rsidRPr="000653A9">
        <w:rPr>
          <w:noProof/>
          <w:color w:val="auto"/>
        </w:rPr>
        <w:t>c</w:t>
      </w:r>
      <w:r w:rsidR="00824BAA" w:rsidRPr="000653A9">
        <w:rPr>
          <w:noProof/>
          <w:color w:val="auto"/>
        </w:rPr>
        <w:t>t</w:t>
      </w:r>
      <w:r w:rsidRPr="000653A9">
        <w:rPr>
          <w:noProof/>
          <w:color w:val="auto"/>
        </w:rPr>
        <w:t>i</w:t>
      </w:r>
      <w:r w:rsidR="00824BAA" w:rsidRPr="000653A9">
        <w:rPr>
          <w:noProof/>
          <w:color w:val="auto"/>
        </w:rPr>
        <w:t>o</w:t>
      </w:r>
      <w:r w:rsidRPr="000653A9">
        <w:rPr>
          <w:noProof/>
          <w:color w:val="auto"/>
        </w:rPr>
        <w:t>n in emissions f</w:t>
      </w:r>
      <w:r w:rsidR="00824BAA" w:rsidRPr="000653A9">
        <w:rPr>
          <w:noProof/>
          <w:color w:val="auto"/>
        </w:rPr>
        <w:t>rom</w:t>
      </w:r>
      <w:r w:rsidRPr="000653A9">
        <w:rPr>
          <w:noProof/>
          <w:color w:val="auto"/>
        </w:rPr>
        <w:t xml:space="preserve"> </w:t>
      </w:r>
      <w:r w:rsidR="001C5A37" w:rsidRPr="000653A9">
        <w:rPr>
          <w:noProof/>
          <w:color w:val="auto"/>
        </w:rPr>
        <w:t xml:space="preserve">nitric and </w:t>
      </w:r>
      <w:r w:rsidRPr="000653A9">
        <w:rPr>
          <w:noProof/>
          <w:color w:val="auto"/>
        </w:rPr>
        <w:t xml:space="preserve">adipic acid production over Phase III of the EU ETS). </w:t>
      </w:r>
      <w:r w:rsidR="380DD1F7" w:rsidRPr="000653A9">
        <w:rPr>
          <w:noProof/>
          <w:color w:val="auto"/>
        </w:rPr>
        <w:t>On the other hand, free allocation</w:t>
      </w:r>
      <w:r w:rsidR="006E5BE8" w:rsidRPr="000653A9">
        <w:rPr>
          <w:noProof/>
          <w:color w:val="auto"/>
        </w:rPr>
        <w:t xml:space="preserve">, </w:t>
      </w:r>
      <w:r w:rsidR="006B338A" w:rsidRPr="000653A9">
        <w:rPr>
          <w:noProof/>
          <w:color w:val="auto"/>
        </w:rPr>
        <w:t>conditioned on making investments and</w:t>
      </w:r>
      <w:r w:rsidR="380DD1F7" w:rsidRPr="000653A9">
        <w:rPr>
          <w:noProof/>
          <w:color w:val="auto"/>
        </w:rPr>
        <w:t xml:space="preserve"> combined with a long-term perspective of increas</w:t>
      </w:r>
      <w:r w:rsidR="681900E7" w:rsidRPr="000653A9">
        <w:rPr>
          <w:noProof/>
          <w:color w:val="auto"/>
        </w:rPr>
        <w:t>ing</w:t>
      </w:r>
      <w:r w:rsidR="380DD1F7" w:rsidRPr="000653A9">
        <w:rPr>
          <w:noProof/>
          <w:color w:val="auto"/>
        </w:rPr>
        <w:t xml:space="preserve"> carbon prices may act as an incentive for decarbonization investments, provi</w:t>
      </w:r>
      <w:r w:rsidR="18C5C65A" w:rsidRPr="000653A9">
        <w:rPr>
          <w:noProof/>
          <w:color w:val="auto"/>
        </w:rPr>
        <w:t>ded a broader enabling framework is in place.</w:t>
      </w:r>
    </w:p>
    <w:p w14:paraId="4B51DE61" w14:textId="397387E2" w:rsidR="00757349" w:rsidRPr="000653A9" w:rsidRDefault="00757349" w:rsidP="00757349">
      <w:pPr>
        <w:rPr>
          <w:noProof/>
          <w:color w:val="auto"/>
        </w:rPr>
      </w:pPr>
      <w:r w:rsidRPr="000653A9">
        <w:rPr>
          <w:noProof/>
          <w:color w:val="auto"/>
        </w:rPr>
        <w:t xml:space="preserve">In theory, the phasing out of free allocation over 2031-40, as considered in </w:t>
      </w:r>
      <w:r w:rsidR="005A1163" w:rsidRPr="000653A9">
        <w:rPr>
          <w:noProof/>
          <w:color w:val="auto"/>
        </w:rPr>
        <w:t>all</w:t>
      </w:r>
      <w:r w:rsidRPr="000653A9">
        <w:rPr>
          <w:noProof/>
          <w:color w:val="auto"/>
        </w:rPr>
        <w:t xml:space="preserve"> the policy measures, </w:t>
      </w:r>
      <w:r w:rsidR="1A2CDCB1" w:rsidRPr="000653A9">
        <w:rPr>
          <w:noProof/>
          <w:color w:val="auto"/>
        </w:rPr>
        <w:t>c</w:t>
      </w:r>
      <w:r w:rsidRPr="000653A9">
        <w:rPr>
          <w:noProof/>
          <w:color w:val="auto"/>
        </w:rPr>
        <w:t>ould have a positive impact on innovation and technological development by increasing the exposure of industrial producers to a</w:t>
      </w:r>
      <w:r w:rsidR="0016501C" w:rsidRPr="000653A9">
        <w:rPr>
          <w:noProof/>
          <w:color w:val="auto"/>
        </w:rPr>
        <w:t xml:space="preserve"> </w:t>
      </w:r>
      <w:r w:rsidRPr="000653A9">
        <w:rPr>
          <w:noProof/>
          <w:color w:val="auto"/>
        </w:rPr>
        <w:t xml:space="preserve">rising carbon price as the ETS cap progressively declines. Given that CL3 is associated with the lowest free allocation budget and the fastest phase out, it would rationally result in the biggest impact in terms of innovation and technological development. However, the extent to which a greater exposure to the carbon price </w:t>
      </w:r>
      <w:r w:rsidR="005A1163" w:rsidRPr="000653A9">
        <w:rPr>
          <w:noProof/>
          <w:color w:val="auto"/>
        </w:rPr>
        <w:t>because of</w:t>
      </w:r>
      <w:r w:rsidRPr="000653A9">
        <w:rPr>
          <w:noProof/>
          <w:color w:val="auto"/>
        </w:rPr>
        <w:t xml:space="preserve"> the implementation of the policy measures will drive the innovation required to decarbonise industry was frequently challenged by industrial stakeholders during the consultation process. </w:t>
      </w:r>
    </w:p>
    <w:p w14:paraId="1ECD1452" w14:textId="5610EDC8" w:rsidR="00757349" w:rsidRPr="000653A9" w:rsidRDefault="00DD072E" w:rsidP="00757349">
      <w:pPr>
        <w:rPr>
          <w:noProof/>
          <w:color w:val="auto"/>
        </w:rPr>
      </w:pPr>
      <w:r w:rsidRPr="000653A9">
        <w:rPr>
          <w:noProof/>
          <w:color w:val="auto"/>
        </w:rPr>
        <w:t>R</w:t>
      </w:r>
      <w:r w:rsidR="00757349" w:rsidRPr="000653A9">
        <w:rPr>
          <w:noProof/>
          <w:color w:val="auto"/>
        </w:rPr>
        <w:t xml:space="preserve">epresentatives from industry were unanimous in arguing that carbon pricing alone </w:t>
      </w:r>
      <w:r w:rsidR="00E43313" w:rsidRPr="000653A9">
        <w:rPr>
          <w:noProof/>
          <w:color w:val="auto"/>
        </w:rPr>
        <w:t>(i.e. without</w:t>
      </w:r>
      <w:r w:rsidR="0007485A" w:rsidRPr="000653A9">
        <w:rPr>
          <w:noProof/>
          <w:color w:val="auto"/>
        </w:rPr>
        <w:t xml:space="preserve"> revenue</w:t>
      </w:r>
      <w:r w:rsidR="00E43313" w:rsidRPr="000653A9">
        <w:rPr>
          <w:noProof/>
          <w:color w:val="auto"/>
        </w:rPr>
        <w:t xml:space="preserve"> recycling) </w:t>
      </w:r>
      <w:r w:rsidR="00757349" w:rsidRPr="000653A9">
        <w:rPr>
          <w:noProof/>
          <w:color w:val="auto"/>
        </w:rPr>
        <w:t>was insufficient to bring about the change required to decarbonise production processes unless the price was at exceedingly high levels that, very likely, would bring into question the ability of the consumer to pay for more expensive low-carbon products. It was also suggested that</w:t>
      </w:r>
      <w:r w:rsidR="00E43313" w:rsidRPr="000653A9">
        <w:rPr>
          <w:noProof/>
          <w:color w:val="auto"/>
        </w:rPr>
        <w:t>,</w:t>
      </w:r>
      <w:r w:rsidR="00757349" w:rsidRPr="000653A9">
        <w:rPr>
          <w:noProof/>
          <w:color w:val="auto"/>
        </w:rPr>
        <w:t xml:space="preserve"> in certain industries, the </w:t>
      </w:r>
      <w:r w:rsidR="000E7274" w:rsidRPr="000653A9">
        <w:rPr>
          <w:noProof/>
          <w:color w:val="auto"/>
        </w:rPr>
        <w:t xml:space="preserve">necessary </w:t>
      </w:r>
      <w:r w:rsidR="00757349" w:rsidRPr="000653A9">
        <w:rPr>
          <w:noProof/>
          <w:color w:val="auto"/>
        </w:rPr>
        <w:t xml:space="preserve">technological innovations </w:t>
      </w:r>
      <w:r w:rsidR="000E7274" w:rsidRPr="000653A9">
        <w:rPr>
          <w:noProof/>
          <w:color w:val="auto"/>
        </w:rPr>
        <w:t>are not yet available commercially at scale and at a competitive price. E</w:t>
      </w:r>
      <w:r w:rsidR="00757349" w:rsidRPr="000653A9">
        <w:rPr>
          <w:noProof/>
          <w:color w:val="auto"/>
        </w:rPr>
        <w:t xml:space="preserve">fforts to reduce the emission intensity </w:t>
      </w:r>
      <w:r w:rsidR="000E7274" w:rsidRPr="000653A9">
        <w:rPr>
          <w:noProof/>
          <w:color w:val="auto"/>
        </w:rPr>
        <w:t>could</w:t>
      </w:r>
      <w:r w:rsidR="00757349" w:rsidRPr="000653A9">
        <w:rPr>
          <w:noProof/>
          <w:color w:val="auto"/>
        </w:rPr>
        <w:t xml:space="preserve"> have a negative impact on the quality of their products that would not be an acceptable trade off with the standards required by their end consumers. This often leaves industrial producers with uncertainty over whether to invest in sub-optimal solutions now or to wait for technological breakthroughs later. The timing of such innovative breakthroughs will be influenced and most likely occur sooner by an accelerated phase out of free allocation, but industry also argued strongly that the levels of financial support was considerably lower than the financial support given to the power sector and that current complementary policies</w:t>
      </w:r>
      <w:r w:rsidR="007D75DC" w:rsidRPr="000653A9">
        <w:rPr>
          <w:noProof/>
          <w:color w:val="auto"/>
        </w:rPr>
        <w:t>,</w:t>
      </w:r>
      <w:r w:rsidR="00757349" w:rsidRPr="000653A9">
        <w:rPr>
          <w:noProof/>
          <w:color w:val="auto"/>
        </w:rPr>
        <w:t xml:space="preserve"> such as the </w:t>
      </w:r>
      <w:r w:rsidR="00E43313" w:rsidRPr="000653A9">
        <w:rPr>
          <w:noProof/>
          <w:color w:val="auto"/>
        </w:rPr>
        <w:t xml:space="preserve">ETS’s </w:t>
      </w:r>
      <w:r w:rsidR="00757349" w:rsidRPr="000653A9">
        <w:rPr>
          <w:noProof/>
          <w:color w:val="auto"/>
        </w:rPr>
        <w:t xml:space="preserve">Innovation Fund are not </w:t>
      </w:r>
      <w:r w:rsidR="00E43313" w:rsidRPr="000653A9">
        <w:rPr>
          <w:noProof/>
          <w:color w:val="auto"/>
        </w:rPr>
        <w:t xml:space="preserve">currently </w:t>
      </w:r>
      <w:r w:rsidR="00757349" w:rsidRPr="000653A9">
        <w:rPr>
          <w:noProof/>
          <w:color w:val="auto"/>
        </w:rPr>
        <w:t>at the scale required to finance the investments identified by the industrial roadmaps outlining what is technologically feasible regarding decarbonisation efforts.</w:t>
      </w:r>
      <w:r w:rsidR="001416DE" w:rsidRPr="000653A9">
        <w:rPr>
          <w:noProof/>
          <w:color w:val="auto"/>
        </w:rPr>
        <w:t xml:space="preserve"> </w:t>
      </w:r>
    </w:p>
    <w:p w14:paraId="04C3C4B8" w14:textId="26544A5A" w:rsidR="006B1B41" w:rsidRPr="000653A9" w:rsidRDefault="006B1B41" w:rsidP="001100D1">
      <w:pPr>
        <w:rPr>
          <w:rFonts w:eastAsia="Times New Roman"/>
          <w:noProof/>
        </w:rPr>
      </w:pPr>
      <w:r w:rsidRPr="000653A9">
        <w:rPr>
          <w:rFonts w:eastAsia="Times New Roman"/>
          <w:noProof/>
        </w:rPr>
        <w:t>This is why the Clean Industrial Deal Communication announced the Industrial Decarbonisation Bank (IDB) to address the scale-up and roll-out of more mature industrial decarbonisation projects (</w:t>
      </w:r>
      <w:r w:rsidRPr="001100D1">
        <w:rPr>
          <w:noProof/>
          <w:color w:val="auto"/>
        </w:rPr>
        <w:t>notably</w:t>
      </w:r>
      <w:r w:rsidRPr="000653A9">
        <w:rPr>
          <w:rFonts w:eastAsia="Times New Roman"/>
          <w:noProof/>
        </w:rPr>
        <w:t xml:space="preserve"> in EIIs) across all MS to be funded by a dedicated part of ETS resources. With the Bank focussing </w:t>
      </w:r>
      <w:r w:rsidR="00356009" w:rsidRPr="000653A9">
        <w:rPr>
          <w:rFonts w:eastAsia="Times New Roman"/>
          <w:noProof/>
        </w:rPr>
        <w:t>on scale</w:t>
      </w:r>
      <w:r w:rsidRPr="000653A9">
        <w:rPr>
          <w:rFonts w:eastAsia="Times New Roman"/>
          <w:noProof/>
        </w:rPr>
        <w:t xml:space="preserve">-up and roll-out, there is also need for continuation of the Innovation Fund (IF) (also funded by part of ETS resources) to continue supporting innovative and first of a </w:t>
      </w:r>
      <w:r w:rsidR="0095649B" w:rsidRPr="000653A9">
        <w:rPr>
          <w:rFonts w:eastAsia="Times New Roman"/>
          <w:noProof/>
        </w:rPr>
        <w:t>kind technology</w:t>
      </w:r>
      <w:r w:rsidRPr="000653A9">
        <w:rPr>
          <w:rFonts w:eastAsia="Times New Roman"/>
          <w:noProof/>
        </w:rPr>
        <w:t xml:space="preserve"> that can address </w:t>
      </w:r>
      <w:r w:rsidR="00FA563B" w:rsidRPr="000653A9">
        <w:rPr>
          <w:rFonts w:eastAsia="Times New Roman"/>
          <w:noProof/>
        </w:rPr>
        <w:t xml:space="preserve">difficult to decarbonise </w:t>
      </w:r>
      <w:r w:rsidRPr="000653A9">
        <w:rPr>
          <w:rFonts w:eastAsia="Times New Roman"/>
          <w:noProof/>
        </w:rPr>
        <w:t xml:space="preserve">sectors. The contribution of IDB and IF to support investments in decarbonisation and thus complementing the measures for carbon leakage protection are analysed in Annex </w:t>
      </w:r>
      <w:r w:rsidR="00CE3527" w:rsidRPr="000653A9">
        <w:rPr>
          <w:rFonts w:eastAsia="Times New Roman"/>
          <w:noProof/>
        </w:rPr>
        <w:t>9</w:t>
      </w:r>
      <w:r w:rsidR="009E3C28" w:rsidRPr="000653A9">
        <w:rPr>
          <w:rFonts w:eastAsia="Times New Roman"/>
          <w:noProof/>
        </w:rPr>
        <w:t>.</w:t>
      </w:r>
    </w:p>
    <w:p w14:paraId="655E7153" w14:textId="1312BC31" w:rsidR="006B1B41" w:rsidRPr="000653A9" w:rsidRDefault="006B1B41" w:rsidP="001100D1">
      <w:pPr>
        <w:rPr>
          <w:rFonts w:eastAsia="Times New Roman"/>
          <w:noProof/>
        </w:rPr>
      </w:pPr>
      <w:r w:rsidRPr="000653A9">
        <w:rPr>
          <w:rFonts w:eastAsia="Times New Roman"/>
          <w:noProof/>
        </w:rPr>
        <w:t xml:space="preserve">The </w:t>
      </w:r>
      <w:r w:rsidR="00D55E74" w:rsidRPr="000653A9">
        <w:rPr>
          <w:rFonts w:eastAsia="Times New Roman"/>
          <w:noProof/>
        </w:rPr>
        <w:t>EU ETS</w:t>
      </w:r>
      <w:r w:rsidRPr="000653A9">
        <w:rPr>
          <w:rFonts w:eastAsia="Times New Roman"/>
          <w:noProof/>
        </w:rPr>
        <w:t xml:space="preserve"> will thus complement and support the objectives of the Clean Industrial Deal by providing a clear and predictable carbon price, incentivising investment in decarbonisation solutions and funding the investments which still lack the business case or where decarbonisation </w:t>
      </w:r>
      <w:r w:rsidRPr="001100D1">
        <w:rPr>
          <w:noProof/>
          <w:color w:val="auto"/>
        </w:rPr>
        <w:t>solutions</w:t>
      </w:r>
      <w:r w:rsidRPr="000653A9">
        <w:rPr>
          <w:rFonts w:eastAsia="Times New Roman"/>
          <w:noProof/>
        </w:rPr>
        <w:t xml:space="preserve"> have yet to be demonstrated, while continuing to provide carbon-leakage protection and financial support from the auction revenues with more than </w:t>
      </w:r>
      <w:r>
        <w:rPr>
          <w:rFonts w:eastAsia="Times New Roman"/>
          <w:noProof/>
        </w:rPr>
        <w:t xml:space="preserve">EUR </w:t>
      </w:r>
      <w:r w:rsidRPr="000653A9">
        <w:rPr>
          <w:rFonts w:eastAsia="Times New Roman"/>
          <w:noProof/>
        </w:rPr>
        <w:t xml:space="preserve">250 billion generated since the start of the system. </w:t>
      </w:r>
    </w:p>
    <w:p w14:paraId="1E088A5F" w14:textId="77777777" w:rsidR="00DC63F8" w:rsidRPr="000653A9" w:rsidRDefault="00DC63F8" w:rsidP="00794BC8">
      <w:pPr>
        <w:pStyle w:val="Heading5COM"/>
        <w:outlineLvl w:val="5"/>
        <w:rPr>
          <w:noProof/>
        </w:rPr>
      </w:pPr>
      <w:bookmarkStart w:id="431" w:name="_Toc219902759"/>
      <w:bookmarkStart w:id="432" w:name="_Toc212049713"/>
      <w:bookmarkStart w:id="433" w:name="_Toc230857916"/>
      <w:bookmarkStart w:id="434" w:name="_Toc232751107"/>
      <w:bookmarkEnd w:id="431"/>
      <w:r w:rsidRPr="000653A9">
        <w:rPr>
          <w:noProof/>
        </w:rPr>
        <w:t>Carbon leakage prevention measures for indirect emissions</w:t>
      </w:r>
      <w:bookmarkEnd w:id="432"/>
      <w:bookmarkEnd w:id="433"/>
      <w:bookmarkEnd w:id="434"/>
    </w:p>
    <w:p w14:paraId="2A42C315" w14:textId="4D741D95" w:rsidR="00583C5F" w:rsidRPr="000653A9" w:rsidRDefault="002753B3" w:rsidP="001100D1">
      <w:pPr>
        <w:rPr>
          <w:noProof/>
          <w:color w:val="auto"/>
        </w:rPr>
      </w:pPr>
      <w:r w:rsidRPr="000653A9">
        <w:rPr>
          <w:noProof/>
          <w:color w:val="auto"/>
        </w:rPr>
        <w:t>For several industrial sectors, e</w:t>
      </w:r>
      <w:r w:rsidR="00583C5F" w:rsidRPr="000653A9">
        <w:rPr>
          <w:noProof/>
          <w:color w:val="auto"/>
        </w:rPr>
        <w:t xml:space="preserve">lectrification is crucial to </w:t>
      </w:r>
      <w:r w:rsidRPr="000653A9">
        <w:rPr>
          <w:noProof/>
          <w:color w:val="auto"/>
        </w:rPr>
        <w:t>decar</w:t>
      </w:r>
      <w:r w:rsidR="00110D3E" w:rsidRPr="000653A9">
        <w:rPr>
          <w:noProof/>
          <w:color w:val="auto"/>
        </w:rPr>
        <w:t xml:space="preserve">bonise. Indirect cost compensation stimulates electrification (and hence technological development) </w:t>
      </w:r>
      <w:r w:rsidR="00E01D6B" w:rsidRPr="000653A9">
        <w:rPr>
          <w:noProof/>
          <w:color w:val="auto"/>
        </w:rPr>
        <w:t>as do</w:t>
      </w:r>
      <w:r w:rsidR="00110D3E" w:rsidRPr="000653A9">
        <w:rPr>
          <w:noProof/>
          <w:color w:val="auto"/>
        </w:rPr>
        <w:t xml:space="preserve"> the incentive</w:t>
      </w:r>
      <w:r w:rsidR="00E01D6B" w:rsidRPr="000653A9">
        <w:rPr>
          <w:noProof/>
          <w:color w:val="auto"/>
        </w:rPr>
        <w:t>s</w:t>
      </w:r>
      <w:r w:rsidR="00110D3E" w:rsidRPr="000653A9">
        <w:rPr>
          <w:noProof/>
          <w:color w:val="auto"/>
        </w:rPr>
        <w:t xml:space="preserve"> to electrify </w:t>
      </w:r>
      <w:r w:rsidR="00E01D6B" w:rsidRPr="000653A9">
        <w:rPr>
          <w:noProof/>
          <w:color w:val="auto"/>
        </w:rPr>
        <w:t>from the new approach to</w:t>
      </w:r>
      <w:r w:rsidR="00110D3E" w:rsidRPr="000653A9">
        <w:rPr>
          <w:noProof/>
          <w:color w:val="auto"/>
        </w:rPr>
        <w:t xml:space="preserve"> free allocation</w:t>
      </w:r>
      <w:r w:rsidR="00752B98" w:rsidRPr="000653A9">
        <w:rPr>
          <w:noProof/>
          <w:color w:val="auto"/>
        </w:rPr>
        <w:t xml:space="preserve"> </w:t>
      </w:r>
      <w:r w:rsidR="00C27222" w:rsidRPr="000653A9">
        <w:rPr>
          <w:noProof/>
          <w:color w:val="auto"/>
        </w:rPr>
        <w:t xml:space="preserve">(the removal of the exchangeability factor provides free </w:t>
      </w:r>
      <w:r w:rsidR="00C27222" w:rsidRPr="001100D1">
        <w:rPr>
          <w:rFonts w:eastAsia="Times New Roman"/>
          <w:noProof/>
        </w:rPr>
        <w:t>allocation</w:t>
      </w:r>
      <w:r w:rsidR="00C27222" w:rsidRPr="000653A9">
        <w:rPr>
          <w:noProof/>
          <w:color w:val="auto"/>
        </w:rPr>
        <w:t xml:space="preserve"> for </w:t>
      </w:r>
      <w:r w:rsidR="00C5089B" w:rsidRPr="000653A9">
        <w:rPr>
          <w:noProof/>
          <w:color w:val="auto"/>
        </w:rPr>
        <w:t>electrified processes</w:t>
      </w:r>
      <w:r w:rsidR="00B87CFA" w:rsidRPr="000653A9">
        <w:rPr>
          <w:noProof/>
          <w:color w:val="auto"/>
        </w:rPr>
        <w:t xml:space="preserve"> under 14 of the ETS benchmarks</w:t>
      </w:r>
      <w:r w:rsidR="00C5089B" w:rsidRPr="000653A9">
        <w:rPr>
          <w:rStyle w:val="FootnoteReference"/>
          <w:noProof/>
          <w:color w:val="auto"/>
        </w:rPr>
        <w:footnoteReference w:id="29"/>
      </w:r>
      <w:r w:rsidR="00C5089B" w:rsidRPr="000653A9">
        <w:rPr>
          <w:noProof/>
          <w:color w:val="auto"/>
        </w:rPr>
        <w:t>)</w:t>
      </w:r>
      <w:r w:rsidR="00110D3E" w:rsidRPr="000653A9">
        <w:rPr>
          <w:noProof/>
          <w:color w:val="auto"/>
        </w:rPr>
        <w:t xml:space="preserve">. Without ICC, companies with direct emissions </w:t>
      </w:r>
      <w:r w:rsidR="00231D14" w:rsidRPr="000653A9">
        <w:rPr>
          <w:noProof/>
          <w:color w:val="auto"/>
        </w:rPr>
        <w:t xml:space="preserve">may prefer to continue </w:t>
      </w:r>
      <w:r w:rsidR="00320E22" w:rsidRPr="000653A9">
        <w:rPr>
          <w:noProof/>
          <w:color w:val="auto"/>
        </w:rPr>
        <w:t xml:space="preserve">receiving free </w:t>
      </w:r>
      <w:r w:rsidR="00320E22" w:rsidRPr="000653A9">
        <w:rPr>
          <w:rFonts w:eastAsia="Times New Roman"/>
          <w:noProof/>
        </w:rPr>
        <w:t>allocation</w:t>
      </w:r>
      <w:r w:rsidR="00320E22" w:rsidRPr="000653A9">
        <w:rPr>
          <w:noProof/>
          <w:color w:val="auto"/>
        </w:rPr>
        <w:t xml:space="preserve"> for direct emissions rather than electrifying and </w:t>
      </w:r>
      <w:r w:rsidR="00970FA2" w:rsidRPr="000653A9">
        <w:rPr>
          <w:noProof/>
          <w:color w:val="auto"/>
        </w:rPr>
        <w:t>h</w:t>
      </w:r>
      <w:r w:rsidR="00320E22" w:rsidRPr="000653A9">
        <w:rPr>
          <w:noProof/>
          <w:color w:val="auto"/>
        </w:rPr>
        <w:t>a</w:t>
      </w:r>
      <w:r w:rsidR="00970FA2" w:rsidRPr="000653A9">
        <w:rPr>
          <w:noProof/>
          <w:color w:val="auto"/>
        </w:rPr>
        <w:t>v</w:t>
      </w:r>
      <w:r w:rsidR="00320E22" w:rsidRPr="000653A9">
        <w:rPr>
          <w:noProof/>
          <w:color w:val="auto"/>
        </w:rPr>
        <w:t xml:space="preserve">ing </w:t>
      </w:r>
      <w:r w:rsidR="00A10079" w:rsidRPr="000653A9">
        <w:rPr>
          <w:noProof/>
          <w:color w:val="auto"/>
        </w:rPr>
        <w:t>indirect carbon cost</w:t>
      </w:r>
      <w:r w:rsidR="00970FA2" w:rsidRPr="000653A9">
        <w:rPr>
          <w:noProof/>
          <w:color w:val="auto"/>
        </w:rPr>
        <w:t>s</w:t>
      </w:r>
      <w:r w:rsidR="00A10079" w:rsidRPr="000653A9">
        <w:rPr>
          <w:noProof/>
          <w:color w:val="auto"/>
        </w:rPr>
        <w:t xml:space="preserve"> through their electricity bill</w:t>
      </w:r>
      <w:r w:rsidR="00504FED" w:rsidRPr="000653A9">
        <w:rPr>
          <w:noProof/>
          <w:color w:val="auto"/>
        </w:rPr>
        <w:t xml:space="preserve"> </w:t>
      </w:r>
      <w:r w:rsidR="0056491E" w:rsidRPr="000653A9">
        <w:rPr>
          <w:noProof/>
          <w:color w:val="auto"/>
        </w:rPr>
        <w:t>(</w:t>
      </w:r>
      <w:r w:rsidR="00E07BF2" w:rsidRPr="000653A9">
        <w:rPr>
          <w:noProof/>
          <w:color w:val="auto"/>
        </w:rPr>
        <w:t>in addition to</w:t>
      </w:r>
      <w:r w:rsidR="00A576DD" w:rsidRPr="000653A9">
        <w:rPr>
          <w:noProof/>
          <w:color w:val="auto"/>
        </w:rPr>
        <w:t xml:space="preserve"> </w:t>
      </w:r>
      <w:r w:rsidR="009D28A6" w:rsidRPr="000653A9">
        <w:rPr>
          <w:noProof/>
          <w:color w:val="auto"/>
        </w:rPr>
        <w:t xml:space="preserve">other drivers of </w:t>
      </w:r>
      <w:r w:rsidR="006C3B74" w:rsidRPr="000653A9">
        <w:rPr>
          <w:noProof/>
          <w:color w:val="auto"/>
        </w:rPr>
        <w:t>the cost differen</w:t>
      </w:r>
      <w:r w:rsidR="005B5311" w:rsidRPr="000653A9">
        <w:rPr>
          <w:noProof/>
          <w:color w:val="auto"/>
        </w:rPr>
        <w:t>ces between electrified and non-electrified process</w:t>
      </w:r>
      <w:r w:rsidR="009F7A38" w:rsidRPr="000653A9">
        <w:rPr>
          <w:noProof/>
          <w:color w:val="auto"/>
        </w:rPr>
        <w:t>es</w:t>
      </w:r>
      <w:r w:rsidR="00E07BF2" w:rsidRPr="000653A9">
        <w:rPr>
          <w:noProof/>
          <w:color w:val="auto"/>
        </w:rPr>
        <w:t>)</w:t>
      </w:r>
      <w:r w:rsidR="00A10079" w:rsidRPr="000653A9">
        <w:rPr>
          <w:noProof/>
          <w:color w:val="auto"/>
        </w:rPr>
        <w:t xml:space="preserve">. </w:t>
      </w:r>
    </w:p>
    <w:p w14:paraId="17E002C5" w14:textId="3697667F" w:rsidR="004919CD" w:rsidRPr="00FA72A3" w:rsidRDefault="005A1163" w:rsidP="001100D1">
      <w:pPr>
        <w:rPr>
          <w:noProof/>
          <w:color w:val="auto"/>
        </w:rPr>
      </w:pPr>
      <w:r w:rsidRPr="00FA72A3">
        <w:rPr>
          <w:noProof/>
          <w:color w:val="auto"/>
        </w:rPr>
        <w:t>Regarding</w:t>
      </w:r>
      <w:r>
        <w:rPr>
          <w:noProof/>
          <w:color w:val="auto"/>
        </w:rPr>
        <w:t xml:space="preserve"> </w:t>
      </w:r>
      <w:r w:rsidR="00A10079" w:rsidRPr="00FA72A3">
        <w:rPr>
          <w:noProof/>
          <w:color w:val="auto"/>
        </w:rPr>
        <w:t>technological improvements in the electricity sector,</w:t>
      </w:r>
      <w:r>
        <w:rPr>
          <w:noProof/>
          <w:color w:val="auto"/>
        </w:rPr>
        <w:t xml:space="preserve"> </w:t>
      </w:r>
      <w:r w:rsidR="004919CD" w:rsidRPr="00FA72A3">
        <w:rPr>
          <w:noProof/>
          <w:color w:val="auto"/>
        </w:rPr>
        <w:t>the carbon content of electricity is</w:t>
      </w:r>
      <w:r>
        <w:rPr>
          <w:noProof/>
          <w:color w:val="auto"/>
        </w:rPr>
        <w:t xml:space="preserve"> </w:t>
      </w:r>
      <w:r w:rsidR="0082763D" w:rsidRPr="00FA72A3">
        <w:rPr>
          <w:noProof/>
          <w:color w:val="auto"/>
        </w:rPr>
        <w:t>often outside</w:t>
      </w:r>
      <w:r>
        <w:rPr>
          <w:noProof/>
          <w:color w:val="auto"/>
        </w:rPr>
        <w:t xml:space="preserve"> </w:t>
      </w:r>
      <w:r w:rsidR="004919CD" w:rsidRPr="00FA72A3">
        <w:rPr>
          <w:noProof/>
          <w:color w:val="auto"/>
        </w:rPr>
        <w:t>the control of ETS operators</w:t>
      </w:r>
      <w:r w:rsidR="006F154E" w:rsidRPr="00FA72A3">
        <w:rPr>
          <w:noProof/>
          <w:color w:val="auto"/>
        </w:rPr>
        <w:t>.</w:t>
      </w:r>
      <w:r>
        <w:rPr>
          <w:noProof/>
          <w:color w:val="auto"/>
        </w:rPr>
        <w:t xml:space="preserve"> </w:t>
      </w:r>
      <w:r w:rsidR="00CC2FE8" w:rsidRPr="00FA72A3">
        <w:rPr>
          <w:noProof/>
          <w:color w:val="auto"/>
        </w:rPr>
        <w:t>However,</w:t>
      </w:r>
      <w:r>
        <w:rPr>
          <w:noProof/>
          <w:color w:val="auto"/>
        </w:rPr>
        <w:t xml:space="preserve"> </w:t>
      </w:r>
      <w:r w:rsidR="00DE72EC" w:rsidRPr="00FA72A3">
        <w:rPr>
          <w:noProof/>
          <w:color w:val="auto"/>
        </w:rPr>
        <w:t>operators can reduce it</w:t>
      </w:r>
      <w:r>
        <w:rPr>
          <w:noProof/>
          <w:color w:val="auto"/>
        </w:rPr>
        <w:t xml:space="preserve"> </w:t>
      </w:r>
      <w:r w:rsidR="00476159" w:rsidRPr="00FA72A3">
        <w:rPr>
          <w:noProof/>
          <w:color w:val="auto"/>
        </w:rPr>
        <w:t>(and therefore reduce their exposure to indirect carbon costs) through</w:t>
      </w:r>
      <w:r>
        <w:rPr>
          <w:noProof/>
          <w:color w:val="auto"/>
        </w:rPr>
        <w:t xml:space="preserve"> </w:t>
      </w:r>
      <w:r w:rsidR="00475140" w:rsidRPr="00FA72A3">
        <w:rPr>
          <w:noProof/>
          <w:color w:val="auto"/>
        </w:rPr>
        <w:t>investments in energy efficiency or other forms of emissions reduction</w:t>
      </w:r>
      <w:r w:rsidR="00312232" w:rsidRPr="00FA72A3">
        <w:rPr>
          <w:noProof/>
          <w:color w:val="auto"/>
        </w:rPr>
        <w:t>, including flexibility</w:t>
      </w:r>
      <w:r>
        <w:rPr>
          <w:noProof/>
          <w:color w:val="auto"/>
        </w:rPr>
        <w:t xml:space="preserve"> </w:t>
      </w:r>
      <w:r w:rsidR="00F87D68" w:rsidRPr="00FA72A3">
        <w:rPr>
          <w:noProof/>
          <w:color w:val="auto"/>
        </w:rPr>
        <w:t>(</w:t>
      </w:r>
      <w:r w:rsidR="00312232" w:rsidRPr="00FA72A3">
        <w:rPr>
          <w:noProof/>
          <w:color w:val="auto"/>
        </w:rPr>
        <w:t>which may trigger additional</w:t>
      </w:r>
      <w:r>
        <w:rPr>
          <w:noProof/>
          <w:color w:val="auto"/>
        </w:rPr>
        <w:t xml:space="preserve"> </w:t>
      </w:r>
      <w:r w:rsidR="00312232" w:rsidRPr="00FA72A3">
        <w:rPr>
          <w:noProof/>
          <w:color w:val="auto"/>
        </w:rPr>
        <w:t>demand for batteries and D</w:t>
      </w:r>
      <w:r w:rsidR="009649F6" w:rsidRPr="00FA72A3">
        <w:rPr>
          <w:noProof/>
          <w:color w:val="auto"/>
        </w:rPr>
        <w:t>emand</w:t>
      </w:r>
      <w:r w:rsidR="004D66B2" w:rsidRPr="00FA72A3">
        <w:rPr>
          <w:noProof/>
          <w:color w:val="auto"/>
        </w:rPr>
        <w:t>-</w:t>
      </w:r>
      <w:r w:rsidR="00312232" w:rsidRPr="00FA72A3">
        <w:rPr>
          <w:noProof/>
          <w:color w:val="auto"/>
        </w:rPr>
        <w:t>S</w:t>
      </w:r>
      <w:r w:rsidR="009649F6" w:rsidRPr="00FA72A3">
        <w:rPr>
          <w:noProof/>
          <w:color w:val="auto"/>
        </w:rPr>
        <w:t>ide</w:t>
      </w:r>
      <w:r>
        <w:rPr>
          <w:noProof/>
          <w:color w:val="auto"/>
        </w:rPr>
        <w:t xml:space="preserve"> </w:t>
      </w:r>
      <w:r w:rsidR="00312232" w:rsidRPr="00FA72A3">
        <w:rPr>
          <w:noProof/>
          <w:color w:val="auto"/>
        </w:rPr>
        <w:t>R</w:t>
      </w:r>
      <w:r w:rsidR="009649F6" w:rsidRPr="00FA72A3">
        <w:rPr>
          <w:noProof/>
          <w:color w:val="auto"/>
        </w:rPr>
        <w:t>esponse</w:t>
      </w:r>
      <w:r>
        <w:rPr>
          <w:noProof/>
          <w:color w:val="auto"/>
        </w:rPr>
        <w:t xml:space="preserve"> </w:t>
      </w:r>
      <w:r w:rsidR="00312232" w:rsidRPr="00FA72A3">
        <w:rPr>
          <w:noProof/>
          <w:color w:val="auto"/>
        </w:rPr>
        <w:t>technologies</w:t>
      </w:r>
      <w:r w:rsidR="00F87D68" w:rsidRPr="00FA72A3">
        <w:rPr>
          <w:noProof/>
          <w:color w:val="auto"/>
        </w:rPr>
        <w:t>) and use of</w:t>
      </w:r>
      <w:r>
        <w:rPr>
          <w:noProof/>
          <w:color w:val="auto"/>
        </w:rPr>
        <w:t xml:space="preserve"> </w:t>
      </w:r>
      <w:r w:rsidR="00A10079" w:rsidRPr="00FA72A3">
        <w:rPr>
          <w:noProof/>
          <w:color w:val="auto"/>
        </w:rPr>
        <w:t>renewables PPAs</w:t>
      </w:r>
      <w:r w:rsidR="00D00DE5" w:rsidRPr="00FA72A3">
        <w:rPr>
          <w:noProof/>
          <w:color w:val="auto"/>
        </w:rPr>
        <w:t>.</w:t>
      </w:r>
    </w:p>
    <w:p w14:paraId="4BC6EBAF" w14:textId="77777777" w:rsidR="00DC63F8" w:rsidRPr="000653A9" w:rsidRDefault="00DC63F8" w:rsidP="00794BC8">
      <w:pPr>
        <w:pStyle w:val="Heading4COM"/>
        <w:outlineLvl w:val="4"/>
        <w:rPr>
          <w:noProof/>
        </w:rPr>
      </w:pPr>
      <w:bookmarkStart w:id="435" w:name="_Toc212049714"/>
      <w:bookmarkStart w:id="436" w:name="_Toc230857917"/>
      <w:bookmarkStart w:id="437" w:name="_Toc232751108"/>
      <w:r w:rsidRPr="000653A9">
        <w:rPr>
          <w:noProof/>
        </w:rPr>
        <w:t>Public authorities</w:t>
      </w:r>
      <w:bookmarkEnd w:id="435"/>
      <w:bookmarkEnd w:id="436"/>
      <w:bookmarkEnd w:id="437"/>
    </w:p>
    <w:p w14:paraId="6278331D" w14:textId="2C7D92B3" w:rsidR="00532330" w:rsidRPr="000653A9" w:rsidRDefault="00DC63F8" w:rsidP="00794BC8">
      <w:pPr>
        <w:pStyle w:val="Heading5COM"/>
        <w:outlineLvl w:val="5"/>
        <w:rPr>
          <w:noProof/>
        </w:rPr>
      </w:pPr>
      <w:bookmarkStart w:id="438" w:name="_Toc212049715"/>
      <w:bookmarkStart w:id="439" w:name="_Toc230857918"/>
      <w:bookmarkStart w:id="440" w:name="_Toc232751109"/>
      <w:r w:rsidRPr="000653A9">
        <w:rPr>
          <w:noProof/>
        </w:rPr>
        <w:t>Carbon leakage prevention measures for direct emissions</w:t>
      </w:r>
      <w:bookmarkEnd w:id="438"/>
      <w:bookmarkEnd w:id="439"/>
      <w:bookmarkEnd w:id="440"/>
    </w:p>
    <w:p w14:paraId="63E2FC75" w14:textId="77777777" w:rsidR="005E3D96" w:rsidRPr="000653A9" w:rsidRDefault="005E3D96" w:rsidP="005E3D96">
      <w:pPr>
        <w:rPr>
          <w:noProof/>
        </w:rPr>
      </w:pPr>
      <w:r w:rsidRPr="000653A9">
        <w:rPr>
          <w:noProof/>
        </w:rPr>
        <w:t xml:space="preserve">The simplification measures included in all the policy measures on carbon leakage protection will reduce administrative </w:t>
      </w:r>
      <w:r w:rsidRPr="001100D1">
        <w:rPr>
          <w:rFonts w:eastAsia="Times New Roman"/>
          <w:noProof/>
        </w:rPr>
        <w:t>burden</w:t>
      </w:r>
      <w:r w:rsidRPr="000653A9">
        <w:rPr>
          <w:noProof/>
        </w:rPr>
        <w:t xml:space="preserve"> also for public authorities, in particular for ETS Competent Authorities. </w:t>
      </w:r>
    </w:p>
    <w:p w14:paraId="59FFF022" w14:textId="65767143" w:rsidR="00EA3BC0" w:rsidRPr="000653A9" w:rsidRDefault="00EA3BC0" w:rsidP="001100D1">
      <w:pPr>
        <w:rPr>
          <w:noProof/>
          <w:color w:val="auto"/>
          <w:lang w:eastAsia="en-GB"/>
        </w:rPr>
      </w:pPr>
      <w:r w:rsidRPr="000653A9">
        <w:rPr>
          <w:noProof/>
          <w:color w:val="auto"/>
          <w:lang w:eastAsia="en-GB"/>
        </w:rPr>
        <w:t xml:space="preserve">The policy measures have budgetary consequences for public authorities as the phase out of free allocation results in </w:t>
      </w:r>
      <w:r w:rsidR="00FC314D" w:rsidRPr="000653A9">
        <w:rPr>
          <w:noProof/>
          <w:color w:val="auto"/>
          <w:lang w:eastAsia="en-GB"/>
        </w:rPr>
        <w:t xml:space="preserve">an increase of </w:t>
      </w:r>
      <w:r w:rsidRPr="000653A9">
        <w:rPr>
          <w:noProof/>
          <w:color w:val="auto"/>
          <w:lang w:eastAsia="en-GB"/>
        </w:rPr>
        <w:t xml:space="preserve">the share of the total allowances under the cap to be </w:t>
      </w:r>
      <w:r w:rsidR="00590A1D" w:rsidRPr="000653A9">
        <w:rPr>
          <w:noProof/>
          <w:color w:val="auto"/>
          <w:lang w:eastAsia="en-GB"/>
        </w:rPr>
        <w:t xml:space="preserve">used for decarbonisation and, if </w:t>
      </w:r>
      <w:r w:rsidRPr="000653A9">
        <w:rPr>
          <w:noProof/>
          <w:color w:val="auto"/>
          <w:lang w:eastAsia="en-GB"/>
        </w:rPr>
        <w:t xml:space="preserve">auctioned, this generates revenues for national governments. At the same time, the decrease of the cap acts in a counterbalancing </w:t>
      </w:r>
      <w:r w:rsidRPr="000653A9">
        <w:rPr>
          <w:noProof/>
          <w:color w:val="auto"/>
        </w:rPr>
        <w:t>manner</w:t>
      </w:r>
      <w:r w:rsidRPr="000653A9">
        <w:rPr>
          <w:noProof/>
          <w:color w:val="auto"/>
          <w:lang w:eastAsia="en-GB"/>
        </w:rPr>
        <w:t xml:space="preserve"> when compared to the baseline scenario.  </w:t>
      </w:r>
    </w:p>
    <w:p w14:paraId="2A1EABDA" w14:textId="44AE65C6" w:rsidR="00871B9F" w:rsidRPr="000653A9" w:rsidRDefault="00871B9F" w:rsidP="00871B9F">
      <w:pPr>
        <w:rPr>
          <w:noProof/>
        </w:rPr>
      </w:pPr>
      <w:r w:rsidRPr="000653A9">
        <w:rPr>
          <w:noProof/>
        </w:rPr>
        <w:t xml:space="preserve">A major benefit to public authorities is represented by the auction revenue derived from the auctioning of allowances. The auctioning volumes are derived from based on the estimates for the allowances distributed for free to </w:t>
      </w:r>
      <w:r w:rsidRPr="001100D1">
        <w:rPr>
          <w:rFonts w:eastAsia="Times New Roman"/>
          <w:noProof/>
        </w:rPr>
        <w:t>industry</w:t>
      </w:r>
      <w:r w:rsidRPr="000653A9">
        <w:rPr>
          <w:noProof/>
        </w:rPr>
        <w:t xml:space="preserve"> and it does not </w:t>
      </w:r>
      <w:r w:rsidR="005A1163" w:rsidRPr="000653A9">
        <w:rPr>
          <w:noProof/>
        </w:rPr>
        <w:t>consider</w:t>
      </w:r>
      <w:r w:rsidRPr="000653A9">
        <w:rPr>
          <w:noProof/>
        </w:rPr>
        <w:t xml:space="preserve"> any split between auction revenue that is accrued to EU level funds or to national treasures.  </w:t>
      </w:r>
    </w:p>
    <w:p w14:paraId="07128939" w14:textId="4497AD67" w:rsidR="0089759A" w:rsidRDefault="00A4242F" w:rsidP="00871B9F">
      <w:pPr>
        <w:rPr>
          <w:noProof/>
        </w:rPr>
      </w:pPr>
      <w:r>
        <w:rPr>
          <w:noProof/>
        </w:rPr>
        <w:t>Table 12 shows the expected value of free and auctioned allowances across the policy options. The volume of free allocation across different policy options also has an impact on (cumulative) auction revenues. Table 22 presents the potential total value of auction revenues over the period 2031-2040, deducting from the estimated cap value the volumes to be allocated for free. This represents potential value to be used by public authorities (at Member States or EU level) for financing climate action and decarbonisation measures.</w:t>
      </w:r>
    </w:p>
    <w:p w14:paraId="7E219F95" w14:textId="5323FE81" w:rsidR="009C31E7" w:rsidRPr="001D31D6" w:rsidRDefault="009C31E7" w:rsidP="00C92FA9">
      <w:pPr>
        <w:pStyle w:val="Tabletitle"/>
        <w:rPr>
          <w:iCs/>
          <w:noProof/>
          <w:sz w:val="20"/>
          <w:szCs w:val="20"/>
        </w:rPr>
      </w:pPr>
      <w:bookmarkStart w:id="441" w:name="_Toc230858256"/>
      <w:bookmarkStart w:id="442" w:name="_Toc230858257"/>
      <w:bookmarkEnd w:id="441"/>
      <w:bookmarkEnd w:id="442"/>
      <w:r>
        <w:rPr>
          <w:noProof/>
          <w:lang w:eastAsia="en-GB"/>
        </w:rPr>
        <w:t>Overview</w:t>
      </w:r>
      <w:r>
        <w:rPr>
          <w:noProof/>
        </w:rPr>
        <w:t xml:space="preserve"> of the 2031-40 cumulative auction revenues</w:t>
      </w:r>
      <w:r>
        <w:rPr>
          <w:noProof/>
        </w:rPr>
        <w:tab/>
      </w:r>
    </w:p>
    <w:tbl>
      <w:tblPr>
        <w:tblW w:w="0" w:type="auto"/>
        <w:tblInd w:w="2481" w:type="dxa"/>
        <w:tblCellMar>
          <w:top w:w="15" w:type="dxa"/>
          <w:bottom w:w="15" w:type="dxa"/>
        </w:tblCellMar>
        <w:tblLook w:val="04A0" w:firstRow="1" w:lastRow="0" w:firstColumn="1" w:lastColumn="0" w:noHBand="0" w:noVBand="1"/>
      </w:tblPr>
      <w:tblGrid>
        <w:gridCol w:w="4567"/>
        <w:gridCol w:w="1296"/>
      </w:tblGrid>
      <w:tr w:rsidR="006838FA" w:rsidRPr="006838FA" w14:paraId="18957D30" w14:textId="55F2FAA9" w:rsidTr="00421233">
        <w:trPr>
          <w:trHeight w:val="300"/>
        </w:trPr>
        <w:tc>
          <w:tcPr>
            <w:tcW w:w="0" w:type="auto"/>
            <w:tcBorders>
              <w:top w:val="single" w:sz="4" w:space="0" w:color="000000"/>
              <w:left w:val="single" w:sz="4" w:space="0" w:color="000000"/>
              <w:bottom w:val="single" w:sz="4" w:space="0" w:color="000000"/>
              <w:right w:val="nil"/>
            </w:tcBorders>
            <w:noWrap/>
            <w:vAlign w:val="bottom"/>
            <w:hideMark/>
          </w:tcPr>
          <w:p w14:paraId="57A2A77B" w14:textId="1BB6898F" w:rsidR="006838FA" w:rsidRPr="006838FA" w:rsidRDefault="006838FA" w:rsidP="006838FA">
            <w:pPr>
              <w:spacing w:before="0" w:after="0"/>
              <w:jc w:val="left"/>
              <w:rPr>
                <w:rFonts w:eastAsia="Times New Roman"/>
                <w:noProof/>
                <w:color w:val="auto"/>
                <w:sz w:val="20"/>
                <w:szCs w:val="20"/>
                <w:lang w:val="en-IE" w:eastAsia="en-IE"/>
              </w:rPr>
            </w:pP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15FFFCE4" w14:textId="48ADFDEB" w:rsidR="006838FA" w:rsidRPr="006838FA" w:rsidRDefault="006838FA" w:rsidP="006838FA">
            <w:pPr>
              <w:spacing w:before="0" w:after="0"/>
              <w:jc w:val="center"/>
              <w:rPr>
                <w:rFonts w:eastAsia="Times New Roman"/>
                <w:noProof/>
                <w:color w:val="000000"/>
                <w:sz w:val="22"/>
                <w:szCs w:val="22"/>
                <w:lang w:val="en-IE" w:eastAsia="en-IE"/>
              </w:rPr>
            </w:pPr>
            <w:r>
              <w:rPr>
                <w:rFonts w:eastAsia="Times New Roman"/>
                <w:noProof/>
                <w:color w:val="000000"/>
                <w:sz w:val="22"/>
                <w:szCs w:val="22"/>
                <w:lang w:val="en-IE" w:eastAsia="en-IE"/>
              </w:rPr>
              <w:t>2031-2040</w:t>
            </w:r>
          </w:p>
        </w:tc>
      </w:tr>
      <w:tr w:rsidR="001B4635" w:rsidRPr="006838FA" w14:paraId="118E3239" w14:textId="5826D26F"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bottom"/>
            <w:hideMark/>
          </w:tcPr>
          <w:p w14:paraId="39F0636B" w14:textId="06455A9F" w:rsidR="001B4635" w:rsidRPr="006838FA" w:rsidRDefault="001B4635" w:rsidP="001B4635">
            <w:pPr>
              <w:spacing w:before="0" w:after="0"/>
              <w:jc w:val="left"/>
              <w:rPr>
                <w:rFonts w:eastAsia="Times New Roman"/>
                <w:b/>
                <w:bCs/>
                <w:noProof/>
                <w:color w:val="000000"/>
                <w:sz w:val="22"/>
                <w:szCs w:val="22"/>
                <w:lang w:val="en-IE" w:eastAsia="en-IE"/>
              </w:rPr>
            </w:pPr>
            <w:r>
              <w:rPr>
                <w:rFonts w:eastAsia="Times New Roman"/>
                <w:b/>
                <w:bCs/>
                <w:noProof/>
                <w:color w:val="000000"/>
                <w:sz w:val="22"/>
                <w:szCs w:val="22"/>
                <w:lang w:val="en-IE" w:eastAsia="en-IE"/>
              </w:rPr>
              <w:t>Eur23/tCO2</w:t>
            </w:r>
          </w:p>
        </w:tc>
        <w:tc>
          <w:tcPr>
            <w:tcW w:w="0" w:type="auto"/>
            <w:tcBorders>
              <w:top w:val="nil"/>
              <w:left w:val="single" w:sz="4" w:space="0" w:color="000000"/>
              <w:bottom w:val="single" w:sz="4" w:space="0" w:color="000000"/>
              <w:right w:val="single" w:sz="4" w:space="0" w:color="000000"/>
            </w:tcBorders>
            <w:noWrap/>
            <w:hideMark/>
          </w:tcPr>
          <w:p w14:paraId="5622D690" w14:textId="0523F1D3" w:rsidR="001B4635" w:rsidRPr="006838FA" w:rsidRDefault="00421233" w:rsidP="001B4635">
            <w:pPr>
              <w:spacing w:before="0" w:after="0"/>
              <w:jc w:val="center"/>
              <w:rPr>
                <w:rFonts w:eastAsia="Times New Roman"/>
                <w:noProof/>
                <w:color w:val="000000"/>
                <w:sz w:val="22"/>
                <w:szCs w:val="22"/>
                <w:lang w:val="en-IE" w:eastAsia="en-IE"/>
              </w:rPr>
            </w:pPr>
            <w:r>
              <w:rPr>
                <w:noProof/>
              </w:rPr>
              <w:t>EUR 150.0</w:t>
            </w:r>
          </w:p>
        </w:tc>
      </w:tr>
      <w:tr w:rsidR="001B4635" w:rsidRPr="006838FA" w14:paraId="03BCF0CA" w14:textId="56114305"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7297B5E" w14:textId="65736B5F" w:rsidR="001B4635" w:rsidRPr="006838FA" w:rsidRDefault="001B4635" w:rsidP="001B4635">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Baseline_Auctioned allowances (mil EUAs)</w:t>
            </w:r>
          </w:p>
        </w:tc>
        <w:tc>
          <w:tcPr>
            <w:tcW w:w="0" w:type="auto"/>
            <w:tcBorders>
              <w:top w:val="single" w:sz="4" w:space="0" w:color="000000"/>
              <w:left w:val="single" w:sz="4" w:space="0" w:color="000000"/>
              <w:bottom w:val="single" w:sz="4" w:space="0" w:color="000000"/>
              <w:right w:val="single" w:sz="4" w:space="0" w:color="000000"/>
            </w:tcBorders>
            <w:noWrap/>
            <w:hideMark/>
          </w:tcPr>
          <w:p w14:paraId="2D6E83A4" w14:textId="7AB74C8B" w:rsidR="001B4635" w:rsidRPr="006838FA" w:rsidRDefault="001B4635" w:rsidP="001B4635">
            <w:pPr>
              <w:spacing w:before="0" w:after="0"/>
              <w:jc w:val="center"/>
              <w:rPr>
                <w:rFonts w:eastAsia="Times New Roman"/>
                <w:noProof/>
                <w:color w:val="000000"/>
                <w:sz w:val="22"/>
                <w:szCs w:val="22"/>
                <w:lang w:val="en-IE" w:eastAsia="en-IE"/>
              </w:rPr>
            </w:pPr>
            <w:r>
              <w:rPr>
                <w:noProof/>
              </w:rPr>
              <w:t>1926</w:t>
            </w:r>
          </w:p>
        </w:tc>
      </w:tr>
      <w:tr w:rsidR="001B4635" w:rsidRPr="006838FA" w14:paraId="5C68D491" w14:textId="4DD695D7"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26E306E" w14:textId="3A37362A" w:rsidR="001B4635" w:rsidRPr="006838FA" w:rsidRDefault="001B4635" w:rsidP="001B4635">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Baseline_Cumulative auction revenue</w:t>
            </w:r>
          </w:p>
        </w:tc>
        <w:tc>
          <w:tcPr>
            <w:tcW w:w="0" w:type="auto"/>
            <w:tcBorders>
              <w:top w:val="single" w:sz="4" w:space="0" w:color="000000"/>
              <w:left w:val="single" w:sz="4" w:space="0" w:color="000000"/>
              <w:bottom w:val="single" w:sz="4" w:space="0" w:color="000000"/>
              <w:right w:val="single" w:sz="4" w:space="0" w:color="000000"/>
            </w:tcBorders>
            <w:noWrap/>
            <w:hideMark/>
          </w:tcPr>
          <w:p w14:paraId="5844A488" w14:textId="7242C6B7" w:rsidR="001B4635" w:rsidRPr="006838FA" w:rsidRDefault="00421233" w:rsidP="001B4635">
            <w:pPr>
              <w:spacing w:before="0" w:after="0"/>
              <w:jc w:val="center"/>
              <w:rPr>
                <w:rFonts w:eastAsia="Times New Roman"/>
                <w:noProof/>
                <w:color w:val="000000"/>
                <w:sz w:val="22"/>
                <w:szCs w:val="22"/>
                <w:lang w:val="en-IE" w:eastAsia="en-IE"/>
              </w:rPr>
            </w:pPr>
            <w:r>
              <w:rPr>
                <w:noProof/>
              </w:rPr>
              <w:t>EUR 288.9</w:t>
            </w:r>
          </w:p>
        </w:tc>
      </w:tr>
      <w:tr w:rsidR="001B4635" w:rsidRPr="006838FA" w14:paraId="73AABAA8" w14:textId="15D59549"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CAFA361" w14:textId="5ED767FE" w:rsidR="001B4635" w:rsidRPr="006838FA" w:rsidRDefault="001B4635" w:rsidP="001B4635">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PO1_Auctioned allowances (mil EUAs)</w:t>
            </w:r>
          </w:p>
        </w:tc>
        <w:tc>
          <w:tcPr>
            <w:tcW w:w="0" w:type="auto"/>
            <w:tcBorders>
              <w:top w:val="single" w:sz="4" w:space="0" w:color="000000"/>
              <w:left w:val="single" w:sz="4" w:space="0" w:color="000000"/>
              <w:bottom w:val="single" w:sz="4" w:space="0" w:color="000000"/>
              <w:right w:val="single" w:sz="4" w:space="0" w:color="000000"/>
            </w:tcBorders>
            <w:noWrap/>
            <w:hideMark/>
          </w:tcPr>
          <w:p w14:paraId="391B9EE0" w14:textId="5B8EC49B" w:rsidR="001B4635" w:rsidRPr="006838FA" w:rsidRDefault="001B4635" w:rsidP="001B4635">
            <w:pPr>
              <w:spacing w:before="0" w:after="0"/>
              <w:jc w:val="center"/>
              <w:rPr>
                <w:rFonts w:eastAsia="Times New Roman"/>
                <w:noProof/>
                <w:color w:val="000000"/>
                <w:sz w:val="22"/>
                <w:szCs w:val="22"/>
                <w:lang w:val="en-IE" w:eastAsia="en-IE"/>
              </w:rPr>
            </w:pPr>
            <w:r>
              <w:rPr>
                <w:noProof/>
              </w:rPr>
              <w:t>4043.7</w:t>
            </w:r>
          </w:p>
        </w:tc>
      </w:tr>
      <w:tr w:rsidR="001B4635" w:rsidRPr="006838FA" w14:paraId="2F93DC97" w14:textId="4C53D9E2"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77C7C394" w14:textId="76D8D7D6" w:rsidR="001B4635" w:rsidRPr="002B04B9" w:rsidRDefault="001B4635" w:rsidP="001B4635">
            <w:pPr>
              <w:spacing w:before="0" w:after="0"/>
              <w:jc w:val="left"/>
              <w:rPr>
                <w:rFonts w:eastAsia="Times New Roman"/>
                <w:noProof/>
                <w:color w:val="000000"/>
                <w:sz w:val="22"/>
                <w:szCs w:val="22"/>
                <w:lang w:val="fr-BE" w:eastAsia="en-IE"/>
              </w:rPr>
            </w:pPr>
            <w:r>
              <w:rPr>
                <w:rFonts w:eastAsia="Times New Roman"/>
                <w:noProof/>
                <w:color w:val="000000"/>
                <w:sz w:val="22"/>
                <w:szCs w:val="22"/>
                <w:lang w:val="fr-BE" w:eastAsia="en-IE"/>
              </w:rPr>
              <w:t>PO1_Cumulative auction revenue (bn EUR)</w:t>
            </w:r>
          </w:p>
        </w:tc>
        <w:tc>
          <w:tcPr>
            <w:tcW w:w="0" w:type="auto"/>
            <w:tcBorders>
              <w:top w:val="single" w:sz="4" w:space="0" w:color="000000"/>
              <w:left w:val="single" w:sz="4" w:space="0" w:color="000000"/>
              <w:bottom w:val="single" w:sz="4" w:space="0" w:color="000000"/>
              <w:right w:val="single" w:sz="4" w:space="0" w:color="000000"/>
            </w:tcBorders>
            <w:noWrap/>
            <w:hideMark/>
          </w:tcPr>
          <w:p w14:paraId="45A6EB0B" w14:textId="3257C154" w:rsidR="001B4635" w:rsidRPr="006838FA" w:rsidRDefault="00421233" w:rsidP="001B4635">
            <w:pPr>
              <w:spacing w:before="0" w:after="0"/>
              <w:jc w:val="center"/>
              <w:rPr>
                <w:rFonts w:eastAsia="Times New Roman"/>
                <w:noProof/>
                <w:color w:val="000000"/>
                <w:sz w:val="22"/>
                <w:szCs w:val="22"/>
                <w:lang w:val="en-IE" w:eastAsia="en-IE"/>
              </w:rPr>
            </w:pPr>
            <w:r>
              <w:rPr>
                <w:noProof/>
              </w:rPr>
              <w:t>EUR 606.6</w:t>
            </w:r>
          </w:p>
        </w:tc>
      </w:tr>
      <w:tr w:rsidR="001B4635" w:rsidRPr="006838FA" w14:paraId="19985FB3" w14:textId="378205AF"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6824D4B" w14:textId="27CDBAAC" w:rsidR="001B4635" w:rsidRPr="006838FA" w:rsidRDefault="001B4635" w:rsidP="001B4635">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PO2_Auctioned allowances (mil EUAs)</w:t>
            </w:r>
          </w:p>
        </w:tc>
        <w:tc>
          <w:tcPr>
            <w:tcW w:w="0" w:type="auto"/>
            <w:tcBorders>
              <w:top w:val="single" w:sz="4" w:space="0" w:color="000000"/>
              <w:left w:val="single" w:sz="4" w:space="0" w:color="000000"/>
              <w:bottom w:val="single" w:sz="4" w:space="0" w:color="000000"/>
              <w:right w:val="single" w:sz="4" w:space="0" w:color="000000"/>
            </w:tcBorders>
            <w:noWrap/>
            <w:hideMark/>
          </w:tcPr>
          <w:p w14:paraId="5FDC182D" w14:textId="5919BE28" w:rsidR="001B4635" w:rsidRPr="006838FA" w:rsidRDefault="001B4635" w:rsidP="001B4635">
            <w:pPr>
              <w:spacing w:before="0" w:after="0"/>
              <w:jc w:val="center"/>
              <w:rPr>
                <w:rFonts w:eastAsia="Times New Roman"/>
                <w:noProof/>
                <w:color w:val="000000"/>
                <w:sz w:val="22"/>
                <w:szCs w:val="22"/>
                <w:lang w:val="en-IE" w:eastAsia="en-IE"/>
              </w:rPr>
            </w:pPr>
            <w:r>
              <w:rPr>
                <w:noProof/>
              </w:rPr>
              <w:t>4153.5</w:t>
            </w:r>
          </w:p>
        </w:tc>
      </w:tr>
      <w:tr w:rsidR="001B4635" w:rsidRPr="006838FA" w14:paraId="57112682" w14:textId="61857B34"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59C1858" w14:textId="1243AF8E" w:rsidR="001B4635" w:rsidRPr="002B04B9" w:rsidRDefault="001B4635" w:rsidP="001B4635">
            <w:pPr>
              <w:spacing w:before="0" w:after="0"/>
              <w:jc w:val="left"/>
              <w:rPr>
                <w:rFonts w:eastAsia="Times New Roman"/>
                <w:noProof/>
                <w:color w:val="000000"/>
                <w:sz w:val="22"/>
                <w:szCs w:val="22"/>
                <w:lang w:val="fr-BE" w:eastAsia="en-IE"/>
              </w:rPr>
            </w:pPr>
            <w:r>
              <w:rPr>
                <w:rFonts w:eastAsia="Times New Roman"/>
                <w:noProof/>
                <w:color w:val="000000"/>
                <w:sz w:val="22"/>
                <w:szCs w:val="22"/>
                <w:lang w:val="fr-BE" w:eastAsia="en-IE"/>
              </w:rPr>
              <w:t>PO2_Cumulative auction revenue (bn EUR)</w:t>
            </w:r>
          </w:p>
        </w:tc>
        <w:tc>
          <w:tcPr>
            <w:tcW w:w="0" w:type="auto"/>
            <w:tcBorders>
              <w:top w:val="single" w:sz="4" w:space="0" w:color="000000"/>
              <w:left w:val="single" w:sz="4" w:space="0" w:color="000000"/>
              <w:bottom w:val="single" w:sz="4" w:space="0" w:color="000000"/>
              <w:right w:val="single" w:sz="4" w:space="0" w:color="000000"/>
            </w:tcBorders>
            <w:noWrap/>
            <w:hideMark/>
          </w:tcPr>
          <w:p w14:paraId="505E91EE" w14:textId="091F5073" w:rsidR="001B4635" w:rsidRPr="006838FA" w:rsidRDefault="00421233" w:rsidP="001B4635">
            <w:pPr>
              <w:spacing w:before="0" w:after="0"/>
              <w:jc w:val="center"/>
              <w:rPr>
                <w:rFonts w:eastAsia="Times New Roman"/>
                <w:noProof/>
                <w:color w:val="000000"/>
                <w:sz w:val="22"/>
                <w:szCs w:val="22"/>
                <w:lang w:val="en-IE" w:eastAsia="en-IE"/>
              </w:rPr>
            </w:pPr>
            <w:r>
              <w:rPr>
                <w:noProof/>
              </w:rPr>
              <w:t>EUR 623.0</w:t>
            </w:r>
          </w:p>
        </w:tc>
      </w:tr>
      <w:tr w:rsidR="001B4635" w:rsidRPr="006838FA" w14:paraId="5B913CE8" w14:textId="2F7886B5" w:rsidTr="00421233">
        <w:trPr>
          <w:trHeight w:val="300"/>
        </w:trPr>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47FF3B44" w14:textId="75A21F7B" w:rsidR="001B4635" w:rsidRPr="006838FA" w:rsidRDefault="001B4635" w:rsidP="001B4635">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PO2_CL2_CBAM variant_auctioned allowances</w:t>
            </w:r>
          </w:p>
        </w:tc>
        <w:tc>
          <w:tcPr>
            <w:tcW w:w="0" w:type="auto"/>
            <w:tcBorders>
              <w:top w:val="single" w:sz="4" w:space="0" w:color="000000"/>
              <w:left w:val="single" w:sz="4" w:space="0" w:color="000000"/>
              <w:bottom w:val="single" w:sz="4" w:space="0" w:color="000000"/>
              <w:right w:val="single" w:sz="4" w:space="0" w:color="000000"/>
            </w:tcBorders>
            <w:noWrap/>
            <w:hideMark/>
          </w:tcPr>
          <w:p w14:paraId="25918B14" w14:textId="750F9939" w:rsidR="001B4635" w:rsidRPr="006838FA" w:rsidRDefault="001B4635" w:rsidP="001B4635">
            <w:pPr>
              <w:spacing w:before="0" w:after="0"/>
              <w:jc w:val="center"/>
              <w:rPr>
                <w:rFonts w:eastAsia="Times New Roman"/>
                <w:noProof/>
                <w:color w:val="000000"/>
                <w:sz w:val="22"/>
                <w:szCs w:val="22"/>
                <w:lang w:val="en-IE" w:eastAsia="en-IE"/>
              </w:rPr>
            </w:pPr>
            <w:r>
              <w:rPr>
                <w:noProof/>
              </w:rPr>
              <w:t>3987.5</w:t>
            </w:r>
          </w:p>
        </w:tc>
      </w:tr>
      <w:tr w:rsidR="001B4635" w:rsidRPr="006838FA" w14:paraId="61E452AC" w14:textId="1978D6A5" w:rsidTr="00421233">
        <w:trPr>
          <w:trHeight w:val="300"/>
        </w:trPr>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6DDA646C" w14:textId="1E403128" w:rsidR="001B4635" w:rsidRPr="002B04B9" w:rsidRDefault="001B4635" w:rsidP="001B4635">
            <w:pPr>
              <w:spacing w:before="0" w:after="0"/>
              <w:jc w:val="left"/>
              <w:rPr>
                <w:rFonts w:eastAsia="Times New Roman"/>
                <w:noProof/>
                <w:color w:val="000000"/>
                <w:sz w:val="22"/>
                <w:szCs w:val="22"/>
                <w:lang w:val="fr-BE" w:eastAsia="en-IE"/>
              </w:rPr>
            </w:pPr>
            <w:r>
              <w:rPr>
                <w:rFonts w:eastAsia="Times New Roman"/>
                <w:noProof/>
                <w:color w:val="000000"/>
                <w:sz w:val="22"/>
                <w:szCs w:val="22"/>
                <w:lang w:val="fr-BE" w:eastAsia="en-IE"/>
              </w:rPr>
              <w:t>PO2_CBAM variant Cumulative auction revenue</w:t>
            </w:r>
          </w:p>
        </w:tc>
        <w:tc>
          <w:tcPr>
            <w:tcW w:w="0" w:type="auto"/>
            <w:tcBorders>
              <w:top w:val="single" w:sz="4" w:space="0" w:color="000000"/>
              <w:left w:val="single" w:sz="4" w:space="0" w:color="000000"/>
              <w:bottom w:val="single" w:sz="4" w:space="0" w:color="000000"/>
              <w:right w:val="single" w:sz="4" w:space="0" w:color="000000"/>
            </w:tcBorders>
            <w:noWrap/>
            <w:hideMark/>
          </w:tcPr>
          <w:p w14:paraId="6E4B82C3" w14:textId="5F8061FD" w:rsidR="001B4635" w:rsidRPr="006838FA" w:rsidRDefault="00421233" w:rsidP="001B4635">
            <w:pPr>
              <w:spacing w:before="0" w:after="0"/>
              <w:jc w:val="center"/>
              <w:rPr>
                <w:rFonts w:eastAsia="Times New Roman"/>
                <w:noProof/>
                <w:color w:val="000000"/>
                <w:sz w:val="22"/>
                <w:szCs w:val="22"/>
                <w:lang w:val="en-IE" w:eastAsia="en-IE"/>
              </w:rPr>
            </w:pPr>
            <w:r>
              <w:rPr>
                <w:noProof/>
              </w:rPr>
              <w:t>EUR 598.1</w:t>
            </w:r>
          </w:p>
        </w:tc>
      </w:tr>
      <w:tr w:rsidR="001B4635" w:rsidRPr="006838FA" w14:paraId="6D14251C" w14:textId="601DB305"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F44769D" w14:textId="695F0FE6" w:rsidR="001B4635" w:rsidRPr="006838FA" w:rsidRDefault="001B4635" w:rsidP="001B4635">
            <w:pPr>
              <w:spacing w:before="0" w:after="0"/>
              <w:jc w:val="left"/>
              <w:rPr>
                <w:rFonts w:eastAsia="Times New Roman"/>
                <w:noProof/>
                <w:color w:val="000000"/>
                <w:sz w:val="22"/>
                <w:szCs w:val="22"/>
                <w:lang w:val="en-IE" w:eastAsia="en-IE"/>
              </w:rPr>
            </w:pPr>
            <w:r>
              <w:rPr>
                <w:rFonts w:eastAsia="Times New Roman"/>
                <w:noProof/>
                <w:color w:val="000000"/>
                <w:sz w:val="22"/>
                <w:szCs w:val="22"/>
                <w:lang w:val="en-IE" w:eastAsia="en-IE"/>
              </w:rPr>
              <w:t>PO3_Auctioned allowances (mil EUAs)</w:t>
            </w:r>
          </w:p>
        </w:tc>
        <w:tc>
          <w:tcPr>
            <w:tcW w:w="0" w:type="auto"/>
            <w:tcBorders>
              <w:top w:val="single" w:sz="4" w:space="0" w:color="000000"/>
              <w:left w:val="single" w:sz="4" w:space="0" w:color="000000"/>
              <w:bottom w:val="single" w:sz="4" w:space="0" w:color="000000"/>
              <w:right w:val="single" w:sz="4" w:space="0" w:color="000000"/>
            </w:tcBorders>
            <w:noWrap/>
            <w:hideMark/>
          </w:tcPr>
          <w:p w14:paraId="50872E9D" w14:textId="39B893B3" w:rsidR="001B4635" w:rsidRPr="006838FA" w:rsidRDefault="001B4635" w:rsidP="001B4635">
            <w:pPr>
              <w:spacing w:before="0" w:after="0"/>
              <w:jc w:val="center"/>
              <w:rPr>
                <w:rFonts w:eastAsia="Times New Roman"/>
                <w:noProof/>
                <w:color w:val="000000"/>
                <w:sz w:val="22"/>
                <w:szCs w:val="22"/>
                <w:lang w:val="en-IE" w:eastAsia="en-IE"/>
              </w:rPr>
            </w:pPr>
            <w:r>
              <w:rPr>
                <w:noProof/>
              </w:rPr>
              <w:t>5546</w:t>
            </w:r>
          </w:p>
        </w:tc>
      </w:tr>
      <w:tr w:rsidR="001B4635" w:rsidRPr="006838FA" w14:paraId="76B4347F" w14:textId="0E7130B6" w:rsidTr="00421233">
        <w:trPr>
          <w:trHeight w:val="300"/>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8E0887A" w14:textId="6592BB36" w:rsidR="001B4635" w:rsidRPr="002B04B9" w:rsidRDefault="001B4635" w:rsidP="001B4635">
            <w:pPr>
              <w:spacing w:before="0" w:after="0"/>
              <w:jc w:val="left"/>
              <w:rPr>
                <w:rFonts w:eastAsia="Times New Roman"/>
                <w:noProof/>
                <w:color w:val="000000"/>
                <w:sz w:val="22"/>
                <w:szCs w:val="22"/>
                <w:lang w:val="fr-BE" w:eastAsia="en-IE"/>
              </w:rPr>
            </w:pPr>
            <w:r>
              <w:rPr>
                <w:rFonts w:eastAsia="Times New Roman"/>
                <w:noProof/>
                <w:color w:val="000000"/>
                <w:sz w:val="22"/>
                <w:szCs w:val="22"/>
                <w:lang w:val="fr-BE" w:eastAsia="en-IE"/>
              </w:rPr>
              <w:t>PO3_Cumulative auction revenue (bn EUR)</w:t>
            </w:r>
          </w:p>
        </w:tc>
        <w:tc>
          <w:tcPr>
            <w:tcW w:w="0" w:type="auto"/>
            <w:tcBorders>
              <w:top w:val="single" w:sz="4" w:space="0" w:color="000000"/>
              <w:left w:val="single" w:sz="4" w:space="0" w:color="000000"/>
              <w:bottom w:val="single" w:sz="4" w:space="0" w:color="000000"/>
              <w:right w:val="single" w:sz="4" w:space="0" w:color="000000"/>
            </w:tcBorders>
            <w:noWrap/>
            <w:hideMark/>
          </w:tcPr>
          <w:p w14:paraId="18E079FA" w14:textId="2A90796B" w:rsidR="001B4635" w:rsidRPr="006838FA" w:rsidRDefault="00421233" w:rsidP="001B4635">
            <w:pPr>
              <w:spacing w:before="0" w:after="0"/>
              <w:jc w:val="center"/>
              <w:rPr>
                <w:rFonts w:eastAsia="Times New Roman"/>
                <w:noProof/>
                <w:color w:val="000000"/>
                <w:sz w:val="22"/>
                <w:szCs w:val="22"/>
                <w:lang w:val="en-IE" w:eastAsia="en-IE"/>
              </w:rPr>
            </w:pPr>
            <w:r>
              <w:rPr>
                <w:noProof/>
              </w:rPr>
              <w:t>EUR 831.9</w:t>
            </w:r>
          </w:p>
        </w:tc>
      </w:tr>
    </w:tbl>
    <w:p w14:paraId="182654CD" w14:textId="33F18D91" w:rsidR="0019049F" w:rsidRPr="000653A9" w:rsidRDefault="0019049F" w:rsidP="0019049F">
      <w:pPr>
        <w:rPr>
          <w:i/>
          <w:iCs/>
          <w:noProof/>
          <w:sz w:val="22"/>
          <w:szCs w:val="22"/>
          <w:lang w:eastAsia="en-GB"/>
        </w:rPr>
      </w:pPr>
      <w:r>
        <w:rPr>
          <w:rFonts w:eastAsia="Arial" w:cs="Arial"/>
          <w:i/>
          <w:iCs/>
          <w:noProof/>
          <w:sz w:val="20"/>
          <w:szCs w:val="20"/>
          <w:lang w:eastAsia="en-GB"/>
        </w:rPr>
        <w:t>Source:</w:t>
      </w:r>
      <w:r>
        <w:rPr>
          <w:i/>
          <w:iCs/>
          <w:noProof/>
          <w:sz w:val="22"/>
          <w:szCs w:val="22"/>
        </w:rPr>
        <w:tab/>
      </w:r>
      <w:r>
        <w:rPr>
          <w:rFonts w:eastAsia="Arial" w:cs="Arial"/>
          <w:i/>
          <w:iCs/>
          <w:noProof/>
          <w:sz w:val="20"/>
          <w:szCs w:val="20"/>
          <w:lang w:eastAsia="en-GB"/>
        </w:rPr>
        <w:t xml:space="preserve"> </w:t>
      </w:r>
      <w:r>
        <w:rPr>
          <w:i/>
          <w:iCs/>
          <w:noProof/>
          <w:sz w:val="22"/>
          <w:szCs w:val="22"/>
        </w:rPr>
        <w:tab/>
      </w:r>
      <w:r>
        <w:rPr>
          <w:rFonts w:eastAsia="Arial" w:cs="Arial"/>
          <w:i/>
          <w:iCs/>
          <w:noProof/>
          <w:sz w:val="20"/>
          <w:szCs w:val="20"/>
          <w:lang w:eastAsia="en-GB"/>
        </w:rPr>
        <w:t>Own calculation</w:t>
      </w:r>
    </w:p>
    <w:p w14:paraId="11E7012C" w14:textId="77777777" w:rsidR="00DC63F8" w:rsidRPr="000653A9" w:rsidRDefault="00DC63F8" w:rsidP="00794BC8">
      <w:pPr>
        <w:pStyle w:val="Heading5COM"/>
        <w:outlineLvl w:val="5"/>
        <w:rPr>
          <w:noProof/>
        </w:rPr>
      </w:pPr>
      <w:bookmarkStart w:id="443" w:name="_Toc219902763"/>
      <w:bookmarkStart w:id="444" w:name="_Toc219902764"/>
      <w:bookmarkStart w:id="445" w:name="_Toc219902765"/>
      <w:bookmarkStart w:id="446" w:name="_Toc219902766"/>
      <w:bookmarkStart w:id="447" w:name="_Toc219902767"/>
      <w:bookmarkStart w:id="448" w:name="_Toc219902770"/>
      <w:bookmarkStart w:id="449" w:name="_Toc219902786"/>
      <w:bookmarkStart w:id="450" w:name="_Toc212049716"/>
      <w:bookmarkStart w:id="451" w:name="_Toc230857919"/>
      <w:bookmarkStart w:id="452" w:name="_Toc232751110"/>
      <w:bookmarkEnd w:id="443"/>
      <w:bookmarkEnd w:id="444"/>
      <w:bookmarkEnd w:id="445"/>
      <w:bookmarkEnd w:id="446"/>
      <w:bookmarkEnd w:id="447"/>
      <w:bookmarkEnd w:id="448"/>
      <w:bookmarkEnd w:id="449"/>
      <w:r w:rsidRPr="000653A9">
        <w:rPr>
          <w:noProof/>
        </w:rPr>
        <w:t>Carbon leakage prevention measures for indirect emissions</w:t>
      </w:r>
      <w:bookmarkEnd w:id="450"/>
      <w:bookmarkEnd w:id="451"/>
      <w:bookmarkEnd w:id="452"/>
    </w:p>
    <w:p w14:paraId="59158EDC" w14:textId="6D44ECE7" w:rsidR="0053015C" w:rsidRPr="000653A9" w:rsidRDefault="0053015C" w:rsidP="0053015C">
      <w:pPr>
        <w:rPr>
          <w:noProof/>
          <w:color w:val="auto"/>
        </w:rPr>
      </w:pPr>
      <w:r w:rsidRPr="000653A9">
        <w:rPr>
          <w:noProof/>
          <w:color w:val="auto"/>
        </w:rPr>
        <w:t>The policy measures also have budgetary consequences for public authorities as the continuation of the encouragement to provide indirect cost compensation enable</w:t>
      </w:r>
      <w:r w:rsidR="00BB237B" w:rsidRPr="000653A9">
        <w:rPr>
          <w:noProof/>
          <w:color w:val="auto"/>
        </w:rPr>
        <w:t>s</w:t>
      </w:r>
      <w:r w:rsidRPr="000653A9">
        <w:rPr>
          <w:noProof/>
          <w:color w:val="auto"/>
        </w:rPr>
        <w:t xml:space="preserve"> Member States to consider offsetting higher electricity prices, due in part, to the increase in carbon prices over the 2031-40 </w:t>
      </w:r>
      <w:r w:rsidR="009A1A11" w:rsidRPr="000653A9">
        <w:rPr>
          <w:noProof/>
          <w:color w:val="auto"/>
        </w:rPr>
        <w:t>period</w:t>
      </w:r>
      <w:r w:rsidRPr="000653A9">
        <w:rPr>
          <w:noProof/>
          <w:color w:val="auto"/>
        </w:rPr>
        <w:t xml:space="preserve">. </w:t>
      </w:r>
    </w:p>
    <w:p w14:paraId="2B16728D" w14:textId="6A5AC988" w:rsidR="0053015C" w:rsidRPr="000653A9" w:rsidRDefault="0053015C" w:rsidP="532735DA">
      <w:pPr>
        <w:rPr>
          <w:noProof/>
          <w:color w:val="auto"/>
        </w:rPr>
      </w:pPr>
      <w:r w:rsidRPr="000653A9">
        <w:rPr>
          <w:noProof/>
          <w:color w:val="auto"/>
        </w:rPr>
        <w:t xml:space="preserve">Based upon the previous calculation for adjustment costs for industry (refer to Section </w:t>
      </w:r>
      <w:r w:rsidR="00FA335B" w:rsidRPr="000653A9">
        <w:rPr>
          <w:noProof/>
          <w:color w:val="auto"/>
        </w:rPr>
        <w:t>1.4.</w:t>
      </w:r>
      <w:r w:rsidR="00B540BB" w:rsidRPr="000653A9">
        <w:rPr>
          <w:noProof/>
          <w:color w:val="auto"/>
        </w:rPr>
        <w:t>2</w:t>
      </w:r>
      <w:r w:rsidR="00FA335B" w:rsidRPr="000653A9">
        <w:rPr>
          <w:noProof/>
          <w:color w:val="auto"/>
        </w:rPr>
        <w:t>.1.2</w:t>
      </w:r>
      <w:r w:rsidRPr="000653A9">
        <w:rPr>
          <w:noProof/>
          <w:color w:val="auto"/>
        </w:rPr>
        <w:t xml:space="preserve">), the potential scale of the financing ranges from </w:t>
      </w:r>
      <w:r>
        <w:rPr>
          <w:noProof/>
          <w:color w:val="auto"/>
        </w:rPr>
        <w:t>9</w:t>
      </w:r>
      <w:r w:rsidRPr="000653A9">
        <w:rPr>
          <w:noProof/>
          <w:color w:val="auto"/>
        </w:rPr>
        <w:t xml:space="preserve"> billion</w:t>
      </w:r>
      <w:r w:rsidR="003243CC" w:rsidRPr="000653A9">
        <w:rPr>
          <w:noProof/>
          <w:color w:val="auto"/>
        </w:rPr>
        <w:t xml:space="preserve"> to</w:t>
      </w:r>
      <w:r w:rsidR="004168F6" w:rsidRPr="000653A9">
        <w:rPr>
          <w:noProof/>
          <w:color w:val="auto"/>
        </w:rPr>
        <w:t xml:space="preserve"> </w:t>
      </w:r>
      <w:r>
        <w:rPr>
          <w:noProof/>
          <w:color w:val="auto"/>
        </w:rPr>
        <w:t>17</w:t>
      </w:r>
      <w:r w:rsidR="003243CC" w:rsidRPr="000653A9">
        <w:rPr>
          <w:noProof/>
          <w:color w:val="auto"/>
        </w:rPr>
        <w:t xml:space="preserve"> billion</w:t>
      </w:r>
      <w:r w:rsidRPr="000653A9">
        <w:rPr>
          <w:noProof/>
          <w:color w:val="auto"/>
        </w:rPr>
        <w:t xml:space="preserve"> EUR annually on average over 2031-40. </w:t>
      </w:r>
    </w:p>
    <w:p w14:paraId="37F24916" w14:textId="77777777" w:rsidR="00CC4F87" w:rsidRDefault="00994FCA" w:rsidP="0053015C">
      <w:pPr>
        <w:rPr>
          <w:noProof/>
          <w:color w:val="auto"/>
        </w:rPr>
      </w:pPr>
      <w:r w:rsidRPr="6A12644F">
        <w:rPr>
          <w:noProof/>
          <w:color w:val="auto"/>
        </w:rPr>
        <w:t xml:space="preserve">Under policy measure ICC1, </w:t>
      </w:r>
      <w:r w:rsidR="002703E5" w:rsidRPr="6A12644F">
        <w:rPr>
          <w:noProof/>
          <w:color w:val="auto"/>
        </w:rPr>
        <w:t xml:space="preserve">it is entirely up to the Member States </w:t>
      </w:r>
      <w:r w:rsidR="005A1163" w:rsidRPr="6A12644F">
        <w:rPr>
          <w:noProof/>
          <w:color w:val="auto"/>
        </w:rPr>
        <w:t>whether</w:t>
      </w:r>
      <w:r w:rsidR="002703E5" w:rsidRPr="6A12644F">
        <w:rPr>
          <w:noProof/>
          <w:color w:val="auto"/>
        </w:rPr>
        <w:t xml:space="preserve"> they want to </w:t>
      </w:r>
      <w:r w:rsidR="008C78AC" w:rsidRPr="6A12644F">
        <w:rPr>
          <w:noProof/>
          <w:color w:val="auto"/>
        </w:rPr>
        <w:t>pay out compensation and incur</w:t>
      </w:r>
      <w:r w:rsidR="00AE07EA" w:rsidRPr="6A12644F">
        <w:rPr>
          <w:noProof/>
          <w:color w:val="auto"/>
        </w:rPr>
        <w:t xml:space="preserve"> some of this</w:t>
      </w:r>
      <w:r w:rsidR="008C78AC" w:rsidRPr="6A12644F">
        <w:rPr>
          <w:noProof/>
          <w:color w:val="auto"/>
        </w:rPr>
        <w:t xml:space="preserve"> cost. In practice, t</w:t>
      </w:r>
      <w:r w:rsidRPr="6A12644F">
        <w:rPr>
          <w:noProof/>
          <w:color w:val="auto"/>
        </w:rPr>
        <w:t xml:space="preserve">he funding for this compensation </w:t>
      </w:r>
      <w:r w:rsidR="00CF5742" w:rsidRPr="6A12644F">
        <w:rPr>
          <w:noProof/>
          <w:color w:val="auto"/>
        </w:rPr>
        <w:t>come</w:t>
      </w:r>
      <w:r w:rsidR="008C78AC" w:rsidRPr="6A12644F">
        <w:rPr>
          <w:noProof/>
          <w:color w:val="auto"/>
        </w:rPr>
        <w:t>s</w:t>
      </w:r>
      <w:r w:rsidR="00CF5742" w:rsidRPr="6A12644F">
        <w:rPr>
          <w:noProof/>
          <w:color w:val="auto"/>
        </w:rPr>
        <w:t xml:space="preserve"> primarily from each Member State’s share of ETS auction revenues</w:t>
      </w:r>
      <w:r w:rsidR="00FF0D63" w:rsidRPr="6A12644F">
        <w:rPr>
          <w:noProof/>
          <w:color w:val="auto"/>
        </w:rPr>
        <w:t xml:space="preserve"> (though other national resources can be used)</w:t>
      </w:r>
      <w:r w:rsidR="00CF5742" w:rsidRPr="6A12644F">
        <w:rPr>
          <w:noProof/>
          <w:color w:val="auto"/>
        </w:rPr>
        <w:t>, and each Member State will retain the flexibility to use these revenues for ICC or other purposes.</w:t>
      </w:r>
      <w:r w:rsidR="00D631EB" w:rsidRPr="6A12644F">
        <w:rPr>
          <w:noProof/>
          <w:color w:val="auto"/>
        </w:rPr>
        <w:t xml:space="preserve"> </w:t>
      </w:r>
      <w:r w:rsidR="00663583" w:rsidRPr="6A12644F">
        <w:rPr>
          <w:noProof/>
          <w:color w:val="auto"/>
        </w:rPr>
        <w:t>In the existing Directive, Member States who provide ICC compensation are</w:t>
      </w:r>
      <w:r w:rsidR="00D22F9F" w:rsidRPr="6A12644F">
        <w:rPr>
          <w:noProof/>
          <w:color w:val="auto"/>
        </w:rPr>
        <w:t xml:space="preserve"> required</w:t>
      </w:r>
      <w:r w:rsidR="00663583" w:rsidRPr="6A12644F">
        <w:rPr>
          <w:noProof/>
          <w:color w:val="auto"/>
        </w:rPr>
        <w:t xml:space="preserve"> to </w:t>
      </w:r>
      <w:r w:rsidR="00B17E1C" w:rsidRPr="6A12644F">
        <w:rPr>
          <w:noProof/>
          <w:color w:val="auto"/>
        </w:rPr>
        <w:t>make information about the support publicly available.</w:t>
      </w:r>
      <w:r w:rsidR="00663583" w:rsidRPr="6A12644F">
        <w:rPr>
          <w:noProof/>
          <w:color w:val="auto"/>
        </w:rPr>
        <w:t xml:space="preserve"> </w:t>
      </w:r>
      <w:r w:rsidR="00D631EB" w:rsidRPr="6A12644F">
        <w:rPr>
          <w:noProof/>
          <w:color w:val="auto"/>
        </w:rPr>
        <w:t xml:space="preserve">The </w:t>
      </w:r>
      <w:r w:rsidR="00B17E1C" w:rsidRPr="6A12644F">
        <w:rPr>
          <w:noProof/>
          <w:color w:val="auto"/>
        </w:rPr>
        <w:t xml:space="preserve">resultant </w:t>
      </w:r>
      <w:r w:rsidR="00D631EB" w:rsidRPr="6A12644F">
        <w:rPr>
          <w:noProof/>
          <w:color w:val="auto"/>
        </w:rPr>
        <w:t>administrative burden for publi</w:t>
      </w:r>
      <w:r w:rsidR="004E701D" w:rsidRPr="6A12644F">
        <w:rPr>
          <w:noProof/>
          <w:color w:val="auto"/>
        </w:rPr>
        <w:t xml:space="preserve">c authorities could be reduced by </w:t>
      </w:r>
      <w:r w:rsidR="00340112">
        <w:rPr>
          <w:noProof/>
          <w:lang w:val="en-IE"/>
        </w:rPr>
        <w:t>integrat</w:t>
      </w:r>
      <w:r w:rsidR="00D22F9F">
        <w:rPr>
          <w:noProof/>
          <w:lang w:val="en-IE"/>
        </w:rPr>
        <w:t>ing</w:t>
      </w:r>
      <w:r w:rsidR="00340112">
        <w:rPr>
          <w:noProof/>
          <w:lang w:val="en-IE"/>
        </w:rPr>
        <w:t xml:space="preserve"> </w:t>
      </w:r>
      <w:r w:rsidR="00D22F9F">
        <w:rPr>
          <w:noProof/>
          <w:lang w:val="en-IE"/>
        </w:rPr>
        <w:t xml:space="preserve">this requirement </w:t>
      </w:r>
      <w:r w:rsidR="00340112">
        <w:rPr>
          <w:noProof/>
          <w:lang w:val="en-IE"/>
        </w:rPr>
        <w:t>into the broader reporting obligations on the use of auction revenues under Regulation (EU) 2018/1999</w:t>
      </w:r>
      <w:r w:rsidR="00D22F9F" w:rsidRPr="6A12644F">
        <w:rPr>
          <w:noProof/>
          <w:color w:val="auto"/>
        </w:rPr>
        <w:t>.</w:t>
      </w:r>
      <w:r w:rsidRPr="6A12644F">
        <w:rPr>
          <w:noProof/>
          <w:color w:val="auto"/>
        </w:rPr>
        <w:t>Under p</w:t>
      </w:r>
      <w:r w:rsidR="00A803D0" w:rsidRPr="6A12644F">
        <w:rPr>
          <w:noProof/>
          <w:color w:val="auto"/>
        </w:rPr>
        <w:t>olicy measure ICC2</w:t>
      </w:r>
      <w:r w:rsidRPr="6A12644F">
        <w:rPr>
          <w:noProof/>
          <w:color w:val="auto"/>
        </w:rPr>
        <w:t xml:space="preserve">, </w:t>
      </w:r>
      <w:r w:rsidR="008C78AC" w:rsidRPr="6A12644F">
        <w:rPr>
          <w:noProof/>
          <w:color w:val="auto"/>
        </w:rPr>
        <w:t xml:space="preserve">the EU-level </w:t>
      </w:r>
      <w:r w:rsidR="005E19EB" w:rsidRPr="6A12644F">
        <w:rPr>
          <w:noProof/>
          <w:color w:val="auto"/>
        </w:rPr>
        <w:t xml:space="preserve">funding for the harmonised </w:t>
      </w:r>
      <w:r w:rsidR="00D41F41" w:rsidRPr="6A12644F">
        <w:rPr>
          <w:noProof/>
          <w:color w:val="auto"/>
        </w:rPr>
        <w:t>ICC fund</w:t>
      </w:r>
      <w:r w:rsidR="005E19EB" w:rsidRPr="6A12644F">
        <w:rPr>
          <w:noProof/>
          <w:color w:val="auto"/>
        </w:rPr>
        <w:t xml:space="preserve"> would come from</w:t>
      </w:r>
      <w:r w:rsidR="00DF178E" w:rsidRPr="6A12644F">
        <w:rPr>
          <w:noProof/>
          <w:color w:val="auto"/>
        </w:rPr>
        <w:t xml:space="preserve"> collection of</w:t>
      </w:r>
      <w:r w:rsidR="005E19EB" w:rsidRPr="6A12644F">
        <w:rPr>
          <w:noProof/>
          <w:color w:val="auto"/>
        </w:rPr>
        <w:t xml:space="preserve"> auction revenues</w:t>
      </w:r>
      <w:r w:rsidR="00DF178E" w:rsidRPr="6A12644F">
        <w:rPr>
          <w:noProof/>
          <w:color w:val="auto"/>
        </w:rPr>
        <w:t xml:space="preserve"> at EU level</w:t>
      </w:r>
      <w:r w:rsidR="00AA47ED" w:rsidRPr="6A12644F">
        <w:rPr>
          <w:noProof/>
          <w:color w:val="auto"/>
        </w:rPr>
        <w:t>, implying a lower share either</w:t>
      </w:r>
      <w:r w:rsidR="00CC22B9" w:rsidRPr="6A12644F">
        <w:rPr>
          <w:noProof/>
          <w:color w:val="auto"/>
        </w:rPr>
        <w:t xml:space="preserve"> for</w:t>
      </w:r>
      <w:r w:rsidR="00AA47ED" w:rsidRPr="6A12644F">
        <w:rPr>
          <w:noProof/>
          <w:color w:val="auto"/>
        </w:rPr>
        <w:t xml:space="preserve"> Member State</w:t>
      </w:r>
      <w:r w:rsidR="00CC22B9" w:rsidRPr="6A12644F">
        <w:rPr>
          <w:noProof/>
          <w:color w:val="auto"/>
        </w:rPr>
        <w:t xml:space="preserve">s or other EU-level ETS-funded instruments. </w:t>
      </w:r>
      <w:r w:rsidR="00DF178E" w:rsidRPr="6A12644F">
        <w:rPr>
          <w:noProof/>
          <w:color w:val="auto"/>
        </w:rPr>
        <w:t>This funding</w:t>
      </w:r>
      <w:r w:rsidR="00E02ADE" w:rsidRPr="6A12644F">
        <w:rPr>
          <w:noProof/>
          <w:color w:val="auto"/>
        </w:rPr>
        <w:t xml:space="preserve"> would be distributed at EU-level according to the </w:t>
      </w:r>
      <w:r w:rsidR="00B310C5" w:rsidRPr="6A12644F">
        <w:rPr>
          <w:noProof/>
          <w:color w:val="auto"/>
        </w:rPr>
        <w:t>needs of electro-intensive industries, rather than at the discretion of each Member State.</w:t>
      </w:r>
      <w:r w:rsidR="00D435E5" w:rsidRPr="6A12644F">
        <w:rPr>
          <w:noProof/>
          <w:color w:val="auto"/>
        </w:rPr>
        <w:t xml:space="preserve"> Although EU-level funding is largely expected </w:t>
      </w:r>
      <w:r w:rsidR="001C42C9" w:rsidRPr="6A12644F">
        <w:rPr>
          <w:noProof/>
          <w:color w:val="auto"/>
        </w:rPr>
        <w:t xml:space="preserve">to replace State aid that Member States would otherwise have provided, </w:t>
      </w:r>
      <w:r w:rsidR="00A0323E" w:rsidRPr="6A12644F">
        <w:rPr>
          <w:noProof/>
          <w:color w:val="auto"/>
        </w:rPr>
        <w:t xml:space="preserve">some </w:t>
      </w:r>
      <w:r w:rsidR="00020FF3" w:rsidRPr="6A12644F">
        <w:rPr>
          <w:noProof/>
          <w:color w:val="auto"/>
        </w:rPr>
        <w:t>installations will receive compensation who otherwise would not have received State aid. Therefore</w:t>
      </w:r>
      <w:r w:rsidR="00A77313" w:rsidRPr="6A12644F">
        <w:rPr>
          <w:noProof/>
          <w:color w:val="auto"/>
        </w:rPr>
        <w:t>, we expect ICC2 to have a higher cost</w:t>
      </w:r>
      <w:r w:rsidR="00020FF3" w:rsidRPr="6A12644F">
        <w:rPr>
          <w:noProof/>
          <w:color w:val="auto"/>
        </w:rPr>
        <w:t xml:space="preserve"> overall</w:t>
      </w:r>
      <w:r w:rsidR="00A77313" w:rsidRPr="6A12644F">
        <w:rPr>
          <w:noProof/>
          <w:color w:val="auto"/>
        </w:rPr>
        <w:t xml:space="preserve"> </w:t>
      </w:r>
      <w:r w:rsidR="007B6D05" w:rsidRPr="6A12644F">
        <w:rPr>
          <w:noProof/>
          <w:color w:val="auto"/>
        </w:rPr>
        <w:t xml:space="preserve">in terms of allowances distributed </w:t>
      </w:r>
      <w:r w:rsidR="00A77313" w:rsidRPr="6A12644F">
        <w:rPr>
          <w:noProof/>
          <w:color w:val="auto"/>
        </w:rPr>
        <w:t xml:space="preserve">than ICC1. </w:t>
      </w:r>
    </w:p>
    <w:p w14:paraId="71EE1E79" w14:textId="77777777" w:rsidR="00DC63F8" w:rsidRPr="000653A9" w:rsidRDefault="00DC63F8" w:rsidP="00794BC8">
      <w:pPr>
        <w:pStyle w:val="Heading3COM"/>
        <w:outlineLvl w:val="3"/>
        <w:rPr>
          <w:noProof/>
        </w:rPr>
      </w:pPr>
      <w:bookmarkStart w:id="453" w:name="_Toc204154652"/>
      <w:bookmarkStart w:id="454" w:name="_Toc211518735"/>
      <w:bookmarkStart w:id="455" w:name="_Toc212049717"/>
      <w:bookmarkStart w:id="456" w:name="_Toc230857920"/>
      <w:bookmarkStart w:id="457" w:name="_Toc232751111"/>
      <w:r w:rsidRPr="000653A9">
        <w:rPr>
          <w:noProof/>
        </w:rPr>
        <w:t>Social impacts</w:t>
      </w:r>
      <w:bookmarkEnd w:id="453"/>
      <w:bookmarkEnd w:id="454"/>
      <w:bookmarkEnd w:id="455"/>
      <w:bookmarkEnd w:id="456"/>
      <w:bookmarkEnd w:id="457"/>
    </w:p>
    <w:p w14:paraId="571408FC" w14:textId="16769F9C" w:rsidR="00DC63F8" w:rsidRPr="000653A9" w:rsidRDefault="00DC63F8" w:rsidP="00794BC8">
      <w:pPr>
        <w:pStyle w:val="Heading4COM"/>
        <w:outlineLvl w:val="4"/>
        <w:rPr>
          <w:noProof/>
        </w:rPr>
      </w:pPr>
      <w:bookmarkStart w:id="458" w:name="_Toc212049718"/>
      <w:bookmarkStart w:id="459" w:name="_Toc230857921"/>
      <w:bookmarkStart w:id="460" w:name="_Toc232751112"/>
      <w:r w:rsidRPr="000653A9">
        <w:rPr>
          <w:noProof/>
        </w:rPr>
        <w:t>Employment</w:t>
      </w:r>
      <w:bookmarkEnd w:id="458"/>
      <w:bookmarkEnd w:id="459"/>
      <w:bookmarkEnd w:id="460"/>
    </w:p>
    <w:p w14:paraId="4C52AF35" w14:textId="1E03F1D8" w:rsidR="007E44B7" w:rsidRPr="000653A9" w:rsidRDefault="007E44B7" w:rsidP="007E44B7">
      <w:pPr>
        <w:rPr>
          <w:rFonts w:eastAsia="Arial"/>
          <w:noProof/>
          <w:color w:val="auto"/>
          <w:lang w:eastAsia="en-GB"/>
        </w:rPr>
      </w:pPr>
      <w:r w:rsidRPr="000653A9">
        <w:rPr>
          <w:rFonts w:eastAsia="Arial"/>
          <w:noProof/>
          <w:color w:val="auto"/>
          <w:lang w:eastAsia="en-GB"/>
        </w:rPr>
        <w:t xml:space="preserve">The issue of employment is directly linked to the long-term viability of industrial production in Europe. During the stakeholder </w:t>
      </w:r>
      <w:r w:rsidR="006562E5" w:rsidRPr="000653A9">
        <w:rPr>
          <w:rFonts w:eastAsia="Arial"/>
          <w:noProof/>
          <w:color w:val="auto"/>
          <w:lang w:eastAsia="en-GB"/>
        </w:rPr>
        <w:t xml:space="preserve">interviews </w:t>
      </w:r>
      <w:r w:rsidRPr="000653A9">
        <w:rPr>
          <w:rFonts w:eastAsia="Arial"/>
          <w:noProof/>
          <w:color w:val="auto"/>
          <w:lang w:eastAsia="en-GB"/>
        </w:rPr>
        <w:t xml:space="preserve">(and further supported by OPC </w:t>
      </w:r>
      <w:r w:rsidR="006562E5" w:rsidRPr="000653A9">
        <w:rPr>
          <w:rFonts w:eastAsia="Arial"/>
          <w:noProof/>
          <w:color w:val="auto"/>
          <w:lang w:eastAsia="en-GB"/>
        </w:rPr>
        <w:t>results</w:t>
      </w:r>
      <w:r w:rsidRPr="000653A9">
        <w:rPr>
          <w:rFonts w:eastAsia="Arial"/>
          <w:noProof/>
          <w:color w:val="auto"/>
          <w:lang w:eastAsia="en-GB"/>
        </w:rPr>
        <w:t xml:space="preserve">), industrial associations and businesses consistently argued that the competitiveness of EU producers would be undermined without the continuation of free allocation and by ensuring that the necessary enabling conditions are in place to enable decarbonisation rather than deindustrialisation </w:t>
      </w:r>
      <w:r w:rsidRPr="000653A9">
        <w:rPr>
          <w:noProof/>
          <w:color w:val="auto"/>
          <w:lang w:eastAsia="en-GB"/>
        </w:rPr>
        <w:t>was frequently</w:t>
      </w:r>
      <w:r w:rsidRPr="000653A9">
        <w:rPr>
          <w:rFonts w:eastAsia="Arial"/>
          <w:noProof/>
          <w:color w:val="auto"/>
          <w:lang w:eastAsia="en-GB"/>
        </w:rPr>
        <w:t xml:space="preserve"> cited by stakeholders.</w:t>
      </w:r>
    </w:p>
    <w:p w14:paraId="2177EC6A" w14:textId="3F56AC0F" w:rsidR="007128BC" w:rsidRPr="000653A9" w:rsidRDefault="007128BC" w:rsidP="007128BC">
      <w:pPr>
        <w:rPr>
          <w:rFonts w:eastAsia="Arial" w:cs="Arial"/>
          <w:noProof/>
          <w:lang w:eastAsia="en-GB"/>
        </w:rPr>
      </w:pPr>
      <w:r w:rsidRPr="000653A9">
        <w:rPr>
          <w:rFonts w:eastAsia="Arial" w:cs="Arial"/>
          <w:noProof/>
        </w:rPr>
        <w:t>The GEM-E3 model was used to estimate the impact of the implementation of policy measures on employment levels. Total economy employment impacts under the policy measures shows a slight positive impact in PO1 following production trends and slight negative impact in the rest of the scenarios.  The largest employment gains occur in chemicals and non-metallic minerals sector, which also records the highest production increase by 2040. Across sectors and policy measures, the overall employment impact ranges from -0.56% to 1.76.</w:t>
      </w:r>
      <w:r w:rsidRPr="000653A9">
        <w:rPr>
          <w:rFonts w:eastAsia="Arial" w:cs="Arial"/>
          <w:noProof/>
          <w:lang w:eastAsia="en-GB"/>
        </w:rPr>
        <w:t xml:space="preserve"> Among the scenarios, PO1R shows the highest employment increase, driven by the volume of free allowances provided along with the alternate revenue recycling option, whereas PO3 records the lowest due to the complete phase-out of free allowances after 2034 and </w:t>
      </w:r>
      <w:r w:rsidRPr="000653A9">
        <w:rPr>
          <w:rFonts w:eastAsia="Arial" w:cs="Arial"/>
          <w:noProof/>
        </w:rPr>
        <w:t>due to the lower production in market services</w:t>
      </w:r>
      <w:r w:rsidRPr="000653A9">
        <w:rPr>
          <w:rFonts w:eastAsia="Arial" w:cs="Arial"/>
          <w:noProof/>
          <w:lang w:eastAsia="en-GB"/>
        </w:rPr>
        <w:t xml:space="preserve">.  </w:t>
      </w:r>
    </w:p>
    <w:p w14:paraId="10B55F2D" w14:textId="7F3DFC1A" w:rsidR="007128BC" w:rsidRPr="000653A9" w:rsidRDefault="007128BC" w:rsidP="00C92FA9">
      <w:pPr>
        <w:pStyle w:val="Tabletitle"/>
        <w:rPr>
          <w:noProof/>
        </w:rPr>
      </w:pPr>
      <w:bookmarkStart w:id="461" w:name="_Toc234435126"/>
      <w:bookmarkStart w:id="462" w:name="_Toc232003596"/>
      <w:r w:rsidRPr="000653A9">
        <w:rPr>
          <w:noProof/>
        </w:rPr>
        <w:t>Sectoral employment change for ETS sectors in 2040 relative to the baseline</w:t>
      </w:r>
      <w:bookmarkEnd w:id="461"/>
      <w:bookmarkEnd w:id="46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703"/>
        <w:gridCol w:w="848"/>
        <w:gridCol w:w="1032"/>
        <w:gridCol w:w="1178"/>
        <w:gridCol w:w="1032"/>
        <w:gridCol w:w="1178"/>
        <w:gridCol w:w="702"/>
        <w:gridCol w:w="848"/>
      </w:tblGrid>
      <w:tr w:rsidR="00DF0B24" w:rsidRPr="000653A9" w14:paraId="46B644A2" w14:textId="77777777" w:rsidTr="001D31D6">
        <w:trPr>
          <w:trHeight w:val="20"/>
          <w:jc w:val="center"/>
        </w:trPr>
        <w:tc>
          <w:tcPr>
            <w:tcW w:w="0" w:type="auto"/>
            <w:vAlign w:val="center"/>
          </w:tcPr>
          <w:p w14:paraId="5C5A4D36" w14:textId="77777777" w:rsidR="00DF0B24" w:rsidRPr="000653A9" w:rsidRDefault="00DF0B24" w:rsidP="001D31D6">
            <w:pPr>
              <w:spacing w:after="0"/>
              <w:jc w:val="center"/>
              <w:rPr>
                <w:noProof/>
                <w:sz w:val="22"/>
                <w:szCs w:val="22"/>
              </w:rPr>
            </w:pPr>
          </w:p>
        </w:tc>
        <w:tc>
          <w:tcPr>
            <w:tcW w:w="0" w:type="auto"/>
            <w:gridSpan w:val="8"/>
            <w:vAlign w:val="center"/>
          </w:tcPr>
          <w:p w14:paraId="3BA1BC01" w14:textId="6BD9F866" w:rsidR="00DF0B24" w:rsidRPr="000653A9" w:rsidRDefault="00DF0B24" w:rsidP="001D31D6">
            <w:pPr>
              <w:spacing w:after="0"/>
              <w:jc w:val="center"/>
              <w:rPr>
                <w:rFonts w:eastAsia="Arial"/>
                <w:noProof/>
                <w:sz w:val="22"/>
                <w:szCs w:val="22"/>
                <w:lang w:eastAsia="en-GB"/>
              </w:rPr>
            </w:pPr>
            <w:r w:rsidRPr="000653A9">
              <w:rPr>
                <w:b/>
                <w:bCs/>
                <w:noProof/>
                <w:sz w:val="22"/>
                <w:szCs w:val="22"/>
              </w:rPr>
              <w:t>Policy measures</w:t>
            </w:r>
          </w:p>
        </w:tc>
      </w:tr>
      <w:tr w:rsidR="002711EB" w:rsidRPr="000653A9" w14:paraId="551A3E7E" w14:textId="77777777" w:rsidTr="001D31D6">
        <w:trPr>
          <w:trHeight w:val="20"/>
          <w:jc w:val="center"/>
        </w:trPr>
        <w:tc>
          <w:tcPr>
            <w:tcW w:w="0" w:type="auto"/>
            <w:vAlign w:val="center"/>
          </w:tcPr>
          <w:p w14:paraId="3AFB3230" w14:textId="77777777" w:rsidR="002711EB" w:rsidRPr="000653A9" w:rsidRDefault="002711EB" w:rsidP="001D31D6">
            <w:pPr>
              <w:spacing w:after="0"/>
              <w:jc w:val="center"/>
              <w:rPr>
                <w:noProof/>
                <w:sz w:val="22"/>
                <w:szCs w:val="22"/>
              </w:rPr>
            </w:pPr>
          </w:p>
        </w:tc>
        <w:tc>
          <w:tcPr>
            <w:tcW w:w="0" w:type="auto"/>
            <w:vAlign w:val="center"/>
          </w:tcPr>
          <w:p w14:paraId="51C12158" w14:textId="19890817" w:rsidR="002711EB" w:rsidRPr="000653A9" w:rsidRDefault="002711EB" w:rsidP="001D31D6">
            <w:pPr>
              <w:spacing w:after="0"/>
              <w:jc w:val="center"/>
              <w:rPr>
                <w:noProof/>
                <w:sz w:val="22"/>
                <w:szCs w:val="22"/>
              </w:rPr>
            </w:pPr>
            <w:r w:rsidRPr="000653A9">
              <w:rPr>
                <w:rFonts w:eastAsia="Arial"/>
                <w:noProof/>
                <w:sz w:val="22"/>
                <w:szCs w:val="22"/>
                <w:lang w:eastAsia="en-GB"/>
              </w:rPr>
              <w:t>PO1 (%)</w:t>
            </w:r>
          </w:p>
        </w:tc>
        <w:tc>
          <w:tcPr>
            <w:tcW w:w="0" w:type="auto"/>
            <w:vAlign w:val="center"/>
          </w:tcPr>
          <w:p w14:paraId="792918DD" w14:textId="390827FB" w:rsidR="002711EB" w:rsidRPr="000653A9" w:rsidRDefault="002711EB" w:rsidP="001D31D6">
            <w:pPr>
              <w:spacing w:after="0"/>
              <w:jc w:val="center"/>
              <w:rPr>
                <w:noProof/>
                <w:sz w:val="22"/>
                <w:szCs w:val="22"/>
              </w:rPr>
            </w:pPr>
            <w:r w:rsidRPr="000653A9">
              <w:rPr>
                <w:rFonts w:eastAsia="Arial"/>
                <w:noProof/>
                <w:sz w:val="22"/>
                <w:szCs w:val="22"/>
                <w:lang w:eastAsia="en-GB"/>
              </w:rPr>
              <w:t>PO1R (%)</w:t>
            </w:r>
          </w:p>
        </w:tc>
        <w:tc>
          <w:tcPr>
            <w:tcW w:w="0" w:type="auto"/>
            <w:vAlign w:val="center"/>
          </w:tcPr>
          <w:p w14:paraId="38ABC5B4" w14:textId="08F2A8EB" w:rsidR="002711EB" w:rsidRPr="000653A9" w:rsidRDefault="002711EB" w:rsidP="001D31D6">
            <w:pPr>
              <w:spacing w:after="0"/>
              <w:jc w:val="center"/>
              <w:rPr>
                <w:noProof/>
                <w:sz w:val="22"/>
                <w:szCs w:val="22"/>
              </w:rPr>
            </w:pPr>
            <w:r w:rsidRPr="000653A9">
              <w:rPr>
                <w:rFonts w:eastAsia="Arial"/>
                <w:noProof/>
                <w:sz w:val="22"/>
                <w:szCs w:val="22"/>
                <w:lang w:eastAsia="en-GB"/>
              </w:rPr>
              <w:t>PO2_50 (%)</w:t>
            </w:r>
          </w:p>
        </w:tc>
        <w:tc>
          <w:tcPr>
            <w:tcW w:w="0" w:type="auto"/>
            <w:vAlign w:val="center"/>
          </w:tcPr>
          <w:p w14:paraId="3BB5DD0E" w14:textId="68D61BA9" w:rsidR="002711EB" w:rsidRPr="000653A9" w:rsidRDefault="002711EB" w:rsidP="001D31D6">
            <w:pPr>
              <w:spacing w:after="0"/>
              <w:jc w:val="center"/>
              <w:rPr>
                <w:rFonts w:eastAsia="Arial"/>
                <w:noProof/>
                <w:sz w:val="22"/>
                <w:szCs w:val="22"/>
                <w:lang w:eastAsia="en-GB"/>
              </w:rPr>
            </w:pPr>
            <w:r w:rsidRPr="000653A9">
              <w:rPr>
                <w:rFonts w:eastAsia="Arial"/>
                <w:noProof/>
                <w:sz w:val="22"/>
                <w:szCs w:val="22"/>
                <w:lang w:eastAsia="en-GB"/>
              </w:rPr>
              <w:t>PO2_50C (%)</w:t>
            </w:r>
          </w:p>
        </w:tc>
        <w:tc>
          <w:tcPr>
            <w:tcW w:w="0" w:type="auto"/>
            <w:vAlign w:val="center"/>
          </w:tcPr>
          <w:p w14:paraId="2CC37662" w14:textId="08BECF20" w:rsidR="002711EB" w:rsidRPr="000653A9" w:rsidRDefault="002711EB" w:rsidP="001D31D6">
            <w:pPr>
              <w:spacing w:after="0"/>
              <w:jc w:val="center"/>
              <w:rPr>
                <w:noProof/>
                <w:sz w:val="22"/>
                <w:szCs w:val="22"/>
              </w:rPr>
            </w:pPr>
            <w:r w:rsidRPr="000653A9">
              <w:rPr>
                <w:rFonts w:eastAsia="Arial"/>
                <w:noProof/>
                <w:sz w:val="22"/>
                <w:szCs w:val="22"/>
                <w:lang w:eastAsia="en-GB"/>
              </w:rPr>
              <w:t>PO2_90 (%)</w:t>
            </w:r>
          </w:p>
        </w:tc>
        <w:tc>
          <w:tcPr>
            <w:tcW w:w="0" w:type="auto"/>
            <w:vAlign w:val="center"/>
          </w:tcPr>
          <w:p w14:paraId="6B966F0A" w14:textId="0567AFF4" w:rsidR="002711EB" w:rsidRPr="000653A9" w:rsidRDefault="001E379D" w:rsidP="001D31D6">
            <w:pPr>
              <w:spacing w:after="0"/>
              <w:jc w:val="center"/>
              <w:rPr>
                <w:rFonts w:eastAsia="Arial"/>
                <w:noProof/>
                <w:sz w:val="22"/>
                <w:szCs w:val="22"/>
                <w:lang w:eastAsia="en-GB"/>
              </w:rPr>
            </w:pPr>
            <w:r w:rsidRPr="000653A9">
              <w:rPr>
                <w:rFonts w:eastAsia="Arial"/>
                <w:noProof/>
                <w:sz w:val="22"/>
                <w:szCs w:val="22"/>
                <w:lang w:eastAsia="en-GB"/>
              </w:rPr>
              <w:t>PO2_90C (%)</w:t>
            </w:r>
          </w:p>
        </w:tc>
        <w:tc>
          <w:tcPr>
            <w:tcW w:w="0" w:type="auto"/>
            <w:vAlign w:val="center"/>
          </w:tcPr>
          <w:p w14:paraId="049A934D" w14:textId="5F3ABDF6" w:rsidR="002711EB" w:rsidRPr="000653A9" w:rsidRDefault="002711EB" w:rsidP="001D31D6">
            <w:pPr>
              <w:spacing w:after="0"/>
              <w:jc w:val="center"/>
              <w:rPr>
                <w:noProof/>
                <w:sz w:val="22"/>
                <w:szCs w:val="22"/>
              </w:rPr>
            </w:pPr>
            <w:r w:rsidRPr="000653A9">
              <w:rPr>
                <w:rFonts w:eastAsia="Arial"/>
                <w:noProof/>
                <w:sz w:val="22"/>
                <w:szCs w:val="22"/>
                <w:lang w:eastAsia="en-GB"/>
              </w:rPr>
              <w:t>PO3 (%)</w:t>
            </w:r>
          </w:p>
        </w:tc>
        <w:tc>
          <w:tcPr>
            <w:tcW w:w="0" w:type="auto"/>
            <w:vAlign w:val="center"/>
          </w:tcPr>
          <w:p w14:paraId="39119F0E" w14:textId="7FCC67F3" w:rsidR="002711EB" w:rsidRPr="000653A9" w:rsidRDefault="002711EB" w:rsidP="001D31D6">
            <w:pPr>
              <w:spacing w:after="0"/>
              <w:jc w:val="center"/>
              <w:rPr>
                <w:noProof/>
                <w:sz w:val="22"/>
                <w:szCs w:val="22"/>
              </w:rPr>
            </w:pPr>
            <w:r w:rsidRPr="000653A9">
              <w:rPr>
                <w:rFonts w:eastAsia="Arial"/>
                <w:noProof/>
                <w:sz w:val="22"/>
                <w:szCs w:val="22"/>
                <w:lang w:eastAsia="en-GB"/>
              </w:rPr>
              <w:t>PO3R (%)</w:t>
            </w:r>
          </w:p>
        </w:tc>
      </w:tr>
      <w:tr w:rsidR="000F53AE" w:rsidRPr="000653A9" w14:paraId="6FA45CD3" w14:textId="77777777" w:rsidTr="001D31D6">
        <w:trPr>
          <w:trHeight w:val="20"/>
          <w:jc w:val="center"/>
        </w:trPr>
        <w:tc>
          <w:tcPr>
            <w:tcW w:w="0" w:type="auto"/>
            <w:vAlign w:val="center"/>
          </w:tcPr>
          <w:p w14:paraId="5396841D" w14:textId="77777777" w:rsidR="000F53AE" w:rsidRPr="000653A9" w:rsidRDefault="000F53AE" w:rsidP="001D31D6">
            <w:pPr>
              <w:spacing w:after="0"/>
              <w:jc w:val="center"/>
              <w:rPr>
                <w:noProof/>
                <w:sz w:val="22"/>
                <w:szCs w:val="22"/>
              </w:rPr>
            </w:pPr>
            <w:r w:rsidRPr="000653A9">
              <w:rPr>
                <w:noProof/>
                <w:sz w:val="22"/>
                <w:szCs w:val="22"/>
              </w:rPr>
              <w:t>Ferrous metals</w:t>
            </w:r>
          </w:p>
        </w:tc>
        <w:tc>
          <w:tcPr>
            <w:tcW w:w="0" w:type="auto"/>
            <w:vAlign w:val="center"/>
          </w:tcPr>
          <w:p w14:paraId="5057240D" w14:textId="77777777" w:rsidR="000F53AE" w:rsidRPr="000653A9" w:rsidRDefault="000F53AE" w:rsidP="001D31D6">
            <w:pPr>
              <w:spacing w:after="0"/>
              <w:jc w:val="center"/>
              <w:rPr>
                <w:noProof/>
                <w:sz w:val="22"/>
                <w:szCs w:val="22"/>
              </w:rPr>
            </w:pPr>
            <w:r w:rsidRPr="000653A9">
              <w:rPr>
                <w:noProof/>
                <w:sz w:val="22"/>
                <w:szCs w:val="22"/>
              </w:rPr>
              <w:t>0.00</w:t>
            </w:r>
          </w:p>
        </w:tc>
        <w:tc>
          <w:tcPr>
            <w:tcW w:w="0" w:type="auto"/>
            <w:vAlign w:val="center"/>
          </w:tcPr>
          <w:p w14:paraId="3A0EE68E" w14:textId="77777777" w:rsidR="000F53AE" w:rsidRPr="000653A9" w:rsidRDefault="000F53AE" w:rsidP="001D31D6">
            <w:pPr>
              <w:spacing w:after="0"/>
              <w:jc w:val="center"/>
              <w:rPr>
                <w:noProof/>
                <w:sz w:val="22"/>
                <w:szCs w:val="22"/>
              </w:rPr>
            </w:pPr>
            <w:r w:rsidRPr="000653A9">
              <w:rPr>
                <w:noProof/>
                <w:sz w:val="22"/>
                <w:szCs w:val="22"/>
              </w:rPr>
              <w:t>-0.56</w:t>
            </w:r>
          </w:p>
        </w:tc>
        <w:tc>
          <w:tcPr>
            <w:tcW w:w="0" w:type="auto"/>
            <w:vAlign w:val="center"/>
          </w:tcPr>
          <w:p w14:paraId="68AFBBA3" w14:textId="77777777" w:rsidR="000F53AE" w:rsidRPr="000653A9" w:rsidRDefault="000F53AE" w:rsidP="001D31D6">
            <w:pPr>
              <w:spacing w:after="0"/>
              <w:jc w:val="center"/>
              <w:rPr>
                <w:noProof/>
                <w:sz w:val="22"/>
                <w:szCs w:val="22"/>
              </w:rPr>
            </w:pPr>
            <w:r w:rsidRPr="000653A9">
              <w:rPr>
                <w:noProof/>
                <w:sz w:val="22"/>
                <w:szCs w:val="22"/>
              </w:rPr>
              <w:t>-0.06</w:t>
            </w:r>
          </w:p>
        </w:tc>
        <w:tc>
          <w:tcPr>
            <w:tcW w:w="0" w:type="auto"/>
            <w:vAlign w:val="center"/>
          </w:tcPr>
          <w:p w14:paraId="39ADBE9E" w14:textId="2A41D4BF" w:rsidR="000F53AE" w:rsidRPr="000653A9" w:rsidRDefault="000F53AE" w:rsidP="001D31D6">
            <w:pPr>
              <w:spacing w:after="0"/>
              <w:jc w:val="center"/>
              <w:rPr>
                <w:noProof/>
                <w:sz w:val="22"/>
                <w:szCs w:val="22"/>
              </w:rPr>
            </w:pPr>
            <w:r w:rsidRPr="000653A9">
              <w:rPr>
                <w:noProof/>
                <w:sz w:val="22"/>
                <w:szCs w:val="22"/>
              </w:rPr>
              <w:t>0.30</w:t>
            </w:r>
          </w:p>
        </w:tc>
        <w:tc>
          <w:tcPr>
            <w:tcW w:w="0" w:type="auto"/>
            <w:vAlign w:val="center"/>
          </w:tcPr>
          <w:p w14:paraId="76712EA2" w14:textId="78C50716" w:rsidR="000F53AE" w:rsidRPr="000653A9" w:rsidRDefault="000F53AE" w:rsidP="001D31D6">
            <w:pPr>
              <w:spacing w:after="0"/>
              <w:jc w:val="center"/>
              <w:rPr>
                <w:noProof/>
                <w:sz w:val="22"/>
                <w:szCs w:val="22"/>
              </w:rPr>
            </w:pPr>
            <w:r w:rsidRPr="000653A9">
              <w:rPr>
                <w:noProof/>
                <w:sz w:val="22"/>
                <w:szCs w:val="22"/>
              </w:rPr>
              <w:t>-0.06</w:t>
            </w:r>
          </w:p>
        </w:tc>
        <w:tc>
          <w:tcPr>
            <w:tcW w:w="0" w:type="auto"/>
            <w:vAlign w:val="center"/>
          </w:tcPr>
          <w:p w14:paraId="3B526877" w14:textId="1B28C8E2" w:rsidR="000F53AE" w:rsidRPr="000653A9" w:rsidRDefault="000F53AE" w:rsidP="001D31D6">
            <w:pPr>
              <w:spacing w:after="0"/>
              <w:jc w:val="center"/>
              <w:rPr>
                <w:noProof/>
                <w:sz w:val="22"/>
                <w:szCs w:val="22"/>
              </w:rPr>
            </w:pPr>
            <w:r w:rsidRPr="000653A9">
              <w:rPr>
                <w:noProof/>
                <w:sz w:val="22"/>
                <w:szCs w:val="22"/>
              </w:rPr>
              <w:t>0.24</w:t>
            </w:r>
          </w:p>
        </w:tc>
        <w:tc>
          <w:tcPr>
            <w:tcW w:w="0" w:type="auto"/>
            <w:vAlign w:val="center"/>
          </w:tcPr>
          <w:p w14:paraId="5BE082E8" w14:textId="412ECBEF" w:rsidR="000F53AE" w:rsidRPr="000653A9" w:rsidRDefault="000F53AE" w:rsidP="001D31D6">
            <w:pPr>
              <w:spacing w:after="0"/>
              <w:jc w:val="center"/>
              <w:rPr>
                <w:noProof/>
                <w:sz w:val="22"/>
                <w:szCs w:val="22"/>
              </w:rPr>
            </w:pPr>
            <w:r w:rsidRPr="000653A9">
              <w:rPr>
                <w:noProof/>
                <w:sz w:val="22"/>
                <w:szCs w:val="22"/>
              </w:rPr>
              <w:t>0.27</w:t>
            </w:r>
          </w:p>
        </w:tc>
        <w:tc>
          <w:tcPr>
            <w:tcW w:w="0" w:type="auto"/>
            <w:vAlign w:val="center"/>
          </w:tcPr>
          <w:p w14:paraId="4F0AE29C" w14:textId="77777777" w:rsidR="000F53AE" w:rsidRPr="000653A9" w:rsidRDefault="000F53AE" w:rsidP="001D31D6">
            <w:pPr>
              <w:spacing w:after="0"/>
              <w:jc w:val="center"/>
              <w:rPr>
                <w:noProof/>
                <w:sz w:val="22"/>
                <w:szCs w:val="22"/>
              </w:rPr>
            </w:pPr>
            <w:r w:rsidRPr="000653A9">
              <w:rPr>
                <w:noProof/>
                <w:sz w:val="22"/>
                <w:szCs w:val="22"/>
              </w:rPr>
              <w:t>-0.23</w:t>
            </w:r>
          </w:p>
        </w:tc>
      </w:tr>
      <w:tr w:rsidR="000F53AE" w:rsidRPr="000653A9" w14:paraId="4C1BC77B" w14:textId="77777777" w:rsidTr="001D31D6">
        <w:trPr>
          <w:trHeight w:val="20"/>
          <w:jc w:val="center"/>
        </w:trPr>
        <w:tc>
          <w:tcPr>
            <w:tcW w:w="0" w:type="auto"/>
            <w:vAlign w:val="center"/>
          </w:tcPr>
          <w:p w14:paraId="0F8A08E9" w14:textId="77777777" w:rsidR="000F53AE" w:rsidRPr="000653A9" w:rsidRDefault="000F53AE" w:rsidP="001D31D6">
            <w:pPr>
              <w:spacing w:after="0"/>
              <w:jc w:val="center"/>
              <w:rPr>
                <w:noProof/>
                <w:sz w:val="22"/>
                <w:szCs w:val="22"/>
              </w:rPr>
            </w:pPr>
            <w:r w:rsidRPr="000653A9">
              <w:rPr>
                <w:noProof/>
                <w:sz w:val="22"/>
                <w:szCs w:val="22"/>
              </w:rPr>
              <w:t>Non-ferrous metals</w:t>
            </w:r>
          </w:p>
        </w:tc>
        <w:tc>
          <w:tcPr>
            <w:tcW w:w="0" w:type="auto"/>
            <w:vAlign w:val="center"/>
          </w:tcPr>
          <w:p w14:paraId="3D8488AB" w14:textId="77777777" w:rsidR="000F53AE" w:rsidRPr="000653A9" w:rsidRDefault="000F53AE" w:rsidP="001D31D6">
            <w:pPr>
              <w:spacing w:after="0"/>
              <w:jc w:val="center"/>
              <w:rPr>
                <w:noProof/>
                <w:sz w:val="22"/>
                <w:szCs w:val="22"/>
              </w:rPr>
            </w:pPr>
            <w:r w:rsidRPr="000653A9">
              <w:rPr>
                <w:noProof/>
                <w:sz w:val="22"/>
                <w:szCs w:val="22"/>
              </w:rPr>
              <w:t>0.27</w:t>
            </w:r>
          </w:p>
        </w:tc>
        <w:tc>
          <w:tcPr>
            <w:tcW w:w="0" w:type="auto"/>
            <w:vAlign w:val="center"/>
          </w:tcPr>
          <w:p w14:paraId="207BE08A" w14:textId="77777777" w:rsidR="000F53AE" w:rsidRPr="000653A9" w:rsidRDefault="000F53AE" w:rsidP="001D31D6">
            <w:pPr>
              <w:spacing w:after="0"/>
              <w:jc w:val="center"/>
              <w:rPr>
                <w:noProof/>
                <w:sz w:val="22"/>
                <w:szCs w:val="22"/>
              </w:rPr>
            </w:pPr>
            <w:r w:rsidRPr="000653A9">
              <w:rPr>
                <w:noProof/>
                <w:sz w:val="22"/>
                <w:szCs w:val="22"/>
              </w:rPr>
              <w:t>-0.41</w:t>
            </w:r>
          </w:p>
        </w:tc>
        <w:tc>
          <w:tcPr>
            <w:tcW w:w="0" w:type="auto"/>
            <w:vAlign w:val="center"/>
          </w:tcPr>
          <w:p w14:paraId="4B61CE7F" w14:textId="77777777" w:rsidR="000F53AE" w:rsidRPr="000653A9" w:rsidRDefault="000F53AE" w:rsidP="001D31D6">
            <w:pPr>
              <w:spacing w:after="0"/>
              <w:jc w:val="center"/>
              <w:rPr>
                <w:noProof/>
                <w:sz w:val="22"/>
                <w:szCs w:val="22"/>
              </w:rPr>
            </w:pPr>
            <w:r w:rsidRPr="000653A9">
              <w:rPr>
                <w:noProof/>
                <w:sz w:val="22"/>
                <w:szCs w:val="22"/>
              </w:rPr>
              <w:t>0.12</w:t>
            </w:r>
          </w:p>
        </w:tc>
        <w:tc>
          <w:tcPr>
            <w:tcW w:w="0" w:type="auto"/>
            <w:vAlign w:val="center"/>
          </w:tcPr>
          <w:p w14:paraId="5D4E7BB0" w14:textId="3A8B6673" w:rsidR="000F53AE" w:rsidRPr="000653A9" w:rsidRDefault="000F53AE" w:rsidP="001D31D6">
            <w:pPr>
              <w:spacing w:after="0"/>
              <w:jc w:val="center"/>
              <w:rPr>
                <w:noProof/>
                <w:sz w:val="22"/>
                <w:szCs w:val="22"/>
              </w:rPr>
            </w:pPr>
            <w:r w:rsidRPr="000653A9">
              <w:rPr>
                <w:noProof/>
                <w:sz w:val="22"/>
                <w:szCs w:val="22"/>
              </w:rPr>
              <w:t>0.25</w:t>
            </w:r>
          </w:p>
        </w:tc>
        <w:tc>
          <w:tcPr>
            <w:tcW w:w="0" w:type="auto"/>
            <w:vAlign w:val="center"/>
          </w:tcPr>
          <w:p w14:paraId="4838E18D" w14:textId="316726F6" w:rsidR="000F53AE" w:rsidRPr="000653A9" w:rsidRDefault="000F53AE" w:rsidP="001D31D6">
            <w:pPr>
              <w:spacing w:after="0"/>
              <w:jc w:val="center"/>
              <w:rPr>
                <w:noProof/>
                <w:sz w:val="22"/>
                <w:szCs w:val="22"/>
              </w:rPr>
            </w:pPr>
            <w:r w:rsidRPr="000653A9">
              <w:rPr>
                <w:noProof/>
                <w:sz w:val="22"/>
                <w:szCs w:val="22"/>
              </w:rPr>
              <w:t>0.20</w:t>
            </w:r>
          </w:p>
        </w:tc>
        <w:tc>
          <w:tcPr>
            <w:tcW w:w="0" w:type="auto"/>
            <w:vAlign w:val="center"/>
          </w:tcPr>
          <w:p w14:paraId="47528295" w14:textId="06AF4DA9" w:rsidR="000F53AE" w:rsidRPr="000653A9" w:rsidRDefault="000F53AE" w:rsidP="001D31D6">
            <w:pPr>
              <w:spacing w:after="0"/>
              <w:jc w:val="center"/>
              <w:rPr>
                <w:noProof/>
                <w:sz w:val="22"/>
                <w:szCs w:val="22"/>
              </w:rPr>
            </w:pPr>
            <w:r w:rsidRPr="000653A9">
              <w:rPr>
                <w:noProof/>
                <w:sz w:val="22"/>
                <w:szCs w:val="22"/>
              </w:rPr>
              <w:t>0.31</w:t>
            </w:r>
          </w:p>
        </w:tc>
        <w:tc>
          <w:tcPr>
            <w:tcW w:w="0" w:type="auto"/>
            <w:vAlign w:val="center"/>
          </w:tcPr>
          <w:p w14:paraId="1599ED88" w14:textId="3BAF18AD" w:rsidR="000F53AE" w:rsidRPr="000653A9" w:rsidRDefault="000F53AE" w:rsidP="001D31D6">
            <w:pPr>
              <w:spacing w:after="0"/>
              <w:jc w:val="center"/>
              <w:rPr>
                <w:noProof/>
                <w:sz w:val="22"/>
                <w:szCs w:val="22"/>
              </w:rPr>
            </w:pPr>
            <w:r w:rsidRPr="000653A9">
              <w:rPr>
                <w:noProof/>
                <w:sz w:val="22"/>
                <w:szCs w:val="22"/>
              </w:rPr>
              <w:t>0.60</w:t>
            </w:r>
          </w:p>
        </w:tc>
        <w:tc>
          <w:tcPr>
            <w:tcW w:w="0" w:type="auto"/>
            <w:vAlign w:val="center"/>
          </w:tcPr>
          <w:p w14:paraId="4D3A2EA1" w14:textId="77777777" w:rsidR="000F53AE" w:rsidRPr="000653A9" w:rsidRDefault="000F53AE" w:rsidP="001D31D6">
            <w:pPr>
              <w:spacing w:after="0"/>
              <w:jc w:val="center"/>
              <w:rPr>
                <w:noProof/>
                <w:sz w:val="22"/>
                <w:szCs w:val="22"/>
              </w:rPr>
            </w:pPr>
            <w:r w:rsidRPr="000653A9">
              <w:rPr>
                <w:noProof/>
                <w:sz w:val="22"/>
                <w:szCs w:val="22"/>
              </w:rPr>
              <w:t>-0.01</w:t>
            </w:r>
          </w:p>
        </w:tc>
      </w:tr>
      <w:tr w:rsidR="000F53AE" w:rsidRPr="000653A9" w14:paraId="71D99F8E" w14:textId="77777777" w:rsidTr="001D31D6">
        <w:trPr>
          <w:trHeight w:val="20"/>
          <w:jc w:val="center"/>
        </w:trPr>
        <w:tc>
          <w:tcPr>
            <w:tcW w:w="0" w:type="auto"/>
            <w:vAlign w:val="center"/>
          </w:tcPr>
          <w:p w14:paraId="60C09039" w14:textId="77777777" w:rsidR="000F53AE" w:rsidRPr="000653A9" w:rsidRDefault="000F53AE" w:rsidP="001D31D6">
            <w:pPr>
              <w:spacing w:after="0"/>
              <w:jc w:val="center"/>
              <w:rPr>
                <w:noProof/>
                <w:sz w:val="22"/>
                <w:szCs w:val="22"/>
              </w:rPr>
            </w:pPr>
            <w:r w:rsidRPr="000653A9">
              <w:rPr>
                <w:noProof/>
                <w:sz w:val="22"/>
                <w:szCs w:val="22"/>
              </w:rPr>
              <w:t>Chemical Products</w:t>
            </w:r>
          </w:p>
        </w:tc>
        <w:tc>
          <w:tcPr>
            <w:tcW w:w="0" w:type="auto"/>
            <w:vAlign w:val="center"/>
          </w:tcPr>
          <w:p w14:paraId="5669D30A" w14:textId="77777777" w:rsidR="000F53AE" w:rsidRPr="000653A9" w:rsidRDefault="000F53AE" w:rsidP="001D31D6">
            <w:pPr>
              <w:spacing w:after="0"/>
              <w:jc w:val="center"/>
              <w:rPr>
                <w:noProof/>
                <w:sz w:val="22"/>
                <w:szCs w:val="22"/>
              </w:rPr>
            </w:pPr>
            <w:r w:rsidRPr="000653A9">
              <w:rPr>
                <w:noProof/>
                <w:sz w:val="22"/>
                <w:szCs w:val="22"/>
              </w:rPr>
              <w:t>1.13</w:t>
            </w:r>
          </w:p>
        </w:tc>
        <w:tc>
          <w:tcPr>
            <w:tcW w:w="0" w:type="auto"/>
            <w:vAlign w:val="center"/>
          </w:tcPr>
          <w:p w14:paraId="34D21BE6" w14:textId="77777777" w:rsidR="000F53AE" w:rsidRPr="000653A9" w:rsidRDefault="000F53AE" w:rsidP="001D31D6">
            <w:pPr>
              <w:spacing w:after="0"/>
              <w:jc w:val="center"/>
              <w:rPr>
                <w:noProof/>
                <w:sz w:val="22"/>
                <w:szCs w:val="22"/>
              </w:rPr>
            </w:pPr>
            <w:r w:rsidRPr="000653A9">
              <w:rPr>
                <w:noProof/>
                <w:sz w:val="22"/>
                <w:szCs w:val="22"/>
              </w:rPr>
              <w:t>0.75</w:t>
            </w:r>
          </w:p>
        </w:tc>
        <w:tc>
          <w:tcPr>
            <w:tcW w:w="0" w:type="auto"/>
            <w:vAlign w:val="center"/>
          </w:tcPr>
          <w:p w14:paraId="7B85044B" w14:textId="77777777" w:rsidR="000F53AE" w:rsidRPr="000653A9" w:rsidRDefault="000F53AE" w:rsidP="001D31D6">
            <w:pPr>
              <w:spacing w:after="0"/>
              <w:jc w:val="center"/>
              <w:rPr>
                <w:noProof/>
                <w:sz w:val="22"/>
                <w:szCs w:val="22"/>
              </w:rPr>
            </w:pPr>
            <w:r w:rsidRPr="000653A9">
              <w:rPr>
                <w:noProof/>
                <w:sz w:val="22"/>
                <w:szCs w:val="22"/>
              </w:rPr>
              <w:t>0.56</w:t>
            </w:r>
          </w:p>
        </w:tc>
        <w:tc>
          <w:tcPr>
            <w:tcW w:w="0" w:type="auto"/>
            <w:vAlign w:val="center"/>
          </w:tcPr>
          <w:p w14:paraId="545C8A1B" w14:textId="10E6130F" w:rsidR="000F53AE" w:rsidRPr="000653A9" w:rsidRDefault="000F53AE" w:rsidP="001D31D6">
            <w:pPr>
              <w:spacing w:after="0"/>
              <w:jc w:val="center"/>
              <w:rPr>
                <w:noProof/>
                <w:sz w:val="22"/>
                <w:szCs w:val="22"/>
              </w:rPr>
            </w:pPr>
            <w:r w:rsidRPr="000653A9">
              <w:rPr>
                <w:noProof/>
                <w:sz w:val="22"/>
                <w:szCs w:val="22"/>
              </w:rPr>
              <w:t>0.65</w:t>
            </w:r>
          </w:p>
        </w:tc>
        <w:tc>
          <w:tcPr>
            <w:tcW w:w="0" w:type="auto"/>
            <w:vAlign w:val="center"/>
          </w:tcPr>
          <w:p w14:paraId="357B7040" w14:textId="249A73E3" w:rsidR="000F53AE" w:rsidRPr="000653A9" w:rsidRDefault="000F53AE" w:rsidP="001D31D6">
            <w:pPr>
              <w:spacing w:after="0"/>
              <w:jc w:val="center"/>
              <w:rPr>
                <w:noProof/>
                <w:sz w:val="22"/>
                <w:szCs w:val="22"/>
              </w:rPr>
            </w:pPr>
            <w:r w:rsidRPr="000653A9">
              <w:rPr>
                <w:noProof/>
                <w:sz w:val="22"/>
                <w:szCs w:val="22"/>
              </w:rPr>
              <w:t>0.90</w:t>
            </w:r>
          </w:p>
        </w:tc>
        <w:tc>
          <w:tcPr>
            <w:tcW w:w="0" w:type="auto"/>
            <w:vAlign w:val="center"/>
          </w:tcPr>
          <w:p w14:paraId="12524B94" w14:textId="0E4311C8" w:rsidR="000F53AE" w:rsidRPr="000653A9" w:rsidRDefault="000F53AE" w:rsidP="001D31D6">
            <w:pPr>
              <w:spacing w:after="0"/>
              <w:jc w:val="center"/>
              <w:rPr>
                <w:noProof/>
                <w:sz w:val="22"/>
                <w:szCs w:val="22"/>
              </w:rPr>
            </w:pPr>
            <w:r w:rsidRPr="000653A9">
              <w:rPr>
                <w:noProof/>
                <w:sz w:val="22"/>
                <w:szCs w:val="22"/>
              </w:rPr>
              <w:t>0.97</w:t>
            </w:r>
          </w:p>
        </w:tc>
        <w:tc>
          <w:tcPr>
            <w:tcW w:w="0" w:type="auto"/>
            <w:vAlign w:val="center"/>
          </w:tcPr>
          <w:p w14:paraId="77D752AB" w14:textId="04537F96" w:rsidR="000F53AE" w:rsidRPr="000653A9" w:rsidRDefault="000F53AE" w:rsidP="001D31D6">
            <w:pPr>
              <w:spacing w:after="0"/>
              <w:jc w:val="center"/>
              <w:rPr>
                <w:noProof/>
                <w:sz w:val="22"/>
                <w:szCs w:val="22"/>
              </w:rPr>
            </w:pPr>
            <w:r w:rsidRPr="000653A9">
              <w:rPr>
                <w:noProof/>
                <w:sz w:val="22"/>
                <w:szCs w:val="22"/>
              </w:rPr>
              <w:t>0.50</w:t>
            </w:r>
          </w:p>
        </w:tc>
        <w:tc>
          <w:tcPr>
            <w:tcW w:w="0" w:type="auto"/>
            <w:vAlign w:val="center"/>
          </w:tcPr>
          <w:p w14:paraId="1A8B6CCC" w14:textId="77777777" w:rsidR="000F53AE" w:rsidRPr="000653A9" w:rsidRDefault="000F53AE" w:rsidP="001D31D6">
            <w:pPr>
              <w:spacing w:after="0"/>
              <w:jc w:val="center"/>
              <w:rPr>
                <w:noProof/>
                <w:sz w:val="22"/>
                <w:szCs w:val="22"/>
              </w:rPr>
            </w:pPr>
            <w:r w:rsidRPr="000653A9">
              <w:rPr>
                <w:noProof/>
                <w:sz w:val="22"/>
                <w:szCs w:val="22"/>
              </w:rPr>
              <w:t>0.25</w:t>
            </w:r>
          </w:p>
        </w:tc>
      </w:tr>
      <w:tr w:rsidR="000F53AE" w:rsidRPr="000653A9" w14:paraId="6945F451" w14:textId="77777777" w:rsidTr="001D31D6">
        <w:trPr>
          <w:trHeight w:val="20"/>
          <w:jc w:val="center"/>
        </w:trPr>
        <w:tc>
          <w:tcPr>
            <w:tcW w:w="0" w:type="auto"/>
            <w:vAlign w:val="center"/>
          </w:tcPr>
          <w:p w14:paraId="44CAF56F" w14:textId="77777777" w:rsidR="000F53AE" w:rsidRPr="000653A9" w:rsidRDefault="000F53AE" w:rsidP="001D31D6">
            <w:pPr>
              <w:spacing w:after="0"/>
              <w:jc w:val="center"/>
              <w:rPr>
                <w:noProof/>
                <w:sz w:val="22"/>
                <w:szCs w:val="22"/>
              </w:rPr>
            </w:pPr>
            <w:r w:rsidRPr="000653A9">
              <w:rPr>
                <w:noProof/>
                <w:sz w:val="22"/>
                <w:szCs w:val="22"/>
              </w:rPr>
              <w:t>Paper products, publishing</w:t>
            </w:r>
          </w:p>
        </w:tc>
        <w:tc>
          <w:tcPr>
            <w:tcW w:w="0" w:type="auto"/>
            <w:vAlign w:val="center"/>
          </w:tcPr>
          <w:p w14:paraId="39367E10" w14:textId="77777777" w:rsidR="000F53AE" w:rsidRPr="000653A9" w:rsidRDefault="000F53AE" w:rsidP="001D31D6">
            <w:pPr>
              <w:spacing w:after="0"/>
              <w:jc w:val="center"/>
              <w:rPr>
                <w:noProof/>
                <w:sz w:val="22"/>
                <w:szCs w:val="22"/>
              </w:rPr>
            </w:pPr>
            <w:r w:rsidRPr="000653A9">
              <w:rPr>
                <w:noProof/>
                <w:sz w:val="22"/>
                <w:szCs w:val="22"/>
              </w:rPr>
              <w:t>0.02</w:t>
            </w:r>
          </w:p>
        </w:tc>
        <w:tc>
          <w:tcPr>
            <w:tcW w:w="0" w:type="auto"/>
            <w:vAlign w:val="center"/>
          </w:tcPr>
          <w:p w14:paraId="7A8F0460" w14:textId="77777777" w:rsidR="000F53AE" w:rsidRPr="000653A9" w:rsidRDefault="000F53AE" w:rsidP="001D31D6">
            <w:pPr>
              <w:spacing w:after="0"/>
              <w:jc w:val="center"/>
              <w:rPr>
                <w:noProof/>
                <w:sz w:val="22"/>
                <w:szCs w:val="22"/>
              </w:rPr>
            </w:pPr>
            <w:r w:rsidRPr="000653A9">
              <w:rPr>
                <w:noProof/>
                <w:sz w:val="22"/>
                <w:szCs w:val="22"/>
              </w:rPr>
              <w:t>0.00</w:t>
            </w:r>
          </w:p>
        </w:tc>
        <w:tc>
          <w:tcPr>
            <w:tcW w:w="0" w:type="auto"/>
            <w:vAlign w:val="center"/>
          </w:tcPr>
          <w:p w14:paraId="5BA7CB89" w14:textId="77777777" w:rsidR="000F53AE" w:rsidRPr="000653A9" w:rsidRDefault="000F53AE" w:rsidP="001D31D6">
            <w:pPr>
              <w:spacing w:after="0"/>
              <w:jc w:val="center"/>
              <w:rPr>
                <w:noProof/>
                <w:sz w:val="22"/>
                <w:szCs w:val="22"/>
              </w:rPr>
            </w:pPr>
            <w:r w:rsidRPr="000653A9">
              <w:rPr>
                <w:noProof/>
                <w:sz w:val="22"/>
                <w:szCs w:val="22"/>
              </w:rPr>
              <w:t>-0.04</w:t>
            </w:r>
          </w:p>
        </w:tc>
        <w:tc>
          <w:tcPr>
            <w:tcW w:w="0" w:type="auto"/>
            <w:vAlign w:val="center"/>
          </w:tcPr>
          <w:p w14:paraId="012E0241" w14:textId="6575F2A6" w:rsidR="000F53AE" w:rsidRPr="000653A9" w:rsidRDefault="000F53AE" w:rsidP="001D31D6">
            <w:pPr>
              <w:spacing w:after="0"/>
              <w:jc w:val="center"/>
              <w:rPr>
                <w:noProof/>
                <w:sz w:val="22"/>
                <w:szCs w:val="22"/>
              </w:rPr>
            </w:pPr>
            <w:r w:rsidRPr="000653A9">
              <w:rPr>
                <w:noProof/>
                <w:sz w:val="22"/>
                <w:szCs w:val="22"/>
              </w:rPr>
              <w:t>-0.05</w:t>
            </w:r>
          </w:p>
        </w:tc>
        <w:tc>
          <w:tcPr>
            <w:tcW w:w="0" w:type="auto"/>
            <w:vAlign w:val="center"/>
          </w:tcPr>
          <w:p w14:paraId="3BF95C49" w14:textId="1735ACAC" w:rsidR="000F53AE" w:rsidRPr="000653A9" w:rsidRDefault="000F53AE" w:rsidP="001D31D6">
            <w:pPr>
              <w:spacing w:after="0"/>
              <w:jc w:val="center"/>
              <w:rPr>
                <w:noProof/>
                <w:sz w:val="22"/>
                <w:szCs w:val="22"/>
              </w:rPr>
            </w:pPr>
            <w:r w:rsidRPr="000653A9">
              <w:rPr>
                <w:noProof/>
                <w:sz w:val="22"/>
                <w:szCs w:val="22"/>
              </w:rPr>
              <w:t>-0.03</w:t>
            </w:r>
          </w:p>
        </w:tc>
        <w:tc>
          <w:tcPr>
            <w:tcW w:w="0" w:type="auto"/>
            <w:vAlign w:val="center"/>
          </w:tcPr>
          <w:p w14:paraId="31E27E79" w14:textId="3E0DE0C6" w:rsidR="000F53AE" w:rsidRPr="000653A9" w:rsidRDefault="000F53AE" w:rsidP="001D31D6">
            <w:pPr>
              <w:spacing w:after="0"/>
              <w:jc w:val="center"/>
              <w:rPr>
                <w:noProof/>
                <w:sz w:val="22"/>
                <w:szCs w:val="22"/>
              </w:rPr>
            </w:pPr>
            <w:r w:rsidRPr="000653A9">
              <w:rPr>
                <w:noProof/>
                <w:sz w:val="22"/>
                <w:szCs w:val="22"/>
              </w:rPr>
              <w:t>-0.05</w:t>
            </w:r>
          </w:p>
        </w:tc>
        <w:tc>
          <w:tcPr>
            <w:tcW w:w="0" w:type="auto"/>
            <w:vAlign w:val="center"/>
          </w:tcPr>
          <w:p w14:paraId="4EEEB367" w14:textId="6FFC01EB" w:rsidR="000F53AE" w:rsidRPr="000653A9" w:rsidRDefault="000F53AE" w:rsidP="001D31D6">
            <w:pPr>
              <w:spacing w:after="0"/>
              <w:jc w:val="center"/>
              <w:rPr>
                <w:noProof/>
                <w:sz w:val="22"/>
                <w:szCs w:val="22"/>
              </w:rPr>
            </w:pPr>
            <w:r w:rsidRPr="000653A9">
              <w:rPr>
                <w:noProof/>
                <w:sz w:val="22"/>
                <w:szCs w:val="22"/>
              </w:rPr>
              <w:t>0.00</w:t>
            </w:r>
          </w:p>
        </w:tc>
        <w:tc>
          <w:tcPr>
            <w:tcW w:w="0" w:type="auto"/>
            <w:vAlign w:val="center"/>
          </w:tcPr>
          <w:p w14:paraId="36655A4C" w14:textId="77777777" w:rsidR="000F53AE" w:rsidRPr="000653A9" w:rsidRDefault="000F53AE" w:rsidP="001D31D6">
            <w:pPr>
              <w:spacing w:after="0"/>
              <w:jc w:val="center"/>
              <w:rPr>
                <w:noProof/>
                <w:sz w:val="22"/>
                <w:szCs w:val="22"/>
              </w:rPr>
            </w:pPr>
            <w:r w:rsidRPr="000653A9">
              <w:rPr>
                <w:noProof/>
                <w:sz w:val="22"/>
                <w:szCs w:val="22"/>
              </w:rPr>
              <w:t>-0.01</w:t>
            </w:r>
          </w:p>
        </w:tc>
      </w:tr>
      <w:tr w:rsidR="000F53AE" w:rsidRPr="000653A9" w14:paraId="41EE4368" w14:textId="77777777" w:rsidTr="001D31D6">
        <w:trPr>
          <w:trHeight w:val="20"/>
          <w:jc w:val="center"/>
        </w:trPr>
        <w:tc>
          <w:tcPr>
            <w:tcW w:w="0" w:type="auto"/>
            <w:vAlign w:val="center"/>
          </w:tcPr>
          <w:p w14:paraId="3BBAB80B" w14:textId="77777777" w:rsidR="000F53AE" w:rsidRPr="000653A9" w:rsidRDefault="000F53AE" w:rsidP="001D31D6">
            <w:pPr>
              <w:spacing w:after="0"/>
              <w:jc w:val="center"/>
              <w:rPr>
                <w:noProof/>
                <w:sz w:val="22"/>
                <w:szCs w:val="22"/>
              </w:rPr>
            </w:pPr>
            <w:r w:rsidRPr="000653A9">
              <w:rPr>
                <w:noProof/>
                <w:sz w:val="22"/>
                <w:szCs w:val="22"/>
              </w:rPr>
              <w:t>Non-metallic minerals</w:t>
            </w:r>
          </w:p>
        </w:tc>
        <w:tc>
          <w:tcPr>
            <w:tcW w:w="0" w:type="auto"/>
            <w:vAlign w:val="center"/>
          </w:tcPr>
          <w:p w14:paraId="05335810" w14:textId="77777777" w:rsidR="000F53AE" w:rsidRPr="000653A9" w:rsidRDefault="000F53AE" w:rsidP="001D31D6">
            <w:pPr>
              <w:spacing w:after="0"/>
              <w:jc w:val="center"/>
              <w:rPr>
                <w:noProof/>
                <w:sz w:val="22"/>
                <w:szCs w:val="22"/>
              </w:rPr>
            </w:pPr>
            <w:r w:rsidRPr="000653A9">
              <w:rPr>
                <w:noProof/>
                <w:sz w:val="22"/>
                <w:szCs w:val="22"/>
              </w:rPr>
              <w:t>1.18</w:t>
            </w:r>
          </w:p>
        </w:tc>
        <w:tc>
          <w:tcPr>
            <w:tcW w:w="0" w:type="auto"/>
            <w:vAlign w:val="center"/>
          </w:tcPr>
          <w:p w14:paraId="1DC61E07" w14:textId="77777777" w:rsidR="000F53AE" w:rsidRPr="000653A9" w:rsidRDefault="000F53AE" w:rsidP="001D31D6">
            <w:pPr>
              <w:spacing w:after="0"/>
              <w:jc w:val="center"/>
              <w:rPr>
                <w:noProof/>
                <w:sz w:val="22"/>
                <w:szCs w:val="22"/>
              </w:rPr>
            </w:pPr>
            <w:r w:rsidRPr="000653A9">
              <w:rPr>
                <w:noProof/>
                <w:sz w:val="22"/>
                <w:szCs w:val="22"/>
              </w:rPr>
              <w:t>0.88</w:t>
            </w:r>
          </w:p>
        </w:tc>
        <w:tc>
          <w:tcPr>
            <w:tcW w:w="0" w:type="auto"/>
            <w:vAlign w:val="center"/>
          </w:tcPr>
          <w:p w14:paraId="547ABF91" w14:textId="77777777" w:rsidR="000F53AE" w:rsidRPr="000653A9" w:rsidRDefault="000F53AE" w:rsidP="001D31D6">
            <w:pPr>
              <w:spacing w:after="0"/>
              <w:jc w:val="center"/>
              <w:rPr>
                <w:noProof/>
                <w:sz w:val="22"/>
                <w:szCs w:val="22"/>
              </w:rPr>
            </w:pPr>
            <w:r w:rsidRPr="000653A9">
              <w:rPr>
                <w:noProof/>
                <w:sz w:val="22"/>
                <w:szCs w:val="22"/>
              </w:rPr>
              <w:t>0.80</w:t>
            </w:r>
          </w:p>
        </w:tc>
        <w:tc>
          <w:tcPr>
            <w:tcW w:w="0" w:type="auto"/>
            <w:vAlign w:val="center"/>
          </w:tcPr>
          <w:p w14:paraId="1F51DB44" w14:textId="78EAC017" w:rsidR="000F53AE" w:rsidRPr="000653A9" w:rsidRDefault="000F53AE" w:rsidP="001D31D6">
            <w:pPr>
              <w:spacing w:after="0"/>
              <w:jc w:val="center"/>
              <w:rPr>
                <w:noProof/>
                <w:sz w:val="22"/>
                <w:szCs w:val="22"/>
              </w:rPr>
            </w:pPr>
            <w:r w:rsidRPr="000653A9">
              <w:rPr>
                <w:noProof/>
                <w:sz w:val="22"/>
                <w:szCs w:val="22"/>
              </w:rPr>
              <w:t>1.52</w:t>
            </w:r>
          </w:p>
        </w:tc>
        <w:tc>
          <w:tcPr>
            <w:tcW w:w="0" w:type="auto"/>
            <w:vAlign w:val="center"/>
          </w:tcPr>
          <w:p w14:paraId="1138A485" w14:textId="22E0A620" w:rsidR="000F53AE" w:rsidRPr="000653A9" w:rsidRDefault="000F53AE" w:rsidP="001D31D6">
            <w:pPr>
              <w:spacing w:after="0"/>
              <w:jc w:val="center"/>
              <w:rPr>
                <w:noProof/>
                <w:sz w:val="22"/>
                <w:szCs w:val="22"/>
              </w:rPr>
            </w:pPr>
            <w:r w:rsidRPr="000653A9">
              <w:rPr>
                <w:noProof/>
                <w:sz w:val="22"/>
                <w:szCs w:val="22"/>
              </w:rPr>
              <w:t>1.16</w:t>
            </w:r>
          </w:p>
        </w:tc>
        <w:tc>
          <w:tcPr>
            <w:tcW w:w="0" w:type="auto"/>
            <w:vAlign w:val="center"/>
          </w:tcPr>
          <w:p w14:paraId="049E91EF" w14:textId="3574F1D5" w:rsidR="000F53AE" w:rsidRPr="000653A9" w:rsidRDefault="000F53AE" w:rsidP="001D31D6">
            <w:pPr>
              <w:spacing w:after="0"/>
              <w:jc w:val="center"/>
              <w:rPr>
                <w:noProof/>
                <w:sz w:val="22"/>
                <w:szCs w:val="22"/>
              </w:rPr>
            </w:pPr>
            <w:r w:rsidRPr="000653A9">
              <w:rPr>
                <w:noProof/>
                <w:sz w:val="22"/>
                <w:szCs w:val="22"/>
              </w:rPr>
              <w:t>1.76</w:t>
            </w:r>
          </w:p>
        </w:tc>
        <w:tc>
          <w:tcPr>
            <w:tcW w:w="0" w:type="auto"/>
            <w:vAlign w:val="center"/>
          </w:tcPr>
          <w:p w14:paraId="00A0BC9D" w14:textId="5FE58EA7" w:rsidR="000F53AE" w:rsidRPr="000653A9" w:rsidRDefault="000F53AE" w:rsidP="001D31D6">
            <w:pPr>
              <w:spacing w:after="0"/>
              <w:jc w:val="center"/>
              <w:rPr>
                <w:noProof/>
                <w:sz w:val="22"/>
                <w:szCs w:val="22"/>
              </w:rPr>
            </w:pPr>
            <w:r w:rsidRPr="000653A9">
              <w:rPr>
                <w:noProof/>
                <w:sz w:val="22"/>
                <w:szCs w:val="22"/>
              </w:rPr>
              <w:t>1.43</w:t>
            </w:r>
          </w:p>
        </w:tc>
        <w:tc>
          <w:tcPr>
            <w:tcW w:w="0" w:type="auto"/>
            <w:vAlign w:val="center"/>
          </w:tcPr>
          <w:p w14:paraId="317072BB" w14:textId="77777777" w:rsidR="000F53AE" w:rsidRPr="000653A9" w:rsidRDefault="000F53AE" w:rsidP="001D31D6">
            <w:pPr>
              <w:spacing w:after="0"/>
              <w:jc w:val="center"/>
              <w:rPr>
                <w:noProof/>
                <w:sz w:val="22"/>
                <w:szCs w:val="22"/>
              </w:rPr>
            </w:pPr>
            <w:r w:rsidRPr="000653A9">
              <w:rPr>
                <w:noProof/>
                <w:sz w:val="22"/>
                <w:szCs w:val="22"/>
              </w:rPr>
              <w:t>1.18</w:t>
            </w:r>
          </w:p>
        </w:tc>
      </w:tr>
    </w:tbl>
    <w:p w14:paraId="0AC8EAA3" w14:textId="77777777" w:rsidR="00CB3AB8" w:rsidRPr="000653A9" w:rsidRDefault="00CB3AB8" w:rsidP="00CB3AB8">
      <w:pPr>
        <w:pStyle w:val="BodyText"/>
        <w:spacing w:after="240"/>
        <w:rPr>
          <w:rFonts w:cs="Times New Roman"/>
          <w:i/>
          <w:iCs/>
          <w:noProof/>
          <w:color w:val="auto"/>
          <w:sz w:val="20"/>
          <w:szCs w:val="20"/>
          <w:lang w:eastAsia="en-GB"/>
        </w:rPr>
      </w:pPr>
      <w:r w:rsidRPr="000653A9">
        <w:rPr>
          <w:rFonts w:cs="Times New Roman"/>
          <w:i/>
          <w:iCs/>
          <w:noProof/>
          <w:color w:val="auto"/>
          <w:sz w:val="20"/>
          <w:szCs w:val="20"/>
          <w:lang w:eastAsia="en-GB"/>
        </w:rPr>
        <w:t>Source:</w:t>
      </w:r>
      <w:r w:rsidRPr="000653A9">
        <w:rPr>
          <w:i/>
          <w:iCs/>
          <w:noProof/>
          <w:sz w:val="22"/>
          <w:szCs w:val="22"/>
        </w:rPr>
        <w:tab/>
      </w:r>
      <w:r w:rsidRPr="000653A9">
        <w:rPr>
          <w:rFonts w:cs="Times New Roman"/>
          <w:i/>
          <w:iCs/>
          <w:noProof/>
          <w:color w:val="auto"/>
          <w:sz w:val="20"/>
          <w:szCs w:val="20"/>
          <w:lang w:eastAsia="en-GB"/>
        </w:rPr>
        <w:t xml:space="preserve"> GEM-E3 model (2025)</w:t>
      </w:r>
    </w:p>
    <w:p w14:paraId="5643A2ED" w14:textId="7E89B1CC" w:rsidR="004E3F14" w:rsidRDefault="004E3F14" w:rsidP="004E3F14">
      <w:pPr>
        <w:rPr>
          <w:noProof/>
          <w:color w:val="auto"/>
        </w:rPr>
      </w:pPr>
      <w:r w:rsidRPr="002D38A8">
        <w:rPr>
          <w:noProof/>
          <w:color w:val="auto"/>
        </w:rPr>
        <w:t xml:space="preserve">The table </w:t>
      </w:r>
      <w:r>
        <w:rPr>
          <w:noProof/>
          <w:color w:val="auto"/>
        </w:rPr>
        <w:t>below shows</w:t>
      </w:r>
      <w:r w:rsidRPr="002D38A8">
        <w:rPr>
          <w:noProof/>
          <w:color w:val="auto"/>
        </w:rPr>
        <w:t xml:space="preserve"> </w:t>
      </w:r>
      <w:r>
        <w:rPr>
          <w:noProof/>
          <w:color w:val="auto"/>
        </w:rPr>
        <w:t>the</w:t>
      </w:r>
      <w:r w:rsidRPr="002D38A8">
        <w:rPr>
          <w:noProof/>
          <w:color w:val="auto"/>
        </w:rPr>
        <w:t xml:space="preserve"> </w:t>
      </w:r>
      <w:r>
        <w:rPr>
          <w:noProof/>
          <w:color w:val="auto"/>
        </w:rPr>
        <w:t xml:space="preserve">effects on sectoral </w:t>
      </w:r>
      <w:r w:rsidR="00203C9E">
        <w:rPr>
          <w:noProof/>
          <w:color w:val="auto"/>
        </w:rPr>
        <w:t>employment</w:t>
      </w:r>
      <w:r>
        <w:rPr>
          <w:noProof/>
          <w:color w:val="auto"/>
        </w:rPr>
        <w:t xml:space="preserve"> when using </w:t>
      </w:r>
      <w:r w:rsidRPr="002D38A8">
        <w:rPr>
          <w:noProof/>
          <w:color w:val="auto"/>
        </w:rPr>
        <w:t xml:space="preserve">the </w:t>
      </w:r>
      <w:r>
        <w:rPr>
          <w:noProof/>
          <w:color w:val="auto"/>
        </w:rPr>
        <w:t xml:space="preserve">90-85% cap pathway (see section 1.3.1.1), compared with the reference </w:t>
      </w:r>
      <w:r w:rsidR="00203C9E">
        <w:rPr>
          <w:noProof/>
          <w:color w:val="auto"/>
        </w:rPr>
        <w:t xml:space="preserve">scenario of </w:t>
      </w:r>
      <w:r>
        <w:rPr>
          <w:noProof/>
          <w:color w:val="auto"/>
        </w:rPr>
        <w:t>85% linear trajector</w:t>
      </w:r>
      <w:r w:rsidR="00203C9E">
        <w:rPr>
          <w:noProof/>
          <w:color w:val="auto"/>
        </w:rPr>
        <w:t>y</w:t>
      </w:r>
      <w:r>
        <w:rPr>
          <w:noProof/>
          <w:color w:val="auto"/>
        </w:rPr>
        <w:t xml:space="preserve">. This scenario shows that for most sectors, the more ambitious cap trajectory results in some decrease in EU27 emissions and increases in the non-EU27 emissions in 2035, indicating a marginally </w:t>
      </w:r>
      <w:r w:rsidR="00E3761C">
        <w:rPr>
          <w:noProof/>
          <w:color w:val="auto"/>
        </w:rPr>
        <w:t xml:space="preserve">lower sectoral employment rates in </w:t>
      </w:r>
      <w:r>
        <w:rPr>
          <w:noProof/>
          <w:color w:val="auto"/>
        </w:rPr>
        <w:t>at that point. The differences in the results for 2040 are marginal or 0</w:t>
      </w:r>
      <w:r w:rsidR="009D4624">
        <w:rPr>
          <w:noProof/>
          <w:color w:val="auto"/>
        </w:rPr>
        <w:t xml:space="preserve"> in most sectors</w:t>
      </w:r>
      <w:r>
        <w:rPr>
          <w:noProof/>
          <w:color w:val="auto"/>
        </w:rPr>
        <w:t xml:space="preserve">. </w:t>
      </w:r>
    </w:p>
    <w:p w14:paraId="7BCE2F2B" w14:textId="24AC8C23" w:rsidR="004E3F14" w:rsidRPr="003E22BE" w:rsidRDefault="00000667" w:rsidP="00C92FA9">
      <w:pPr>
        <w:pStyle w:val="Tabletitle"/>
        <w:rPr>
          <w:noProof/>
        </w:rPr>
      </w:pPr>
      <w:bookmarkStart w:id="463" w:name="_Toc234435127"/>
      <w:bookmarkStart w:id="464" w:name="_Toc232003597"/>
      <w:r>
        <w:rPr>
          <w:noProof/>
        </w:rPr>
        <w:t>Percentage change in sectoral employment leve</w:t>
      </w:r>
      <w:r w:rsidR="0044269F">
        <w:rPr>
          <w:noProof/>
        </w:rPr>
        <w:t>l</w:t>
      </w:r>
      <w:r>
        <w:rPr>
          <w:noProof/>
        </w:rPr>
        <w:t xml:space="preserve">s </w:t>
      </w:r>
      <w:r w:rsidR="00817002">
        <w:rPr>
          <w:noProof/>
        </w:rPr>
        <w:t>for variants CL290_</w:t>
      </w:r>
      <w:r w:rsidR="006173B2">
        <w:rPr>
          <w:noProof/>
        </w:rPr>
        <w:t>9085 and CL290</w:t>
      </w:r>
      <w:r w:rsidR="00900CA9">
        <w:rPr>
          <w:noProof/>
        </w:rPr>
        <w:t>C</w:t>
      </w:r>
      <w:r w:rsidR="006173B2">
        <w:rPr>
          <w:noProof/>
        </w:rPr>
        <w:t xml:space="preserve">_9085 </w:t>
      </w:r>
      <w:r w:rsidR="00CE7CE3">
        <w:rPr>
          <w:noProof/>
        </w:rPr>
        <w:t xml:space="preserve">compared to </w:t>
      </w:r>
      <w:r w:rsidR="004E3F14" w:rsidRPr="003E22BE">
        <w:rPr>
          <w:noProof/>
        </w:rPr>
        <w:t>scenarios</w:t>
      </w:r>
      <w:r w:rsidR="00CE7CE3">
        <w:rPr>
          <w:noProof/>
        </w:rPr>
        <w:t xml:space="preserve"> </w:t>
      </w:r>
      <w:r w:rsidR="004E3F14" w:rsidRPr="003E22BE">
        <w:rPr>
          <w:noProof/>
        </w:rPr>
        <w:t>CL2_90 and CL2_90C.</w:t>
      </w:r>
      <w:bookmarkEnd w:id="463"/>
      <w:bookmarkEnd w:id="464"/>
      <w:r w:rsidR="004E3F14" w:rsidRPr="003E22BE">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2"/>
        <w:gridCol w:w="1488"/>
        <w:gridCol w:w="1634"/>
        <w:gridCol w:w="1488"/>
        <w:gridCol w:w="1634"/>
      </w:tblGrid>
      <w:tr w:rsidR="003E3B1E" w:rsidRPr="004C2D15" w14:paraId="08F5855B" w14:textId="180B11C8" w:rsidTr="00BE13F1">
        <w:trPr>
          <w:trHeight w:val="310"/>
        </w:trPr>
        <w:tc>
          <w:tcPr>
            <w:tcW w:w="1693" w:type="pct"/>
            <w:shd w:val="clear" w:color="auto" w:fill="FFFFFF"/>
            <w:noWrap/>
            <w:vAlign w:val="center"/>
          </w:tcPr>
          <w:p w14:paraId="2FF472FE" w14:textId="30950AC1" w:rsidR="003E3B1E" w:rsidRPr="003E22BE" w:rsidRDefault="003E3B1E" w:rsidP="003E3B1E">
            <w:pPr>
              <w:jc w:val="center"/>
              <w:rPr>
                <w:noProof/>
                <w:color w:val="auto"/>
                <w:sz w:val="22"/>
                <w:szCs w:val="22"/>
                <w:lang w:val="en-US"/>
              </w:rPr>
            </w:pPr>
          </w:p>
        </w:tc>
        <w:tc>
          <w:tcPr>
            <w:tcW w:w="1686" w:type="pct"/>
            <w:gridSpan w:val="2"/>
            <w:shd w:val="clear" w:color="auto" w:fill="FFFFFF"/>
            <w:noWrap/>
            <w:vAlign w:val="center"/>
          </w:tcPr>
          <w:p w14:paraId="35DA0B70" w14:textId="008E3A17" w:rsidR="003E3B1E" w:rsidRPr="003E22BE" w:rsidRDefault="003E3B1E" w:rsidP="003E3B1E">
            <w:pPr>
              <w:jc w:val="center"/>
              <w:rPr>
                <w:noProof/>
                <w:color w:val="auto"/>
                <w:sz w:val="22"/>
                <w:szCs w:val="22"/>
                <w:lang w:val="en-US"/>
              </w:rPr>
            </w:pPr>
            <w:r w:rsidRPr="0044269F">
              <w:rPr>
                <w:noProof/>
                <w:color w:val="auto"/>
                <w:sz w:val="22"/>
                <w:szCs w:val="22"/>
              </w:rPr>
              <w:t>2035</w:t>
            </w:r>
          </w:p>
        </w:tc>
        <w:tc>
          <w:tcPr>
            <w:tcW w:w="1621" w:type="pct"/>
            <w:gridSpan w:val="2"/>
            <w:shd w:val="clear" w:color="auto" w:fill="FFFFFF"/>
          </w:tcPr>
          <w:p w14:paraId="7BB5DE13" w14:textId="6B574757" w:rsidR="003E3B1E" w:rsidRDefault="003E3B1E" w:rsidP="003E3B1E">
            <w:pPr>
              <w:jc w:val="center"/>
              <w:rPr>
                <w:noProof/>
                <w:color w:val="auto"/>
                <w:sz w:val="22"/>
                <w:szCs w:val="22"/>
              </w:rPr>
            </w:pPr>
            <w:r>
              <w:rPr>
                <w:noProof/>
                <w:color w:val="auto"/>
                <w:sz w:val="22"/>
                <w:szCs w:val="22"/>
              </w:rPr>
              <w:t>2040</w:t>
            </w:r>
          </w:p>
        </w:tc>
      </w:tr>
      <w:tr w:rsidR="00900CA9" w:rsidRPr="004C2D15" w14:paraId="57B6445A" w14:textId="5CA1BCCC" w:rsidTr="007F1ECE">
        <w:trPr>
          <w:trHeight w:val="310"/>
        </w:trPr>
        <w:tc>
          <w:tcPr>
            <w:tcW w:w="1693" w:type="pct"/>
            <w:shd w:val="clear" w:color="auto" w:fill="FFFFFF"/>
            <w:noWrap/>
            <w:vAlign w:val="center"/>
            <w:hideMark/>
          </w:tcPr>
          <w:p w14:paraId="4E09BA57" w14:textId="77777777" w:rsidR="003E3B1E" w:rsidRPr="003E22BE" w:rsidRDefault="003E3B1E" w:rsidP="003E3B1E">
            <w:pPr>
              <w:jc w:val="center"/>
              <w:rPr>
                <w:noProof/>
                <w:color w:val="auto"/>
                <w:sz w:val="22"/>
                <w:szCs w:val="22"/>
                <w:lang w:val="en-US"/>
              </w:rPr>
            </w:pPr>
          </w:p>
        </w:tc>
        <w:tc>
          <w:tcPr>
            <w:tcW w:w="790" w:type="pct"/>
            <w:tcBorders>
              <w:bottom w:val="single" w:sz="4" w:space="0" w:color="auto"/>
            </w:tcBorders>
            <w:shd w:val="clear" w:color="auto" w:fill="FFFFFF"/>
            <w:noWrap/>
            <w:vAlign w:val="center"/>
            <w:hideMark/>
          </w:tcPr>
          <w:p w14:paraId="663E83FB" w14:textId="7D624F17" w:rsidR="003E3B1E" w:rsidRPr="003E22BE" w:rsidRDefault="003E3B1E" w:rsidP="003E3B1E">
            <w:pPr>
              <w:jc w:val="center"/>
              <w:rPr>
                <w:noProof/>
                <w:color w:val="auto"/>
                <w:sz w:val="22"/>
                <w:szCs w:val="22"/>
                <w:lang w:val="en-US"/>
              </w:rPr>
            </w:pPr>
            <w:r w:rsidRPr="00836624">
              <w:rPr>
                <w:noProof/>
                <w:color w:val="auto"/>
                <w:sz w:val="22"/>
                <w:szCs w:val="22"/>
              </w:rPr>
              <w:t>CL2_90_9085</w:t>
            </w:r>
          </w:p>
        </w:tc>
        <w:tc>
          <w:tcPr>
            <w:tcW w:w="896" w:type="pct"/>
            <w:tcBorders>
              <w:bottom w:val="single" w:sz="4" w:space="0" w:color="auto"/>
            </w:tcBorders>
            <w:shd w:val="clear" w:color="auto" w:fill="FFFFFF"/>
            <w:noWrap/>
            <w:vAlign w:val="center"/>
            <w:hideMark/>
          </w:tcPr>
          <w:p w14:paraId="24FE2C2C" w14:textId="1BB7EC40" w:rsidR="003E3B1E" w:rsidRPr="003E22BE" w:rsidRDefault="003E3B1E" w:rsidP="003E3B1E">
            <w:pPr>
              <w:jc w:val="center"/>
              <w:rPr>
                <w:noProof/>
                <w:color w:val="auto"/>
                <w:sz w:val="22"/>
                <w:szCs w:val="22"/>
                <w:lang w:val="en-US"/>
              </w:rPr>
            </w:pPr>
            <w:r w:rsidRPr="001F1915">
              <w:rPr>
                <w:noProof/>
                <w:color w:val="auto"/>
                <w:sz w:val="22"/>
                <w:szCs w:val="22"/>
              </w:rPr>
              <w:t>CL2_90</w:t>
            </w:r>
            <w:r w:rsidR="00900CA9">
              <w:rPr>
                <w:noProof/>
                <w:color w:val="auto"/>
                <w:sz w:val="22"/>
                <w:szCs w:val="22"/>
              </w:rPr>
              <w:t>C</w:t>
            </w:r>
            <w:r w:rsidRPr="001F1915">
              <w:rPr>
                <w:noProof/>
                <w:color w:val="auto"/>
                <w:sz w:val="22"/>
                <w:szCs w:val="22"/>
              </w:rPr>
              <w:t>_9085</w:t>
            </w:r>
          </w:p>
        </w:tc>
        <w:tc>
          <w:tcPr>
            <w:tcW w:w="773" w:type="pct"/>
            <w:tcBorders>
              <w:bottom w:val="single" w:sz="4" w:space="0" w:color="auto"/>
            </w:tcBorders>
            <w:shd w:val="clear" w:color="auto" w:fill="FFFFFF"/>
            <w:vAlign w:val="center"/>
          </w:tcPr>
          <w:p w14:paraId="64DEC7CF" w14:textId="5BCB79FF" w:rsidR="003E3B1E" w:rsidRPr="00B83909" w:rsidRDefault="003E3B1E" w:rsidP="003E3B1E">
            <w:pPr>
              <w:jc w:val="center"/>
              <w:rPr>
                <w:noProof/>
                <w:color w:val="auto"/>
                <w:sz w:val="22"/>
                <w:szCs w:val="22"/>
              </w:rPr>
            </w:pPr>
            <w:r w:rsidRPr="00836624">
              <w:rPr>
                <w:noProof/>
                <w:color w:val="auto"/>
                <w:sz w:val="22"/>
                <w:szCs w:val="22"/>
              </w:rPr>
              <w:t>CL2_90_9085</w:t>
            </w:r>
          </w:p>
        </w:tc>
        <w:tc>
          <w:tcPr>
            <w:tcW w:w="849" w:type="pct"/>
            <w:tcBorders>
              <w:bottom w:val="single" w:sz="4" w:space="0" w:color="auto"/>
            </w:tcBorders>
            <w:shd w:val="clear" w:color="auto" w:fill="FFFFFF"/>
            <w:vAlign w:val="center"/>
          </w:tcPr>
          <w:p w14:paraId="43D4C0B7" w14:textId="403DBE3C" w:rsidR="003E3B1E" w:rsidRPr="00B83909" w:rsidRDefault="003E3B1E" w:rsidP="003E3B1E">
            <w:pPr>
              <w:jc w:val="center"/>
              <w:rPr>
                <w:noProof/>
                <w:color w:val="auto"/>
                <w:sz w:val="22"/>
                <w:szCs w:val="22"/>
              </w:rPr>
            </w:pPr>
            <w:r w:rsidRPr="001F1915">
              <w:rPr>
                <w:noProof/>
                <w:color w:val="auto"/>
                <w:sz w:val="22"/>
                <w:szCs w:val="22"/>
              </w:rPr>
              <w:t>CL2_90</w:t>
            </w:r>
            <w:r w:rsidR="00900CA9">
              <w:rPr>
                <w:noProof/>
                <w:color w:val="auto"/>
                <w:sz w:val="22"/>
                <w:szCs w:val="22"/>
              </w:rPr>
              <w:t>C</w:t>
            </w:r>
            <w:r w:rsidRPr="001F1915">
              <w:rPr>
                <w:noProof/>
                <w:color w:val="auto"/>
                <w:sz w:val="22"/>
                <w:szCs w:val="22"/>
              </w:rPr>
              <w:t>_9085</w:t>
            </w:r>
          </w:p>
        </w:tc>
      </w:tr>
      <w:tr w:rsidR="00900CA9" w:rsidRPr="004C2D15" w14:paraId="215A66A2" w14:textId="759AACBD" w:rsidTr="007F1ECE">
        <w:trPr>
          <w:trHeight w:val="300"/>
        </w:trPr>
        <w:tc>
          <w:tcPr>
            <w:tcW w:w="1693" w:type="pct"/>
            <w:shd w:val="clear" w:color="auto" w:fill="FFFFFF"/>
            <w:noWrap/>
            <w:vAlign w:val="center"/>
            <w:hideMark/>
          </w:tcPr>
          <w:p w14:paraId="770E4260" w14:textId="77777777" w:rsidR="00A60BEB" w:rsidRPr="003E22BE" w:rsidRDefault="00A60BEB" w:rsidP="00A60BEB">
            <w:pPr>
              <w:jc w:val="center"/>
              <w:rPr>
                <w:noProof/>
                <w:color w:val="auto"/>
                <w:sz w:val="22"/>
                <w:szCs w:val="22"/>
                <w:lang w:val="en-US"/>
              </w:rPr>
            </w:pPr>
            <w:r w:rsidRPr="003E22BE">
              <w:rPr>
                <w:noProof/>
                <w:color w:val="auto"/>
                <w:sz w:val="22"/>
                <w:szCs w:val="22"/>
                <w:lang w:val="en-US"/>
              </w:rPr>
              <w:t>Ferrous metals</w:t>
            </w:r>
          </w:p>
        </w:tc>
        <w:tc>
          <w:tcPr>
            <w:tcW w:w="790" w:type="pct"/>
            <w:tcBorders>
              <w:top w:val="single" w:sz="4" w:space="0" w:color="auto"/>
              <w:bottom w:val="single" w:sz="4" w:space="0" w:color="auto"/>
            </w:tcBorders>
            <w:shd w:val="clear" w:color="auto" w:fill="FFFFFF"/>
            <w:noWrap/>
            <w:hideMark/>
          </w:tcPr>
          <w:p w14:paraId="79154D57" w14:textId="1CC96169" w:rsidR="00A60BEB" w:rsidRPr="00A60BEB" w:rsidRDefault="00A60BEB" w:rsidP="00A60BEB">
            <w:pPr>
              <w:jc w:val="center"/>
              <w:rPr>
                <w:noProof/>
              </w:rPr>
            </w:pPr>
            <w:r w:rsidRPr="00317EAE">
              <w:rPr>
                <w:noProof/>
              </w:rPr>
              <w:t>-0.25%</w:t>
            </w:r>
          </w:p>
        </w:tc>
        <w:tc>
          <w:tcPr>
            <w:tcW w:w="896" w:type="pct"/>
            <w:tcBorders>
              <w:top w:val="single" w:sz="4" w:space="0" w:color="auto"/>
              <w:bottom w:val="single" w:sz="4" w:space="0" w:color="auto"/>
            </w:tcBorders>
            <w:shd w:val="clear" w:color="auto" w:fill="FFFFFF"/>
            <w:noWrap/>
            <w:hideMark/>
          </w:tcPr>
          <w:p w14:paraId="0D7E687D" w14:textId="558460B7" w:rsidR="00A60BEB" w:rsidRPr="00A60BEB" w:rsidRDefault="00A60BEB" w:rsidP="00A60BEB">
            <w:pPr>
              <w:jc w:val="center"/>
              <w:rPr>
                <w:noProof/>
              </w:rPr>
            </w:pPr>
            <w:r w:rsidRPr="00317EAE">
              <w:rPr>
                <w:noProof/>
              </w:rPr>
              <w:t>-0.24%</w:t>
            </w:r>
          </w:p>
        </w:tc>
        <w:tc>
          <w:tcPr>
            <w:tcW w:w="773" w:type="pct"/>
            <w:tcBorders>
              <w:top w:val="single" w:sz="4" w:space="0" w:color="auto"/>
              <w:bottom w:val="single" w:sz="4" w:space="0" w:color="auto"/>
            </w:tcBorders>
            <w:shd w:val="clear" w:color="auto" w:fill="FFFFFF"/>
            <w:vAlign w:val="bottom"/>
          </w:tcPr>
          <w:p w14:paraId="0D624178" w14:textId="3D8FA4CE" w:rsidR="00A60BEB" w:rsidRPr="00317EAE" w:rsidRDefault="00A60BEB" w:rsidP="00A60BEB">
            <w:pPr>
              <w:jc w:val="center"/>
              <w:rPr>
                <w:noProof/>
              </w:rPr>
            </w:pPr>
            <w:r w:rsidRPr="00A60BEB">
              <w:rPr>
                <w:noProof/>
              </w:rPr>
              <w:t>0.01%</w:t>
            </w:r>
          </w:p>
        </w:tc>
        <w:tc>
          <w:tcPr>
            <w:tcW w:w="849" w:type="pct"/>
            <w:tcBorders>
              <w:top w:val="single" w:sz="4" w:space="0" w:color="auto"/>
              <w:left w:val="nil"/>
              <w:bottom w:val="single" w:sz="4" w:space="0" w:color="auto"/>
              <w:right w:val="single" w:sz="4" w:space="0" w:color="auto"/>
            </w:tcBorders>
            <w:shd w:val="clear" w:color="auto" w:fill="FFFFFF"/>
            <w:vAlign w:val="bottom"/>
          </w:tcPr>
          <w:p w14:paraId="49E1CD5D" w14:textId="0C62F4C4" w:rsidR="00A60BEB" w:rsidRPr="00317EAE" w:rsidRDefault="00A60BEB" w:rsidP="00A60BEB">
            <w:pPr>
              <w:jc w:val="center"/>
              <w:rPr>
                <w:noProof/>
              </w:rPr>
            </w:pPr>
            <w:r w:rsidRPr="00A60BEB">
              <w:rPr>
                <w:noProof/>
              </w:rPr>
              <w:t>0.01%</w:t>
            </w:r>
          </w:p>
        </w:tc>
      </w:tr>
      <w:tr w:rsidR="00900CA9" w:rsidRPr="004C2D15" w14:paraId="71BA2305" w14:textId="79CD1CAD" w:rsidTr="007F1ECE">
        <w:trPr>
          <w:trHeight w:val="300"/>
        </w:trPr>
        <w:tc>
          <w:tcPr>
            <w:tcW w:w="1693" w:type="pct"/>
            <w:shd w:val="clear" w:color="auto" w:fill="FFFFFF"/>
            <w:noWrap/>
            <w:vAlign w:val="center"/>
            <w:hideMark/>
          </w:tcPr>
          <w:p w14:paraId="242015BE" w14:textId="77777777" w:rsidR="00A60BEB" w:rsidRPr="003E22BE" w:rsidRDefault="00A60BEB" w:rsidP="00A60BEB">
            <w:pPr>
              <w:jc w:val="center"/>
              <w:rPr>
                <w:noProof/>
                <w:color w:val="auto"/>
                <w:sz w:val="22"/>
                <w:szCs w:val="22"/>
                <w:lang w:val="en-US"/>
              </w:rPr>
            </w:pPr>
            <w:r w:rsidRPr="003E22BE">
              <w:rPr>
                <w:noProof/>
                <w:color w:val="auto"/>
                <w:sz w:val="22"/>
                <w:szCs w:val="22"/>
                <w:lang w:val="en-US"/>
              </w:rPr>
              <w:t>Non-ferrous metals</w:t>
            </w:r>
          </w:p>
        </w:tc>
        <w:tc>
          <w:tcPr>
            <w:tcW w:w="790" w:type="pct"/>
            <w:tcBorders>
              <w:top w:val="single" w:sz="4" w:space="0" w:color="auto"/>
              <w:bottom w:val="single" w:sz="4" w:space="0" w:color="auto"/>
            </w:tcBorders>
            <w:shd w:val="clear" w:color="auto" w:fill="FFFFFF"/>
            <w:noWrap/>
            <w:hideMark/>
          </w:tcPr>
          <w:p w14:paraId="7DEED909" w14:textId="71D9F5E0" w:rsidR="00A60BEB" w:rsidRPr="00A60BEB" w:rsidRDefault="00A60BEB" w:rsidP="00A60BEB">
            <w:pPr>
              <w:jc w:val="center"/>
              <w:rPr>
                <w:noProof/>
              </w:rPr>
            </w:pPr>
            <w:r w:rsidRPr="00317EAE">
              <w:rPr>
                <w:noProof/>
              </w:rPr>
              <w:t>-0.28%</w:t>
            </w:r>
          </w:p>
        </w:tc>
        <w:tc>
          <w:tcPr>
            <w:tcW w:w="896" w:type="pct"/>
            <w:tcBorders>
              <w:top w:val="single" w:sz="4" w:space="0" w:color="auto"/>
              <w:bottom w:val="single" w:sz="4" w:space="0" w:color="auto"/>
            </w:tcBorders>
            <w:shd w:val="clear" w:color="auto" w:fill="FFFFFF"/>
            <w:noWrap/>
            <w:hideMark/>
          </w:tcPr>
          <w:p w14:paraId="2CE7198A" w14:textId="7990F7CF" w:rsidR="00A60BEB" w:rsidRPr="00A60BEB" w:rsidRDefault="00A60BEB" w:rsidP="00A60BEB">
            <w:pPr>
              <w:jc w:val="center"/>
              <w:rPr>
                <w:noProof/>
              </w:rPr>
            </w:pPr>
            <w:r w:rsidRPr="00317EAE">
              <w:rPr>
                <w:noProof/>
              </w:rPr>
              <w:t>-0.27%</w:t>
            </w:r>
          </w:p>
        </w:tc>
        <w:tc>
          <w:tcPr>
            <w:tcW w:w="773" w:type="pct"/>
            <w:tcBorders>
              <w:top w:val="single" w:sz="4" w:space="0" w:color="auto"/>
              <w:bottom w:val="single" w:sz="4" w:space="0" w:color="auto"/>
            </w:tcBorders>
            <w:shd w:val="clear" w:color="auto" w:fill="FFFFFF"/>
            <w:vAlign w:val="bottom"/>
          </w:tcPr>
          <w:p w14:paraId="489D8BF8" w14:textId="4AB252E5" w:rsidR="00A60BEB" w:rsidRPr="00317EAE" w:rsidRDefault="00A60BEB" w:rsidP="00A60BEB">
            <w:pPr>
              <w:jc w:val="center"/>
              <w:rPr>
                <w:noProof/>
              </w:rPr>
            </w:pPr>
            <w:r w:rsidRPr="00A60BEB">
              <w:rPr>
                <w:noProof/>
              </w:rPr>
              <w:t>0.01%</w:t>
            </w:r>
          </w:p>
        </w:tc>
        <w:tc>
          <w:tcPr>
            <w:tcW w:w="849" w:type="pct"/>
            <w:tcBorders>
              <w:top w:val="single" w:sz="4" w:space="0" w:color="auto"/>
              <w:left w:val="nil"/>
              <w:bottom w:val="single" w:sz="4" w:space="0" w:color="auto"/>
              <w:right w:val="single" w:sz="4" w:space="0" w:color="auto"/>
            </w:tcBorders>
            <w:shd w:val="clear" w:color="auto" w:fill="FFFFFF"/>
            <w:vAlign w:val="bottom"/>
          </w:tcPr>
          <w:p w14:paraId="4CD21A8C" w14:textId="4B54B3C2" w:rsidR="00A60BEB" w:rsidRPr="00317EAE" w:rsidRDefault="00A60BEB" w:rsidP="00A60BEB">
            <w:pPr>
              <w:jc w:val="center"/>
              <w:rPr>
                <w:noProof/>
              </w:rPr>
            </w:pPr>
            <w:r w:rsidRPr="00A60BEB">
              <w:rPr>
                <w:noProof/>
              </w:rPr>
              <w:t>0.02%</w:t>
            </w:r>
          </w:p>
        </w:tc>
      </w:tr>
      <w:tr w:rsidR="00900CA9" w:rsidRPr="004C2D15" w14:paraId="49899F48" w14:textId="2B2DA8D8" w:rsidTr="007F1ECE">
        <w:trPr>
          <w:trHeight w:val="300"/>
        </w:trPr>
        <w:tc>
          <w:tcPr>
            <w:tcW w:w="1693" w:type="pct"/>
            <w:shd w:val="clear" w:color="auto" w:fill="FFFFFF"/>
            <w:noWrap/>
            <w:vAlign w:val="center"/>
            <w:hideMark/>
          </w:tcPr>
          <w:p w14:paraId="0CDE741A" w14:textId="77777777" w:rsidR="00A60BEB" w:rsidRPr="003E22BE" w:rsidRDefault="00A60BEB" w:rsidP="00A60BEB">
            <w:pPr>
              <w:jc w:val="center"/>
              <w:rPr>
                <w:noProof/>
                <w:color w:val="auto"/>
                <w:sz w:val="22"/>
                <w:szCs w:val="22"/>
                <w:lang w:val="en-US"/>
              </w:rPr>
            </w:pPr>
            <w:r w:rsidRPr="003E22BE">
              <w:rPr>
                <w:noProof/>
                <w:color w:val="auto"/>
                <w:sz w:val="22"/>
                <w:szCs w:val="22"/>
                <w:lang w:val="en-US"/>
              </w:rPr>
              <w:t>Chemical Products</w:t>
            </w:r>
          </w:p>
        </w:tc>
        <w:tc>
          <w:tcPr>
            <w:tcW w:w="790" w:type="pct"/>
            <w:tcBorders>
              <w:top w:val="single" w:sz="4" w:space="0" w:color="auto"/>
              <w:bottom w:val="single" w:sz="4" w:space="0" w:color="auto"/>
            </w:tcBorders>
            <w:shd w:val="clear" w:color="auto" w:fill="FFFFFF"/>
            <w:noWrap/>
            <w:hideMark/>
          </w:tcPr>
          <w:p w14:paraId="4D18B188" w14:textId="42DFF9CB" w:rsidR="00A60BEB" w:rsidRPr="00A60BEB" w:rsidRDefault="00A60BEB" w:rsidP="00A60BEB">
            <w:pPr>
              <w:jc w:val="center"/>
              <w:rPr>
                <w:noProof/>
              </w:rPr>
            </w:pPr>
            <w:r w:rsidRPr="00317EAE">
              <w:rPr>
                <w:noProof/>
              </w:rPr>
              <w:t>-0.31%</w:t>
            </w:r>
          </w:p>
        </w:tc>
        <w:tc>
          <w:tcPr>
            <w:tcW w:w="896" w:type="pct"/>
            <w:tcBorders>
              <w:top w:val="single" w:sz="4" w:space="0" w:color="auto"/>
              <w:bottom w:val="single" w:sz="4" w:space="0" w:color="auto"/>
            </w:tcBorders>
            <w:shd w:val="clear" w:color="auto" w:fill="FFFFFF"/>
            <w:noWrap/>
            <w:hideMark/>
          </w:tcPr>
          <w:p w14:paraId="38003ECA" w14:textId="06F19EE3" w:rsidR="00A60BEB" w:rsidRPr="00A60BEB" w:rsidRDefault="00A60BEB" w:rsidP="00A60BEB">
            <w:pPr>
              <w:jc w:val="center"/>
              <w:rPr>
                <w:noProof/>
              </w:rPr>
            </w:pPr>
            <w:r w:rsidRPr="00317EAE">
              <w:rPr>
                <w:noProof/>
              </w:rPr>
              <w:t>-0.31%</w:t>
            </w:r>
          </w:p>
        </w:tc>
        <w:tc>
          <w:tcPr>
            <w:tcW w:w="773" w:type="pct"/>
            <w:tcBorders>
              <w:top w:val="single" w:sz="4" w:space="0" w:color="auto"/>
              <w:bottom w:val="single" w:sz="4" w:space="0" w:color="auto"/>
            </w:tcBorders>
            <w:shd w:val="clear" w:color="auto" w:fill="FFFFFF"/>
            <w:vAlign w:val="bottom"/>
          </w:tcPr>
          <w:p w14:paraId="6AAAC191" w14:textId="3622EFC9" w:rsidR="00A60BEB" w:rsidRPr="00317EAE" w:rsidRDefault="00A60BEB" w:rsidP="00A60BEB">
            <w:pPr>
              <w:jc w:val="center"/>
              <w:rPr>
                <w:noProof/>
              </w:rPr>
            </w:pPr>
            <w:r w:rsidRPr="00A60BEB">
              <w:rPr>
                <w:noProof/>
              </w:rPr>
              <w:t>0.07%</w:t>
            </w:r>
          </w:p>
        </w:tc>
        <w:tc>
          <w:tcPr>
            <w:tcW w:w="849" w:type="pct"/>
            <w:tcBorders>
              <w:top w:val="single" w:sz="4" w:space="0" w:color="auto"/>
              <w:left w:val="nil"/>
              <w:bottom w:val="single" w:sz="4" w:space="0" w:color="auto"/>
              <w:right w:val="single" w:sz="4" w:space="0" w:color="auto"/>
            </w:tcBorders>
            <w:shd w:val="clear" w:color="auto" w:fill="FFFFFF"/>
            <w:vAlign w:val="bottom"/>
          </w:tcPr>
          <w:p w14:paraId="11B32C74" w14:textId="0B80E7EE" w:rsidR="00A60BEB" w:rsidRPr="00317EAE" w:rsidRDefault="00A60BEB" w:rsidP="00A60BEB">
            <w:pPr>
              <w:jc w:val="center"/>
              <w:rPr>
                <w:noProof/>
              </w:rPr>
            </w:pPr>
            <w:r w:rsidRPr="00A60BEB">
              <w:rPr>
                <w:noProof/>
              </w:rPr>
              <w:t>0.07%</w:t>
            </w:r>
          </w:p>
        </w:tc>
      </w:tr>
      <w:tr w:rsidR="00900CA9" w:rsidRPr="004C2D15" w14:paraId="476F7F5E" w14:textId="3DD7C849" w:rsidTr="007F1ECE">
        <w:trPr>
          <w:trHeight w:val="310"/>
        </w:trPr>
        <w:tc>
          <w:tcPr>
            <w:tcW w:w="1693" w:type="pct"/>
            <w:shd w:val="clear" w:color="auto" w:fill="FFFFFF"/>
            <w:noWrap/>
            <w:vAlign w:val="center"/>
            <w:hideMark/>
          </w:tcPr>
          <w:p w14:paraId="3FB071C9" w14:textId="77777777" w:rsidR="00A60BEB" w:rsidRPr="003E22BE" w:rsidRDefault="00A60BEB" w:rsidP="00A60BEB">
            <w:pPr>
              <w:jc w:val="center"/>
              <w:rPr>
                <w:noProof/>
                <w:color w:val="auto"/>
                <w:sz w:val="22"/>
                <w:szCs w:val="22"/>
                <w:lang w:val="en-US"/>
              </w:rPr>
            </w:pPr>
            <w:r w:rsidRPr="003E22BE">
              <w:rPr>
                <w:noProof/>
                <w:color w:val="auto"/>
                <w:sz w:val="22"/>
                <w:szCs w:val="22"/>
                <w:lang w:val="en-US"/>
              </w:rPr>
              <w:t>Paper products, publishing</w:t>
            </w:r>
          </w:p>
        </w:tc>
        <w:tc>
          <w:tcPr>
            <w:tcW w:w="790" w:type="pct"/>
            <w:tcBorders>
              <w:top w:val="single" w:sz="4" w:space="0" w:color="auto"/>
              <w:bottom w:val="single" w:sz="4" w:space="0" w:color="auto"/>
            </w:tcBorders>
            <w:shd w:val="clear" w:color="auto" w:fill="FFFFFF"/>
            <w:noWrap/>
            <w:hideMark/>
          </w:tcPr>
          <w:p w14:paraId="6F0A03AF" w14:textId="22A2CD3B" w:rsidR="00A60BEB" w:rsidRPr="00A60BEB" w:rsidRDefault="00A60BEB" w:rsidP="00A60BEB">
            <w:pPr>
              <w:jc w:val="center"/>
              <w:rPr>
                <w:noProof/>
              </w:rPr>
            </w:pPr>
            <w:r w:rsidRPr="00317EAE">
              <w:rPr>
                <w:noProof/>
              </w:rPr>
              <w:t>-0.03%</w:t>
            </w:r>
          </w:p>
        </w:tc>
        <w:tc>
          <w:tcPr>
            <w:tcW w:w="896" w:type="pct"/>
            <w:tcBorders>
              <w:top w:val="single" w:sz="4" w:space="0" w:color="auto"/>
              <w:bottom w:val="single" w:sz="4" w:space="0" w:color="auto"/>
            </w:tcBorders>
            <w:shd w:val="clear" w:color="auto" w:fill="FFFFFF"/>
            <w:noWrap/>
            <w:hideMark/>
          </w:tcPr>
          <w:p w14:paraId="183093DB" w14:textId="7F9B9A69" w:rsidR="00A60BEB" w:rsidRPr="00A60BEB" w:rsidRDefault="00A60BEB" w:rsidP="00A60BEB">
            <w:pPr>
              <w:jc w:val="center"/>
              <w:rPr>
                <w:noProof/>
              </w:rPr>
            </w:pPr>
            <w:r w:rsidRPr="00317EAE">
              <w:rPr>
                <w:noProof/>
              </w:rPr>
              <w:t>-0.03%</w:t>
            </w:r>
          </w:p>
        </w:tc>
        <w:tc>
          <w:tcPr>
            <w:tcW w:w="773" w:type="pct"/>
            <w:tcBorders>
              <w:top w:val="single" w:sz="4" w:space="0" w:color="auto"/>
              <w:bottom w:val="single" w:sz="4" w:space="0" w:color="auto"/>
            </w:tcBorders>
            <w:shd w:val="clear" w:color="auto" w:fill="FFFFFF"/>
            <w:vAlign w:val="bottom"/>
          </w:tcPr>
          <w:p w14:paraId="5C2C8989" w14:textId="7555CEA1" w:rsidR="00A60BEB" w:rsidRPr="00317EAE" w:rsidRDefault="00A60BEB" w:rsidP="00A60BEB">
            <w:pPr>
              <w:jc w:val="center"/>
              <w:rPr>
                <w:noProof/>
              </w:rPr>
            </w:pPr>
            <w:r w:rsidRPr="00A60BEB">
              <w:rPr>
                <w:noProof/>
              </w:rPr>
              <w:t>0.00%</w:t>
            </w:r>
          </w:p>
        </w:tc>
        <w:tc>
          <w:tcPr>
            <w:tcW w:w="849" w:type="pct"/>
            <w:tcBorders>
              <w:top w:val="single" w:sz="4" w:space="0" w:color="auto"/>
              <w:left w:val="nil"/>
              <w:bottom w:val="single" w:sz="4" w:space="0" w:color="auto"/>
              <w:right w:val="single" w:sz="4" w:space="0" w:color="auto"/>
            </w:tcBorders>
            <w:shd w:val="clear" w:color="auto" w:fill="FFFFFF"/>
            <w:vAlign w:val="bottom"/>
          </w:tcPr>
          <w:p w14:paraId="1A2B71D6" w14:textId="6B4E4FC1" w:rsidR="00A60BEB" w:rsidRPr="00317EAE" w:rsidRDefault="00A60BEB" w:rsidP="00A60BEB">
            <w:pPr>
              <w:jc w:val="center"/>
              <w:rPr>
                <w:noProof/>
              </w:rPr>
            </w:pPr>
            <w:r w:rsidRPr="00A60BEB">
              <w:rPr>
                <w:noProof/>
              </w:rPr>
              <w:t>0.00%</w:t>
            </w:r>
          </w:p>
        </w:tc>
      </w:tr>
      <w:tr w:rsidR="00900CA9" w:rsidRPr="004C2D15" w14:paraId="1C8B039E" w14:textId="6E3B1787" w:rsidTr="007F1ECE">
        <w:trPr>
          <w:trHeight w:val="310"/>
        </w:trPr>
        <w:tc>
          <w:tcPr>
            <w:tcW w:w="1693" w:type="pct"/>
            <w:shd w:val="clear" w:color="auto" w:fill="FFFFFF"/>
            <w:noWrap/>
            <w:vAlign w:val="center"/>
            <w:hideMark/>
          </w:tcPr>
          <w:p w14:paraId="1B76177C" w14:textId="77777777" w:rsidR="00A60BEB" w:rsidRPr="003E22BE" w:rsidRDefault="00A60BEB" w:rsidP="00A60BEB">
            <w:pPr>
              <w:jc w:val="center"/>
              <w:rPr>
                <w:noProof/>
                <w:color w:val="auto"/>
                <w:sz w:val="22"/>
                <w:szCs w:val="22"/>
                <w:lang w:val="en-US"/>
              </w:rPr>
            </w:pPr>
            <w:r w:rsidRPr="003E22BE">
              <w:rPr>
                <w:noProof/>
                <w:color w:val="auto"/>
                <w:sz w:val="22"/>
                <w:szCs w:val="22"/>
                <w:lang w:val="en-US"/>
              </w:rPr>
              <w:t>Non-metallic minerals</w:t>
            </w:r>
          </w:p>
        </w:tc>
        <w:tc>
          <w:tcPr>
            <w:tcW w:w="790" w:type="pct"/>
            <w:tcBorders>
              <w:top w:val="single" w:sz="4" w:space="0" w:color="auto"/>
              <w:bottom w:val="single" w:sz="4" w:space="0" w:color="auto"/>
              <w:right w:val="single" w:sz="4" w:space="0" w:color="auto"/>
            </w:tcBorders>
            <w:shd w:val="clear" w:color="auto" w:fill="FFFFFF"/>
            <w:noWrap/>
            <w:hideMark/>
          </w:tcPr>
          <w:p w14:paraId="1C6FBDD3" w14:textId="2EB83072" w:rsidR="00A60BEB" w:rsidRPr="00A60BEB" w:rsidRDefault="00A60BEB" w:rsidP="00A60BEB">
            <w:pPr>
              <w:jc w:val="center"/>
              <w:rPr>
                <w:noProof/>
              </w:rPr>
            </w:pPr>
            <w:r w:rsidRPr="00317EAE">
              <w:rPr>
                <w:noProof/>
              </w:rPr>
              <w:t>-0.76%</w:t>
            </w:r>
          </w:p>
        </w:tc>
        <w:tc>
          <w:tcPr>
            <w:tcW w:w="896" w:type="pct"/>
            <w:tcBorders>
              <w:top w:val="single" w:sz="4" w:space="0" w:color="auto"/>
              <w:left w:val="single" w:sz="4" w:space="0" w:color="auto"/>
              <w:bottom w:val="single" w:sz="4" w:space="0" w:color="auto"/>
              <w:right w:val="single" w:sz="4" w:space="0" w:color="auto"/>
            </w:tcBorders>
            <w:shd w:val="clear" w:color="auto" w:fill="FFFFFF"/>
            <w:noWrap/>
            <w:hideMark/>
          </w:tcPr>
          <w:p w14:paraId="66BB0EB5" w14:textId="5D2E186F" w:rsidR="00A60BEB" w:rsidRPr="00A60BEB" w:rsidRDefault="00A60BEB" w:rsidP="00A60BEB">
            <w:pPr>
              <w:jc w:val="center"/>
              <w:rPr>
                <w:noProof/>
              </w:rPr>
            </w:pPr>
            <w:r w:rsidRPr="00317EAE">
              <w:rPr>
                <w:noProof/>
              </w:rPr>
              <w:t>-0.74%</w:t>
            </w:r>
          </w:p>
        </w:tc>
        <w:tc>
          <w:tcPr>
            <w:tcW w:w="773" w:type="pct"/>
            <w:tcBorders>
              <w:top w:val="single" w:sz="4" w:space="0" w:color="auto"/>
              <w:left w:val="single" w:sz="4" w:space="0" w:color="auto"/>
              <w:bottom w:val="single" w:sz="4" w:space="0" w:color="auto"/>
              <w:right w:val="single" w:sz="4" w:space="0" w:color="auto"/>
            </w:tcBorders>
            <w:shd w:val="clear" w:color="auto" w:fill="FFFFFF"/>
            <w:vAlign w:val="bottom"/>
          </w:tcPr>
          <w:p w14:paraId="2515DD8E" w14:textId="77E4E3CE" w:rsidR="00A60BEB" w:rsidRPr="00317EAE" w:rsidRDefault="00A60BEB" w:rsidP="00A60BEB">
            <w:pPr>
              <w:jc w:val="center"/>
              <w:rPr>
                <w:noProof/>
              </w:rPr>
            </w:pPr>
            <w:r w:rsidRPr="00A60BEB">
              <w:rPr>
                <w:noProof/>
              </w:rPr>
              <w:t>0.05%</w:t>
            </w:r>
          </w:p>
        </w:tc>
        <w:tc>
          <w:tcPr>
            <w:tcW w:w="849" w:type="pct"/>
            <w:tcBorders>
              <w:top w:val="single" w:sz="4" w:space="0" w:color="auto"/>
              <w:left w:val="single" w:sz="4" w:space="0" w:color="auto"/>
              <w:bottom w:val="single" w:sz="4" w:space="0" w:color="auto"/>
              <w:right w:val="single" w:sz="4" w:space="0" w:color="auto"/>
            </w:tcBorders>
            <w:shd w:val="clear" w:color="auto" w:fill="FFFFFF"/>
            <w:vAlign w:val="bottom"/>
          </w:tcPr>
          <w:p w14:paraId="6C027593" w14:textId="36568517" w:rsidR="00A60BEB" w:rsidRPr="00317EAE" w:rsidRDefault="00A60BEB" w:rsidP="00A60BEB">
            <w:pPr>
              <w:jc w:val="center"/>
              <w:rPr>
                <w:noProof/>
              </w:rPr>
            </w:pPr>
            <w:r w:rsidRPr="00A60BEB">
              <w:rPr>
                <w:noProof/>
              </w:rPr>
              <w:t>0.05%</w:t>
            </w:r>
          </w:p>
        </w:tc>
      </w:tr>
    </w:tbl>
    <w:p w14:paraId="1C167C39" w14:textId="77777777" w:rsidR="004E3F14" w:rsidRDefault="004E3F14" w:rsidP="004E3F14">
      <w:pPr>
        <w:pStyle w:val="BodyText"/>
        <w:spacing w:after="240"/>
        <w:rPr>
          <w:rFonts w:cs="Times New Roman"/>
          <w:i/>
          <w:iCs/>
          <w:noProof/>
          <w:sz w:val="20"/>
          <w:szCs w:val="20"/>
          <w:lang w:eastAsia="en-GB"/>
        </w:rPr>
      </w:pPr>
      <w:r w:rsidRPr="000653A9">
        <w:rPr>
          <w:rFonts w:cs="Times New Roman"/>
          <w:i/>
          <w:iCs/>
          <w:noProof/>
          <w:sz w:val="20"/>
          <w:szCs w:val="20"/>
          <w:lang w:eastAsia="en-GB"/>
        </w:rPr>
        <w:t>Source:</w:t>
      </w:r>
      <w:r w:rsidRPr="000653A9">
        <w:rPr>
          <w:i/>
          <w:iCs/>
          <w:noProof/>
          <w:sz w:val="22"/>
          <w:szCs w:val="22"/>
        </w:rPr>
        <w:tab/>
      </w:r>
      <w:r w:rsidRPr="000653A9">
        <w:rPr>
          <w:rFonts w:cs="Times New Roman"/>
          <w:i/>
          <w:iCs/>
          <w:noProof/>
          <w:sz w:val="20"/>
          <w:szCs w:val="20"/>
          <w:lang w:eastAsia="en-GB"/>
        </w:rPr>
        <w:t>GEM-E3 model (2025)</w:t>
      </w:r>
    </w:p>
    <w:p w14:paraId="3D4AFD0D" w14:textId="6C5C1E5C" w:rsidR="007128BC" w:rsidRPr="000653A9" w:rsidRDefault="007128BC" w:rsidP="007128BC">
      <w:pPr>
        <w:rPr>
          <w:noProof/>
        </w:rPr>
      </w:pPr>
      <w:r w:rsidRPr="000653A9">
        <w:rPr>
          <w:rFonts w:eastAsia="Arial"/>
          <w:noProof/>
          <w:lang w:eastAsia="en-GB"/>
        </w:rPr>
        <w:t xml:space="preserve">The issue of employment is directly linked to the long-term viability of industrial production in Europe. During the stakeholder engagement (and further supported by OPC inputs), industrial associations and businesses consistently argued that the competitiveness of EU producers would be undermined without the continuation of free allocation and by ensuring that the necessary enabling conditions are in place to enable decarbonisation rather than deindustrialisation </w:t>
      </w:r>
      <w:r w:rsidRPr="000653A9">
        <w:rPr>
          <w:noProof/>
          <w:lang w:eastAsia="en-GB"/>
        </w:rPr>
        <w:t>was frequently</w:t>
      </w:r>
      <w:r w:rsidRPr="000653A9">
        <w:rPr>
          <w:rFonts w:eastAsia="Arial"/>
          <w:noProof/>
          <w:lang w:eastAsia="en-GB"/>
        </w:rPr>
        <w:t xml:space="preserve"> cited by stakeholders.</w:t>
      </w:r>
    </w:p>
    <w:p w14:paraId="7078F6E1" w14:textId="417F2289" w:rsidR="007128BC" w:rsidRPr="000653A9" w:rsidRDefault="007128BC" w:rsidP="007E44B7">
      <w:pPr>
        <w:rPr>
          <w:noProof/>
        </w:rPr>
      </w:pPr>
      <w:r w:rsidRPr="000653A9">
        <w:rPr>
          <w:noProof/>
        </w:rPr>
        <w:t xml:space="preserve">Continuation of ICC compensation (whether State aid or harmonised) is expected to have a positive impact on employment by protecting against carbon leakage and supporting the business case for electrification of industrial processes. </w:t>
      </w:r>
      <w:r w:rsidR="005A1163" w:rsidRPr="000653A9">
        <w:rPr>
          <w:noProof/>
        </w:rPr>
        <w:t>While</w:t>
      </w:r>
      <w:r w:rsidRPr="000653A9">
        <w:rPr>
          <w:noProof/>
        </w:rPr>
        <w:t xml:space="preserve"> ICC is not intended to support the capital cost for electrification investments, it strengthens the business case from them by ensuring beneficiaries will not be disadvantaged in the early years when indirect carbon cost may continue to be an important influence on electricity prices. </w:t>
      </w:r>
    </w:p>
    <w:p w14:paraId="1B18691C" w14:textId="77777777" w:rsidR="007E44B7" w:rsidRPr="000653A9" w:rsidRDefault="007E44B7" w:rsidP="00794BC8">
      <w:pPr>
        <w:pStyle w:val="Heading4COM"/>
        <w:outlineLvl w:val="4"/>
        <w:rPr>
          <w:noProof/>
        </w:rPr>
      </w:pPr>
      <w:bookmarkStart w:id="465" w:name="_Toc230857922"/>
      <w:bookmarkStart w:id="466" w:name="_Toc232751113"/>
      <w:r w:rsidRPr="000653A9">
        <w:rPr>
          <w:noProof/>
        </w:rPr>
        <w:t>Fundamental rights</w:t>
      </w:r>
      <w:bookmarkEnd w:id="465"/>
      <w:bookmarkEnd w:id="466"/>
    </w:p>
    <w:p w14:paraId="1750F030" w14:textId="7BE08CB4" w:rsidR="00DC63F8" w:rsidRPr="000653A9" w:rsidRDefault="007E44B7" w:rsidP="00645AF6">
      <w:pPr>
        <w:spacing w:after="240"/>
        <w:rPr>
          <w:noProof/>
          <w:color w:val="auto"/>
        </w:rPr>
      </w:pPr>
      <w:r w:rsidRPr="000653A9">
        <w:rPr>
          <w:noProof/>
          <w:color w:val="auto"/>
        </w:rPr>
        <w:t xml:space="preserve">In accordance with the Better Regulation Guidelines, the policy measures were assessed to understand if there is impact on the fundamental rights endorsed by the EU Charter of Fundamental Rights. Following a screening of the fundamental rights, the judgement was taken that the policy measures do not have a negative impact and are likely to have a positive impact on the fundamental right with regards to environmental protection under Article 37. </w:t>
      </w:r>
    </w:p>
    <w:p w14:paraId="0434EFBD" w14:textId="24208053" w:rsidR="00DC63F8" w:rsidRPr="000653A9" w:rsidRDefault="00DC63F8" w:rsidP="00794BC8">
      <w:pPr>
        <w:pStyle w:val="Heading3COM"/>
        <w:outlineLvl w:val="3"/>
        <w:rPr>
          <w:noProof/>
        </w:rPr>
      </w:pPr>
      <w:bookmarkStart w:id="467" w:name="_Toc204154653"/>
      <w:bookmarkStart w:id="468" w:name="_Toc211518736"/>
      <w:bookmarkStart w:id="469" w:name="_Toc212049721"/>
      <w:bookmarkStart w:id="470" w:name="_Toc230857923"/>
      <w:bookmarkStart w:id="471" w:name="_Toc232751114"/>
      <w:r w:rsidRPr="000653A9">
        <w:rPr>
          <w:noProof/>
        </w:rPr>
        <w:t>Environmental impacts</w:t>
      </w:r>
      <w:bookmarkEnd w:id="467"/>
      <w:bookmarkEnd w:id="468"/>
      <w:bookmarkEnd w:id="469"/>
      <w:bookmarkEnd w:id="470"/>
      <w:bookmarkEnd w:id="471"/>
    </w:p>
    <w:p w14:paraId="7DDDC640" w14:textId="77777777" w:rsidR="00DC63F8" w:rsidRPr="000653A9" w:rsidRDefault="00DC63F8" w:rsidP="00794BC8">
      <w:pPr>
        <w:pStyle w:val="Heading4COM"/>
        <w:outlineLvl w:val="4"/>
        <w:rPr>
          <w:noProof/>
        </w:rPr>
      </w:pPr>
      <w:bookmarkStart w:id="472" w:name="_Toc212049722"/>
      <w:bookmarkStart w:id="473" w:name="_Toc230857924"/>
      <w:bookmarkStart w:id="474" w:name="_Toc232751115"/>
      <w:r w:rsidRPr="000653A9">
        <w:rPr>
          <w:noProof/>
        </w:rPr>
        <w:t>Climate</w:t>
      </w:r>
      <w:bookmarkEnd w:id="472"/>
      <w:bookmarkEnd w:id="473"/>
      <w:bookmarkEnd w:id="474"/>
      <w:r w:rsidRPr="000653A9">
        <w:rPr>
          <w:noProof/>
        </w:rPr>
        <w:t xml:space="preserve"> </w:t>
      </w:r>
    </w:p>
    <w:p w14:paraId="400B85FA" w14:textId="567CA6DD" w:rsidR="00DC63F8" w:rsidRPr="000653A9" w:rsidRDefault="00A615BE" w:rsidP="00794BC8">
      <w:pPr>
        <w:pStyle w:val="Heading5COM"/>
        <w:outlineLvl w:val="5"/>
        <w:rPr>
          <w:noProof/>
        </w:rPr>
      </w:pPr>
      <w:bookmarkStart w:id="475" w:name="_Toc212049723"/>
      <w:bookmarkStart w:id="476" w:name="_Toc230857925"/>
      <w:bookmarkStart w:id="477" w:name="_Toc232751116"/>
      <w:r w:rsidRPr="000653A9">
        <w:rPr>
          <w:noProof/>
        </w:rPr>
        <w:t>Free allocation: c</w:t>
      </w:r>
      <w:r w:rsidR="00DC63F8" w:rsidRPr="000653A9">
        <w:rPr>
          <w:noProof/>
        </w:rPr>
        <w:t>arbon leakage rates</w:t>
      </w:r>
      <w:bookmarkEnd w:id="475"/>
      <w:bookmarkEnd w:id="476"/>
      <w:bookmarkEnd w:id="477"/>
    </w:p>
    <w:p w14:paraId="5F6FC733" w14:textId="57B0F3FB" w:rsidR="00B85714" w:rsidRPr="000653A9" w:rsidRDefault="00B85714" w:rsidP="00B85714">
      <w:pPr>
        <w:pStyle w:val="paragraph"/>
        <w:jc w:val="both"/>
        <w:rPr>
          <w:noProof/>
        </w:rPr>
      </w:pPr>
      <w:r w:rsidRPr="000653A9">
        <w:rPr>
          <w:noProof/>
        </w:rPr>
        <w:t xml:space="preserve">The conventional approach for carbon leakage assessment considers the emissions that increase in one (not </w:t>
      </w:r>
      <w:r w:rsidRPr="000653A9">
        <w:rPr>
          <w:rStyle w:val="normaltextrun"/>
          <w:noProof/>
        </w:rPr>
        <w:t>regulated</w:t>
      </w:r>
      <w:r w:rsidRPr="000653A9">
        <w:rPr>
          <w:noProof/>
        </w:rPr>
        <w:t>) region whilst decreasing in another regulated region and can be expressed by the following simple formula:</w:t>
      </w:r>
      <w:r w:rsidRPr="000653A9">
        <w:rPr>
          <w:i/>
          <w:iCs/>
          <w:noProof/>
        </w:rPr>
        <w:t xml:space="preserve"> Carbon leakage rate = increase in foreign emissions / decrease in domestic emissions. </w:t>
      </w:r>
      <w:r w:rsidRPr="000653A9">
        <w:rPr>
          <w:noProof/>
        </w:rPr>
        <w:t xml:space="preserve">However, as described in </w:t>
      </w:r>
      <w:r w:rsidR="00CB3AB8" w:rsidRPr="000653A9">
        <w:rPr>
          <w:noProof/>
        </w:rPr>
        <w:t xml:space="preserve">Table </w:t>
      </w:r>
      <w:r w:rsidR="0034207B">
        <w:rPr>
          <w:noProof/>
        </w:rPr>
        <w:t>2</w:t>
      </w:r>
      <w:r w:rsidR="009E7AB2">
        <w:rPr>
          <w:noProof/>
        </w:rPr>
        <w:t>5</w:t>
      </w:r>
      <w:r w:rsidRPr="000653A9">
        <w:rPr>
          <w:noProof/>
        </w:rPr>
        <w:t xml:space="preserve">, EU27 </w:t>
      </w:r>
      <w:r w:rsidR="00D55E74" w:rsidRPr="000653A9">
        <w:rPr>
          <w:noProof/>
        </w:rPr>
        <w:t>EU ETS</w:t>
      </w:r>
      <w:r w:rsidRPr="000653A9">
        <w:rPr>
          <w:noProof/>
        </w:rPr>
        <w:t xml:space="preserve"> GHG emissions increase from baseline levels in all scenarios. Therefore, the conventional formula for carbon leakage estimation is not relevant </w:t>
      </w:r>
      <w:r w:rsidRPr="000653A9">
        <w:rPr>
          <w:rStyle w:val="normaltextrun"/>
          <w:noProof/>
        </w:rPr>
        <w:t>to</w:t>
      </w:r>
      <w:r w:rsidRPr="000653A9">
        <w:rPr>
          <w:noProof/>
        </w:rPr>
        <w:t xml:space="preserve"> this analysis. </w:t>
      </w:r>
    </w:p>
    <w:p w14:paraId="5E39E9CF" w14:textId="433E32B2" w:rsidR="00B85714" w:rsidRPr="000653A9" w:rsidRDefault="00B85714" w:rsidP="00C92FA9">
      <w:pPr>
        <w:pStyle w:val="Tabletitle"/>
        <w:rPr>
          <w:noProof/>
        </w:rPr>
      </w:pPr>
      <w:bookmarkStart w:id="478" w:name="_Toc234435128"/>
      <w:bookmarkStart w:id="479" w:name="_Toc232003598"/>
      <w:r w:rsidRPr="000653A9">
        <w:rPr>
          <w:noProof/>
        </w:rPr>
        <w:t>Change in the EU 27 emissions in 2040 relative to baseline scenario (in MtCO2eq)</w:t>
      </w:r>
      <w:bookmarkEnd w:id="478"/>
      <w:bookmarkEnd w:id="479"/>
    </w:p>
    <w:tbl>
      <w:tblPr>
        <w:tblStyle w:val="RicardoTable"/>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608"/>
        <w:gridCol w:w="754"/>
        <w:gridCol w:w="938"/>
        <w:gridCol w:w="1084"/>
        <w:gridCol w:w="938"/>
        <w:gridCol w:w="1084"/>
        <w:gridCol w:w="711"/>
        <w:gridCol w:w="754"/>
      </w:tblGrid>
      <w:tr w:rsidR="000F53AE" w:rsidRPr="000653A9" w14:paraId="472D4262" w14:textId="77777777" w:rsidTr="001D31D6">
        <w:trPr>
          <w:cnfStyle w:val="100000000000" w:firstRow="1" w:lastRow="0" w:firstColumn="0" w:lastColumn="0" w:oddVBand="0" w:evenVBand="0" w:oddHBand="0" w:evenHBand="0" w:firstRowFirstColumn="0" w:firstRowLastColumn="0" w:lastRowFirstColumn="0" w:lastRowLastColumn="0"/>
          <w:trHeight w:val="20"/>
          <w:tblHeader/>
          <w:jc w:val="center"/>
        </w:trPr>
        <w:tc>
          <w:tcPr>
            <w:tcW w:w="1409" w:type="pct"/>
            <w:vAlign w:val="center"/>
          </w:tcPr>
          <w:p w14:paraId="6ECB94D2" w14:textId="77777777" w:rsidR="000F53AE" w:rsidRPr="000653A9" w:rsidRDefault="000F53AE" w:rsidP="001D31D6">
            <w:pPr>
              <w:spacing w:after="0"/>
              <w:jc w:val="center"/>
              <w:rPr>
                <w:noProof/>
                <w:color w:val="auto"/>
                <w:sz w:val="22"/>
                <w:szCs w:val="22"/>
              </w:rPr>
            </w:pPr>
          </w:p>
        </w:tc>
        <w:tc>
          <w:tcPr>
            <w:tcW w:w="3591" w:type="pct"/>
            <w:gridSpan w:val="8"/>
            <w:vAlign w:val="center"/>
          </w:tcPr>
          <w:p w14:paraId="13192857" w14:textId="0BE3C876" w:rsidR="000F53AE" w:rsidRPr="000653A9" w:rsidRDefault="000F53AE" w:rsidP="001D31D6">
            <w:pPr>
              <w:pStyle w:val="BodyText"/>
              <w:spacing w:after="0"/>
              <w:jc w:val="center"/>
              <w:rPr>
                <w:rFonts w:cs="Times New Roman"/>
                <w:noProof/>
                <w:color w:val="auto"/>
                <w:sz w:val="22"/>
                <w:szCs w:val="22"/>
              </w:rPr>
            </w:pPr>
            <w:r w:rsidRPr="000653A9">
              <w:rPr>
                <w:rFonts w:cs="Times New Roman"/>
                <w:noProof/>
                <w:color w:val="auto"/>
                <w:sz w:val="22"/>
                <w:szCs w:val="22"/>
              </w:rPr>
              <w:t>Policy options</w:t>
            </w:r>
          </w:p>
        </w:tc>
      </w:tr>
      <w:tr w:rsidR="00553EB2" w:rsidRPr="000653A9" w14:paraId="0B07223A" w14:textId="77777777" w:rsidTr="001D31D6">
        <w:trPr>
          <w:trHeight w:val="20"/>
          <w:jc w:val="center"/>
        </w:trPr>
        <w:tc>
          <w:tcPr>
            <w:tcW w:w="1409" w:type="pct"/>
            <w:vAlign w:val="center"/>
          </w:tcPr>
          <w:p w14:paraId="2E588CF5" w14:textId="77777777" w:rsidR="00553EB2" w:rsidRPr="000653A9" w:rsidRDefault="00553EB2" w:rsidP="001D31D6">
            <w:pPr>
              <w:pStyle w:val="BodyText"/>
              <w:spacing w:after="0"/>
              <w:jc w:val="center"/>
              <w:rPr>
                <w:rFonts w:cs="Times New Roman"/>
                <w:noProof/>
                <w:color w:val="auto"/>
                <w:sz w:val="22"/>
                <w:szCs w:val="22"/>
              </w:rPr>
            </w:pPr>
          </w:p>
        </w:tc>
        <w:tc>
          <w:tcPr>
            <w:tcW w:w="316" w:type="pct"/>
            <w:vAlign w:val="center"/>
            <w:hideMark/>
          </w:tcPr>
          <w:p w14:paraId="1624674D" w14:textId="77777777" w:rsidR="00553EB2" w:rsidRPr="000653A9" w:rsidRDefault="00553EB2" w:rsidP="001D31D6">
            <w:pPr>
              <w:pStyle w:val="BodyText"/>
              <w:spacing w:after="0"/>
              <w:jc w:val="center"/>
              <w:rPr>
                <w:rFonts w:cs="Times New Roman"/>
                <w:noProof/>
                <w:color w:val="auto"/>
                <w:sz w:val="22"/>
                <w:szCs w:val="22"/>
              </w:rPr>
            </w:pPr>
            <w:r w:rsidRPr="000653A9">
              <w:rPr>
                <w:rFonts w:cs="Times New Roman"/>
                <w:noProof/>
                <w:color w:val="auto"/>
                <w:sz w:val="22"/>
                <w:szCs w:val="22"/>
              </w:rPr>
              <w:t>PO1</w:t>
            </w:r>
          </w:p>
        </w:tc>
        <w:tc>
          <w:tcPr>
            <w:tcW w:w="392" w:type="pct"/>
            <w:vAlign w:val="center"/>
            <w:hideMark/>
          </w:tcPr>
          <w:p w14:paraId="0D9BB5B7" w14:textId="77777777" w:rsidR="00553EB2" w:rsidRPr="000653A9" w:rsidRDefault="00553EB2" w:rsidP="001D31D6">
            <w:pPr>
              <w:pStyle w:val="BodyText"/>
              <w:spacing w:after="0"/>
              <w:jc w:val="center"/>
              <w:rPr>
                <w:rFonts w:cs="Times New Roman"/>
                <w:noProof/>
                <w:color w:val="auto"/>
                <w:sz w:val="22"/>
                <w:szCs w:val="22"/>
              </w:rPr>
            </w:pPr>
            <w:r w:rsidRPr="000653A9">
              <w:rPr>
                <w:rFonts w:cs="Times New Roman"/>
                <w:noProof/>
                <w:color w:val="auto"/>
                <w:sz w:val="22"/>
                <w:szCs w:val="22"/>
              </w:rPr>
              <w:t>PO1R</w:t>
            </w:r>
          </w:p>
        </w:tc>
        <w:tc>
          <w:tcPr>
            <w:tcW w:w="494" w:type="pct"/>
            <w:vAlign w:val="center"/>
            <w:hideMark/>
          </w:tcPr>
          <w:p w14:paraId="2996DE8F" w14:textId="77777777" w:rsidR="00553EB2" w:rsidRPr="000653A9" w:rsidRDefault="00553EB2" w:rsidP="001D31D6">
            <w:pPr>
              <w:pStyle w:val="BodyText"/>
              <w:spacing w:after="0"/>
              <w:jc w:val="center"/>
              <w:rPr>
                <w:rFonts w:cs="Times New Roman"/>
                <w:noProof/>
                <w:color w:val="auto"/>
                <w:sz w:val="22"/>
                <w:szCs w:val="22"/>
              </w:rPr>
            </w:pPr>
            <w:r w:rsidRPr="000653A9">
              <w:rPr>
                <w:rFonts w:cs="Times New Roman"/>
                <w:noProof/>
                <w:color w:val="auto"/>
                <w:sz w:val="22"/>
                <w:szCs w:val="22"/>
              </w:rPr>
              <w:t>PO2_50</w:t>
            </w:r>
          </w:p>
        </w:tc>
        <w:tc>
          <w:tcPr>
            <w:tcW w:w="563" w:type="pct"/>
            <w:vAlign w:val="center"/>
          </w:tcPr>
          <w:p w14:paraId="4F5C7865" w14:textId="7AD43AB7" w:rsidR="00553EB2" w:rsidRPr="000653A9" w:rsidRDefault="00553EB2" w:rsidP="001D31D6">
            <w:pPr>
              <w:pStyle w:val="BodyText"/>
              <w:spacing w:after="0"/>
              <w:jc w:val="center"/>
              <w:rPr>
                <w:rFonts w:cs="Times New Roman"/>
                <w:noProof/>
                <w:color w:val="auto"/>
                <w:sz w:val="22"/>
                <w:szCs w:val="22"/>
              </w:rPr>
            </w:pPr>
            <w:r w:rsidRPr="000653A9">
              <w:rPr>
                <w:rFonts w:cs="Times New Roman"/>
                <w:noProof/>
                <w:color w:val="auto"/>
                <w:sz w:val="22"/>
                <w:szCs w:val="22"/>
              </w:rPr>
              <w:t>PO2_50C</w:t>
            </w:r>
          </w:p>
        </w:tc>
        <w:tc>
          <w:tcPr>
            <w:tcW w:w="497" w:type="pct"/>
            <w:vAlign w:val="center"/>
            <w:hideMark/>
          </w:tcPr>
          <w:p w14:paraId="385DD1BD" w14:textId="0664429F" w:rsidR="00553EB2" w:rsidRPr="000653A9" w:rsidRDefault="00553EB2" w:rsidP="001D31D6">
            <w:pPr>
              <w:pStyle w:val="BodyText"/>
              <w:spacing w:after="0"/>
              <w:jc w:val="center"/>
              <w:rPr>
                <w:rFonts w:cs="Times New Roman"/>
                <w:noProof/>
                <w:color w:val="auto"/>
                <w:sz w:val="22"/>
                <w:szCs w:val="22"/>
              </w:rPr>
            </w:pPr>
            <w:r w:rsidRPr="000653A9">
              <w:rPr>
                <w:rFonts w:cs="Times New Roman"/>
                <w:noProof/>
                <w:color w:val="auto"/>
                <w:sz w:val="22"/>
                <w:szCs w:val="22"/>
              </w:rPr>
              <w:t>PO2_90</w:t>
            </w:r>
          </w:p>
        </w:tc>
        <w:tc>
          <w:tcPr>
            <w:tcW w:w="563" w:type="pct"/>
            <w:vAlign w:val="center"/>
          </w:tcPr>
          <w:p w14:paraId="14579DF4" w14:textId="3B550A9D" w:rsidR="00553EB2" w:rsidRPr="000653A9" w:rsidRDefault="00553EB2" w:rsidP="001D31D6">
            <w:pPr>
              <w:pStyle w:val="BodyText"/>
              <w:spacing w:after="0"/>
              <w:jc w:val="center"/>
              <w:rPr>
                <w:rFonts w:cs="Times New Roman"/>
                <w:noProof/>
                <w:color w:val="auto"/>
                <w:sz w:val="22"/>
                <w:szCs w:val="22"/>
              </w:rPr>
            </w:pPr>
            <w:r w:rsidRPr="000653A9">
              <w:rPr>
                <w:rFonts w:cs="Times New Roman"/>
                <w:noProof/>
                <w:color w:val="auto"/>
                <w:sz w:val="22"/>
                <w:szCs w:val="22"/>
              </w:rPr>
              <w:t>PO2_90C</w:t>
            </w:r>
          </w:p>
        </w:tc>
        <w:tc>
          <w:tcPr>
            <w:tcW w:w="370" w:type="pct"/>
            <w:vAlign w:val="center"/>
            <w:hideMark/>
          </w:tcPr>
          <w:p w14:paraId="06099DEA" w14:textId="38C5B904" w:rsidR="00553EB2" w:rsidRPr="000653A9" w:rsidRDefault="00553EB2" w:rsidP="001D31D6">
            <w:pPr>
              <w:pStyle w:val="BodyText"/>
              <w:spacing w:after="0"/>
              <w:jc w:val="center"/>
              <w:rPr>
                <w:rFonts w:cs="Times New Roman"/>
                <w:noProof/>
                <w:color w:val="auto"/>
                <w:sz w:val="22"/>
                <w:szCs w:val="22"/>
              </w:rPr>
            </w:pPr>
            <w:r w:rsidRPr="000653A9">
              <w:rPr>
                <w:rFonts w:cs="Times New Roman"/>
                <w:noProof/>
                <w:color w:val="auto"/>
                <w:sz w:val="22"/>
                <w:szCs w:val="22"/>
              </w:rPr>
              <w:t>PO3</w:t>
            </w:r>
          </w:p>
        </w:tc>
        <w:tc>
          <w:tcPr>
            <w:tcW w:w="396" w:type="pct"/>
            <w:vAlign w:val="center"/>
            <w:hideMark/>
          </w:tcPr>
          <w:p w14:paraId="39FBC6D1" w14:textId="77777777" w:rsidR="00553EB2" w:rsidRPr="000653A9" w:rsidRDefault="00553EB2" w:rsidP="001D31D6">
            <w:pPr>
              <w:pStyle w:val="BodyText"/>
              <w:spacing w:after="0"/>
              <w:jc w:val="center"/>
              <w:rPr>
                <w:rFonts w:cs="Times New Roman"/>
                <w:noProof/>
                <w:color w:val="auto"/>
                <w:sz w:val="22"/>
                <w:szCs w:val="22"/>
              </w:rPr>
            </w:pPr>
            <w:r w:rsidRPr="000653A9">
              <w:rPr>
                <w:rFonts w:cs="Times New Roman"/>
                <w:noProof/>
                <w:color w:val="auto"/>
                <w:sz w:val="22"/>
                <w:szCs w:val="22"/>
              </w:rPr>
              <w:t>PO3R</w:t>
            </w:r>
          </w:p>
        </w:tc>
      </w:tr>
      <w:tr w:rsidR="00994EA2" w:rsidRPr="000653A9" w14:paraId="0B813508" w14:textId="77777777" w:rsidTr="001D31D6">
        <w:trPr>
          <w:trHeight w:val="20"/>
          <w:jc w:val="center"/>
        </w:trPr>
        <w:tc>
          <w:tcPr>
            <w:tcW w:w="1409" w:type="pct"/>
            <w:vAlign w:val="center"/>
            <w:hideMark/>
          </w:tcPr>
          <w:p w14:paraId="2BB8BB40"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Total economy</w:t>
            </w:r>
          </w:p>
        </w:tc>
        <w:tc>
          <w:tcPr>
            <w:tcW w:w="316" w:type="pct"/>
            <w:vAlign w:val="center"/>
            <w:hideMark/>
          </w:tcPr>
          <w:p w14:paraId="68F45838"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7.72</w:t>
            </w:r>
          </w:p>
        </w:tc>
        <w:tc>
          <w:tcPr>
            <w:tcW w:w="392" w:type="pct"/>
            <w:vAlign w:val="center"/>
            <w:hideMark/>
          </w:tcPr>
          <w:p w14:paraId="00E9519C"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8.09</w:t>
            </w:r>
          </w:p>
        </w:tc>
        <w:tc>
          <w:tcPr>
            <w:tcW w:w="494" w:type="pct"/>
            <w:vAlign w:val="center"/>
            <w:hideMark/>
          </w:tcPr>
          <w:p w14:paraId="11EC8B6A"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7.03</w:t>
            </w:r>
          </w:p>
        </w:tc>
        <w:tc>
          <w:tcPr>
            <w:tcW w:w="563" w:type="pct"/>
            <w:vAlign w:val="center"/>
          </w:tcPr>
          <w:p w14:paraId="12D616F6" w14:textId="3ADD8786"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7.86</w:t>
            </w:r>
          </w:p>
        </w:tc>
        <w:tc>
          <w:tcPr>
            <w:tcW w:w="497" w:type="pct"/>
            <w:vAlign w:val="center"/>
            <w:hideMark/>
          </w:tcPr>
          <w:p w14:paraId="20E7B83C" w14:textId="040D71DE"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9.46</w:t>
            </w:r>
          </w:p>
        </w:tc>
        <w:tc>
          <w:tcPr>
            <w:tcW w:w="563" w:type="pct"/>
            <w:vAlign w:val="center"/>
          </w:tcPr>
          <w:p w14:paraId="24C6D665" w14:textId="0FFA01A2"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10.17</w:t>
            </w:r>
          </w:p>
        </w:tc>
        <w:tc>
          <w:tcPr>
            <w:tcW w:w="370" w:type="pct"/>
            <w:vAlign w:val="center"/>
            <w:hideMark/>
          </w:tcPr>
          <w:p w14:paraId="5D6A588E" w14:textId="2A0BE116"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45.84</w:t>
            </w:r>
          </w:p>
        </w:tc>
        <w:tc>
          <w:tcPr>
            <w:tcW w:w="396" w:type="pct"/>
            <w:vAlign w:val="center"/>
            <w:hideMark/>
          </w:tcPr>
          <w:p w14:paraId="53D41D9F"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46.13</w:t>
            </w:r>
          </w:p>
        </w:tc>
      </w:tr>
      <w:tr w:rsidR="00994EA2" w:rsidRPr="000653A9" w14:paraId="492B93EF" w14:textId="77777777" w:rsidTr="001D31D6">
        <w:trPr>
          <w:trHeight w:val="20"/>
          <w:jc w:val="center"/>
        </w:trPr>
        <w:tc>
          <w:tcPr>
            <w:tcW w:w="1409" w:type="pct"/>
            <w:vAlign w:val="center"/>
            <w:hideMark/>
          </w:tcPr>
          <w:p w14:paraId="76DC2654"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Ferrous metals</w:t>
            </w:r>
          </w:p>
        </w:tc>
        <w:tc>
          <w:tcPr>
            <w:tcW w:w="316" w:type="pct"/>
            <w:vAlign w:val="center"/>
            <w:hideMark/>
          </w:tcPr>
          <w:p w14:paraId="76B76E15"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0.06</w:t>
            </w:r>
          </w:p>
        </w:tc>
        <w:tc>
          <w:tcPr>
            <w:tcW w:w="392" w:type="pct"/>
            <w:vAlign w:val="center"/>
            <w:hideMark/>
          </w:tcPr>
          <w:p w14:paraId="76070859"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cs="Times New Roman"/>
                <w:noProof/>
                <w:color w:val="auto"/>
                <w:sz w:val="22"/>
                <w:szCs w:val="22"/>
              </w:rPr>
              <w:t>0.03</w:t>
            </w:r>
          </w:p>
        </w:tc>
        <w:tc>
          <w:tcPr>
            <w:tcW w:w="494" w:type="pct"/>
            <w:vAlign w:val="center"/>
            <w:hideMark/>
          </w:tcPr>
          <w:p w14:paraId="06D82DC1"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0.37</w:t>
            </w:r>
          </w:p>
        </w:tc>
        <w:tc>
          <w:tcPr>
            <w:tcW w:w="563" w:type="pct"/>
            <w:vAlign w:val="center"/>
          </w:tcPr>
          <w:p w14:paraId="7AA697A4" w14:textId="5FA5020F"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0.46</w:t>
            </w:r>
          </w:p>
        </w:tc>
        <w:tc>
          <w:tcPr>
            <w:tcW w:w="497" w:type="pct"/>
            <w:vAlign w:val="center"/>
            <w:hideMark/>
          </w:tcPr>
          <w:p w14:paraId="336603CE" w14:textId="32AEE57C"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0.39</w:t>
            </w:r>
          </w:p>
        </w:tc>
        <w:tc>
          <w:tcPr>
            <w:tcW w:w="563" w:type="pct"/>
            <w:vAlign w:val="center"/>
          </w:tcPr>
          <w:p w14:paraId="1CCE6A4A" w14:textId="051D4C21"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0.47</w:t>
            </w:r>
          </w:p>
        </w:tc>
        <w:tc>
          <w:tcPr>
            <w:tcW w:w="370" w:type="pct"/>
            <w:vAlign w:val="center"/>
            <w:hideMark/>
          </w:tcPr>
          <w:p w14:paraId="5C385918" w14:textId="3D59102D"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2.51</w:t>
            </w:r>
          </w:p>
        </w:tc>
        <w:tc>
          <w:tcPr>
            <w:tcW w:w="396" w:type="pct"/>
            <w:vAlign w:val="center"/>
            <w:hideMark/>
          </w:tcPr>
          <w:p w14:paraId="78BEC229"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cs="Times New Roman"/>
                <w:noProof/>
                <w:color w:val="auto"/>
                <w:sz w:val="22"/>
                <w:szCs w:val="22"/>
              </w:rPr>
              <w:t>2.42</w:t>
            </w:r>
          </w:p>
        </w:tc>
      </w:tr>
      <w:tr w:rsidR="00994EA2" w:rsidRPr="000653A9" w14:paraId="0F4DD249" w14:textId="77777777" w:rsidTr="001D31D6">
        <w:trPr>
          <w:trHeight w:val="20"/>
          <w:jc w:val="center"/>
        </w:trPr>
        <w:tc>
          <w:tcPr>
            <w:tcW w:w="1409" w:type="pct"/>
            <w:vAlign w:val="center"/>
            <w:hideMark/>
          </w:tcPr>
          <w:p w14:paraId="27D7072D"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Non-ferrous metals</w:t>
            </w:r>
          </w:p>
        </w:tc>
        <w:tc>
          <w:tcPr>
            <w:tcW w:w="316" w:type="pct"/>
            <w:vAlign w:val="center"/>
            <w:hideMark/>
          </w:tcPr>
          <w:p w14:paraId="7F3B0A88"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0.04</w:t>
            </w:r>
          </w:p>
        </w:tc>
        <w:tc>
          <w:tcPr>
            <w:tcW w:w="392" w:type="pct"/>
            <w:vAlign w:val="center"/>
            <w:hideMark/>
          </w:tcPr>
          <w:p w14:paraId="171004A9"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cs="Times New Roman"/>
                <w:noProof/>
                <w:color w:val="auto"/>
                <w:sz w:val="22"/>
                <w:szCs w:val="22"/>
              </w:rPr>
              <w:t>-0.01</w:t>
            </w:r>
          </w:p>
        </w:tc>
        <w:tc>
          <w:tcPr>
            <w:tcW w:w="494" w:type="pct"/>
            <w:vAlign w:val="center"/>
            <w:hideMark/>
          </w:tcPr>
          <w:p w14:paraId="5C8F879B"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0.07</w:t>
            </w:r>
          </w:p>
        </w:tc>
        <w:tc>
          <w:tcPr>
            <w:tcW w:w="563" w:type="pct"/>
            <w:vAlign w:val="center"/>
          </w:tcPr>
          <w:p w14:paraId="2974A196" w14:textId="584CE63E"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0.09</w:t>
            </w:r>
          </w:p>
        </w:tc>
        <w:tc>
          <w:tcPr>
            <w:tcW w:w="497" w:type="pct"/>
            <w:vAlign w:val="center"/>
            <w:hideMark/>
          </w:tcPr>
          <w:p w14:paraId="3255FA61" w14:textId="69A63CBA"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0.08</w:t>
            </w:r>
          </w:p>
        </w:tc>
        <w:tc>
          <w:tcPr>
            <w:tcW w:w="563" w:type="pct"/>
            <w:vAlign w:val="center"/>
          </w:tcPr>
          <w:p w14:paraId="085A3C39" w14:textId="4FFE4685"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0.09</w:t>
            </w:r>
          </w:p>
        </w:tc>
        <w:tc>
          <w:tcPr>
            <w:tcW w:w="370" w:type="pct"/>
            <w:vAlign w:val="center"/>
            <w:hideMark/>
          </w:tcPr>
          <w:p w14:paraId="06165C7D" w14:textId="23838A38"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0.46</w:t>
            </w:r>
          </w:p>
        </w:tc>
        <w:tc>
          <w:tcPr>
            <w:tcW w:w="396" w:type="pct"/>
            <w:vAlign w:val="center"/>
            <w:hideMark/>
          </w:tcPr>
          <w:p w14:paraId="22E6E78D"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cs="Times New Roman"/>
                <w:noProof/>
                <w:color w:val="auto"/>
                <w:sz w:val="22"/>
                <w:szCs w:val="22"/>
              </w:rPr>
              <w:t>0.42</w:t>
            </w:r>
          </w:p>
        </w:tc>
      </w:tr>
      <w:tr w:rsidR="00994EA2" w:rsidRPr="000653A9" w14:paraId="385B4D1E" w14:textId="77777777" w:rsidTr="001D31D6">
        <w:trPr>
          <w:trHeight w:val="20"/>
          <w:jc w:val="center"/>
        </w:trPr>
        <w:tc>
          <w:tcPr>
            <w:tcW w:w="1409" w:type="pct"/>
            <w:vAlign w:val="center"/>
            <w:hideMark/>
          </w:tcPr>
          <w:p w14:paraId="3788E7A1"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Chemical Products</w:t>
            </w:r>
          </w:p>
        </w:tc>
        <w:tc>
          <w:tcPr>
            <w:tcW w:w="316" w:type="pct"/>
            <w:vAlign w:val="center"/>
            <w:hideMark/>
          </w:tcPr>
          <w:p w14:paraId="1A2ACC4E"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0.83</w:t>
            </w:r>
          </w:p>
        </w:tc>
        <w:tc>
          <w:tcPr>
            <w:tcW w:w="392" w:type="pct"/>
            <w:vAlign w:val="center"/>
            <w:hideMark/>
          </w:tcPr>
          <w:p w14:paraId="76EC8461"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cs="Times New Roman"/>
                <w:noProof/>
                <w:color w:val="auto"/>
                <w:sz w:val="22"/>
                <w:szCs w:val="22"/>
              </w:rPr>
              <w:t>0.76</w:t>
            </w:r>
          </w:p>
        </w:tc>
        <w:tc>
          <w:tcPr>
            <w:tcW w:w="494" w:type="pct"/>
            <w:vAlign w:val="center"/>
            <w:hideMark/>
          </w:tcPr>
          <w:p w14:paraId="6A9F7858"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0.99</w:t>
            </w:r>
          </w:p>
        </w:tc>
        <w:tc>
          <w:tcPr>
            <w:tcW w:w="563" w:type="pct"/>
            <w:vAlign w:val="center"/>
          </w:tcPr>
          <w:p w14:paraId="5001AB1C" w14:textId="1929CED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1.05</w:t>
            </w:r>
          </w:p>
        </w:tc>
        <w:tc>
          <w:tcPr>
            <w:tcW w:w="497" w:type="pct"/>
            <w:vAlign w:val="center"/>
            <w:hideMark/>
          </w:tcPr>
          <w:p w14:paraId="4E4836E7" w14:textId="674EAAF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1.25</w:t>
            </w:r>
          </w:p>
        </w:tc>
        <w:tc>
          <w:tcPr>
            <w:tcW w:w="563" w:type="pct"/>
            <w:vAlign w:val="center"/>
          </w:tcPr>
          <w:p w14:paraId="669BECF3" w14:textId="68E44B2C"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1.30</w:t>
            </w:r>
          </w:p>
        </w:tc>
        <w:tc>
          <w:tcPr>
            <w:tcW w:w="370" w:type="pct"/>
            <w:vAlign w:val="center"/>
            <w:hideMark/>
          </w:tcPr>
          <w:p w14:paraId="17356112" w14:textId="66BC7330"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4.07</w:t>
            </w:r>
          </w:p>
        </w:tc>
        <w:tc>
          <w:tcPr>
            <w:tcW w:w="396" w:type="pct"/>
            <w:vAlign w:val="center"/>
            <w:hideMark/>
          </w:tcPr>
          <w:p w14:paraId="75D99CA5"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cs="Times New Roman"/>
                <w:noProof/>
                <w:color w:val="auto"/>
                <w:sz w:val="22"/>
                <w:szCs w:val="22"/>
              </w:rPr>
              <w:t>3.99</w:t>
            </w:r>
          </w:p>
        </w:tc>
      </w:tr>
      <w:tr w:rsidR="00994EA2" w:rsidRPr="000653A9" w14:paraId="53EAFB83" w14:textId="77777777" w:rsidTr="001D31D6">
        <w:trPr>
          <w:trHeight w:val="20"/>
          <w:jc w:val="center"/>
        </w:trPr>
        <w:tc>
          <w:tcPr>
            <w:tcW w:w="1409" w:type="pct"/>
            <w:vAlign w:val="center"/>
            <w:hideMark/>
          </w:tcPr>
          <w:p w14:paraId="21AA5663"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Paper products, publishing</w:t>
            </w:r>
          </w:p>
        </w:tc>
        <w:tc>
          <w:tcPr>
            <w:tcW w:w="316" w:type="pct"/>
            <w:vAlign w:val="center"/>
            <w:hideMark/>
          </w:tcPr>
          <w:p w14:paraId="1EC0C951"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0.01</w:t>
            </w:r>
          </w:p>
        </w:tc>
        <w:tc>
          <w:tcPr>
            <w:tcW w:w="392" w:type="pct"/>
            <w:vAlign w:val="center"/>
            <w:hideMark/>
          </w:tcPr>
          <w:p w14:paraId="64F7E87D"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cs="Times New Roman"/>
                <w:noProof/>
                <w:color w:val="auto"/>
                <w:sz w:val="22"/>
                <w:szCs w:val="22"/>
              </w:rPr>
              <w:t>0.01</w:t>
            </w:r>
          </w:p>
        </w:tc>
        <w:tc>
          <w:tcPr>
            <w:tcW w:w="494" w:type="pct"/>
            <w:vAlign w:val="center"/>
            <w:hideMark/>
          </w:tcPr>
          <w:p w14:paraId="159EE8DE"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0.04</w:t>
            </w:r>
          </w:p>
        </w:tc>
        <w:tc>
          <w:tcPr>
            <w:tcW w:w="563" w:type="pct"/>
            <w:vAlign w:val="center"/>
          </w:tcPr>
          <w:p w14:paraId="00DFC198" w14:textId="73F0BA4F"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0.04</w:t>
            </w:r>
          </w:p>
        </w:tc>
        <w:tc>
          <w:tcPr>
            <w:tcW w:w="497" w:type="pct"/>
            <w:vAlign w:val="center"/>
            <w:hideMark/>
          </w:tcPr>
          <w:p w14:paraId="304AA12E" w14:textId="041DA8C2"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0.05</w:t>
            </w:r>
          </w:p>
        </w:tc>
        <w:tc>
          <w:tcPr>
            <w:tcW w:w="563" w:type="pct"/>
            <w:vAlign w:val="center"/>
          </w:tcPr>
          <w:p w14:paraId="63310B06" w14:textId="1924B9E4"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0.05</w:t>
            </w:r>
          </w:p>
        </w:tc>
        <w:tc>
          <w:tcPr>
            <w:tcW w:w="370" w:type="pct"/>
            <w:vAlign w:val="center"/>
            <w:hideMark/>
          </w:tcPr>
          <w:p w14:paraId="7D6E1624" w14:textId="4E24572C"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0.31</w:t>
            </w:r>
          </w:p>
        </w:tc>
        <w:tc>
          <w:tcPr>
            <w:tcW w:w="396" w:type="pct"/>
            <w:vAlign w:val="center"/>
            <w:hideMark/>
          </w:tcPr>
          <w:p w14:paraId="03544BC2"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cs="Times New Roman"/>
                <w:noProof/>
                <w:color w:val="auto"/>
                <w:sz w:val="22"/>
                <w:szCs w:val="22"/>
              </w:rPr>
              <w:t>0.31</w:t>
            </w:r>
          </w:p>
        </w:tc>
      </w:tr>
      <w:tr w:rsidR="00994EA2" w:rsidRPr="000653A9" w14:paraId="0058110F" w14:textId="77777777" w:rsidTr="001D31D6">
        <w:trPr>
          <w:trHeight w:val="20"/>
          <w:jc w:val="center"/>
        </w:trPr>
        <w:tc>
          <w:tcPr>
            <w:tcW w:w="1409" w:type="pct"/>
            <w:vAlign w:val="center"/>
            <w:hideMark/>
          </w:tcPr>
          <w:p w14:paraId="78BFA69B"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Non-metallic minerals</w:t>
            </w:r>
          </w:p>
        </w:tc>
        <w:tc>
          <w:tcPr>
            <w:tcW w:w="316" w:type="pct"/>
            <w:vAlign w:val="center"/>
            <w:hideMark/>
          </w:tcPr>
          <w:p w14:paraId="6B678D3B"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1.00</w:t>
            </w:r>
          </w:p>
        </w:tc>
        <w:tc>
          <w:tcPr>
            <w:tcW w:w="392" w:type="pct"/>
            <w:vAlign w:val="center"/>
            <w:hideMark/>
          </w:tcPr>
          <w:p w14:paraId="7EA1F343"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eastAsia="Arial" w:cs="Times New Roman"/>
                <w:noProof/>
                <w:color w:val="auto"/>
                <w:sz w:val="22"/>
                <w:szCs w:val="22"/>
              </w:rPr>
              <w:t>0.86</w:t>
            </w:r>
          </w:p>
        </w:tc>
        <w:tc>
          <w:tcPr>
            <w:tcW w:w="494" w:type="pct"/>
            <w:vAlign w:val="center"/>
            <w:hideMark/>
          </w:tcPr>
          <w:p w14:paraId="25FE41A9" w14:textId="77777777"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1.82</w:t>
            </w:r>
          </w:p>
        </w:tc>
        <w:tc>
          <w:tcPr>
            <w:tcW w:w="563" w:type="pct"/>
            <w:vAlign w:val="center"/>
          </w:tcPr>
          <w:p w14:paraId="37770B2A" w14:textId="75286F58"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2.43</w:t>
            </w:r>
          </w:p>
        </w:tc>
        <w:tc>
          <w:tcPr>
            <w:tcW w:w="497" w:type="pct"/>
            <w:vAlign w:val="center"/>
            <w:hideMark/>
          </w:tcPr>
          <w:p w14:paraId="281E6110" w14:textId="435F3B69"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2.13</w:t>
            </w:r>
          </w:p>
        </w:tc>
        <w:tc>
          <w:tcPr>
            <w:tcW w:w="563" w:type="pct"/>
            <w:vAlign w:val="center"/>
          </w:tcPr>
          <w:p w14:paraId="04575AFA" w14:textId="30FC30AD"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2.65</w:t>
            </w:r>
          </w:p>
        </w:tc>
        <w:tc>
          <w:tcPr>
            <w:tcW w:w="370" w:type="pct"/>
            <w:vAlign w:val="center"/>
            <w:hideMark/>
          </w:tcPr>
          <w:p w14:paraId="7CBDC427" w14:textId="3EE8CEEE" w:rsidR="00994EA2" w:rsidRPr="000653A9" w:rsidRDefault="00994EA2" w:rsidP="001D31D6">
            <w:pPr>
              <w:pStyle w:val="BodyText"/>
              <w:spacing w:after="0"/>
              <w:jc w:val="center"/>
              <w:rPr>
                <w:rFonts w:cs="Times New Roman"/>
                <w:noProof/>
                <w:color w:val="auto"/>
                <w:sz w:val="22"/>
                <w:szCs w:val="22"/>
              </w:rPr>
            </w:pPr>
            <w:r w:rsidRPr="000653A9">
              <w:rPr>
                <w:rFonts w:cs="Times New Roman"/>
                <w:noProof/>
                <w:color w:val="auto"/>
                <w:sz w:val="22"/>
                <w:szCs w:val="22"/>
              </w:rPr>
              <w:t>9.99</w:t>
            </w:r>
          </w:p>
        </w:tc>
        <w:tc>
          <w:tcPr>
            <w:tcW w:w="396" w:type="pct"/>
            <w:vAlign w:val="center"/>
            <w:hideMark/>
          </w:tcPr>
          <w:p w14:paraId="171AF5E5" w14:textId="77777777" w:rsidR="00994EA2" w:rsidRPr="000653A9" w:rsidRDefault="00994EA2" w:rsidP="001D31D6">
            <w:pPr>
              <w:pStyle w:val="BodyText"/>
              <w:spacing w:after="0"/>
              <w:jc w:val="center"/>
              <w:rPr>
                <w:rFonts w:eastAsia="Arial" w:cs="Times New Roman"/>
                <w:noProof/>
                <w:color w:val="auto"/>
                <w:sz w:val="22"/>
                <w:szCs w:val="22"/>
              </w:rPr>
            </w:pPr>
            <w:r w:rsidRPr="000653A9">
              <w:rPr>
                <w:rFonts w:eastAsia="Arial" w:cs="Times New Roman"/>
                <w:noProof/>
                <w:color w:val="auto"/>
                <w:sz w:val="22"/>
                <w:szCs w:val="22"/>
              </w:rPr>
              <w:t>9.81</w:t>
            </w:r>
          </w:p>
        </w:tc>
      </w:tr>
    </w:tbl>
    <w:p w14:paraId="4D932F23" w14:textId="77777777" w:rsidR="00B85714" w:rsidRPr="000653A9" w:rsidRDefault="00B85714" w:rsidP="0064629C">
      <w:pPr>
        <w:rPr>
          <w:rFonts w:eastAsia="Arial" w:cs="Arial"/>
          <w:i/>
          <w:iCs/>
          <w:noProof/>
          <w:sz w:val="20"/>
          <w:szCs w:val="20"/>
          <w:lang w:eastAsia="en-GB"/>
        </w:rPr>
      </w:pPr>
      <w:r w:rsidRPr="000653A9">
        <w:rPr>
          <w:rFonts w:eastAsia="Arial" w:cs="Arial"/>
          <w:i/>
          <w:iCs/>
          <w:noProof/>
          <w:sz w:val="20"/>
          <w:szCs w:val="20"/>
          <w:lang w:eastAsia="en-GB"/>
        </w:rPr>
        <w:t>Source:</w:t>
      </w:r>
      <w:r w:rsidRPr="000653A9">
        <w:rPr>
          <w:rFonts w:eastAsia="Arial" w:cs="Arial"/>
          <w:i/>
          <w:iCs/>
          <w:noProof/>
          <w:sz w:val="20"/>
          <w:szCs w:val="20"/>
          <w:lang w:eastAsia="en-GB"/>
        </w:rPr>
        <w:tab/>
        <w:t xml:space="preserve"> GEM-E3 model (2025)</w:t>
      </w:r>
    </w:p>
    <w:p w14:paraId="1B9B7D9B" w14:textId="5E5B6475" w:rsidR="003D033A" w:rsidRPr="000653A9" w:rsidRDefault="003D033A" w:rsidP="003D033A">
      <w:pPr>
        <w:pStyle w:val="paragraph"/>
        <w:jc w:val="both"/>
        <w:rPr>
          <w:rFonts w:eastAsia="Arial"/>
          <w:noProof/>
        </w:rPr>
      </w:pPr>
      <w:r w:rsidRPr="004C7F39">
        <w:rPr>
          <w:rFonts w:eastAsia="Arial"/>
          <w:noProof/>
        </w:rPr>
        <w:t xml:space="preserve">Emissions are influenced both by the number of free allowances allocated and by the carbon price required to meet </w:t>
      </w:r>
      <w:r w:rsidR="0064629C" w:rsidRPr="004C7F39">
        <w:rPr>
          <w:rFonts w:eastAsia="Arial"/>
          <w:noProof/>
        </w:rPr>
        <w:t>the</w:t>
      </w:r>
      <w:r w:rsidR="003031A8" w:rsidRPr="004C7F39">
        <w:rPr>
          <w:rFonts w:eastAsia="Arial"/>
          <w:noProof/>
        </w:rPr>
        <w:t xml:space="preserve"> ETS</w:t>
      </w:r>
      <w:r w:rsidR="0064629C" w:rsidRPr="004C7F39">
        <w:rPr>
          <w:rFonts w:eastAsia="Arial"/>
          <w:noProof/>
        </w:rPr>
        <w:t xml:space="preserve"> cap.</w:t>
      </w:r>
      <w:r w:rsidRPr="004C7F39">
        <w:rPr>
          <w:rFonts w:eastAsia="Arial"/>
          <w:noProof/>
        </w:rPr>
        <w:t xml:space="preserve"> In PO2—and especially in PO3—the inclusion of waste leads </w:t>
      </w:r>
      <w:r w:rsidR="00383505" w:rsidRPr="004C7F39">
        <w:rPr>
          <w:rFonts w:eastAsia="Arial"/>
          <w:noProof/>
        </w:rPr>
        <w:t xml:space="preserve">to </w:t>
      </w:r>
      <w:r w:rsidRPr="004C7F39">
        <w:rPr>
          <w:rFonts w:eastAsia="Arial"/>
          <w:noProof/>
        </w:rPr>
        <w:t xml:space="preserve">the increase of the cap compared to the baseline, thus providing additional protection against carbon leakage. Overall, EU27 emissions increase across most scenarios, driven by three main factors: 1) the number of free allowances allocated in </w:t>
      </w:r>
      <w:r w:rsidR="00E20050" w:rsidRPr="004C7F39">
        <w:rPr>
          <w:rFonts w:eastAsia="Arial"/>
          <w:noProof/>
        </w:rPr>
        <w:t xml:space="preserve">EU ETS </w:t>
      </w:r>
      <w:r w:rsidRPr="004C7F39">
        <w:rPr>
          <w:rFonts w:eastAsia="Arial"/>
          <w:noProof/>
        </w:rPr>
        <w:t>sectors; 2) the carbon price required to meet the cap and 3) the increase in economic activity observed in all</w:t>
      </w:r>
      <w:r w:rsidRPr="000653A9">
        <w:rPr>
          <w:rFonts w:eastAsia="Arial"/>
          <w:noProof/>
        </w:rPr>
        <w:t xml:space="preserve"> scenarios. </w:t>
      </w:r>
    </w:p>
    <w:p w14:paraId="372E51B1" w14:textId="6B7FDF67" w:rsidR="003D033A" w:rsidRPr="000653A9" w:rsidRDefault="003D033A" w:rsidP="003D033A">
      <w:pPr>
        <w:pStyle w:val="paragraph"/>
        <w:jc w:val="both"/>
        <w:rPr>
          <w:rFonts w:eastAsia="Arial"/>
          <w:noProof/>
        </w:rPr>
      </w:pPr>
      <w:r w:rsidRPr="000653A9">
        <w:rPr>
          <w:rFonts w:eastAsia="Arial"/>
          <w:noProof/>
        </w:rPr>
        <w:t xml:space="preserve">The only case in which EU27 emissions decline is observed in the non-ferrous metals sector under PO1 with recycling, where a reduction in activity leads to a corresponding decrease in emissions. In contrast, the chemicals and non-metallic minerals sectors exhibit the largest absolute increases in emissions, reflecting the higher number of free allowances allocated to these sectors relative to other </w:t>
      </w:r>
      <w:r w:rsidR="00064131" w:rsidRPr="000653A9">
        <w:rPr>
          <w:rFonts w:eastAsia="Arial"/>
          <w:noProof/>
        </w:rPr>
        <w:t xml:space="preserve">EU ETS </w:t>
      </w:r>
      <w:r w:rsidRPr="000653A9">
        <w:rPr>
          <w:rFonts w:eastAsia="Arial"/>
          <w:noProof/>
        </w:rPr>
        <w:t xml:space="preserve">sectors and compared to the </w:t>
      </w:r>
      <w:r w:rsidR="0084495D">
        <w:rPr>
          <w:rFonts w:eastAsia="Arial"/>
          <w:noProof/>
        </w:rPr>
        <w:t>baseline</w:t>
      </w:r>
      <w:r w:rsidRPr="000653A9">
        <w:rPr>
          <w:rFonts w:eastAsia="Arial"/>
          <w:noProof/>
        </w:rPr>
        <w:t xml:space="preserve"> scenario. The extension of free allocation to CBAM sectors also results in a slight increase in emissions in those sectors.</w:t>
      </w:r>
      <w:r w:rsidRPr="000653A9">
        <w:rPr>
          <w:noProof/>
        </w:rPr>
        <w:t xml:space="preserve"> </w:t>
      </w:r>
      <w:r w:rsidRPr="000653A9">
        <w:rPr>
          <w:rFonts w:eastAsia="Arial"/>
          <w:noProof/>
        </w:rPr>
        <w:t xml:space="preserve">At the level of the total economy, EU27 emissions increase </w:t>
      </w:r>
      <w:r w:rsidR="006459E1" w:rsidRPr="000653A9">
        <w:rPr>
          <w:rFonts w:eastAsia="Arial"/>
          <w:noProof/>
        </w:rPr>
        <w:t>because of</w:t>
      </w:r>
      <w:r w:rsidRPr="000653A9">
        <w:rPr>
          <w:rFonts w:eastAsia="Arial"/>
          <w:noProof/>
        </w:rPr>
        <w:t xml:space="preserve"> higher overall activity across all scenarios. Moreover, the inclusion of waste emissions further raises emissions in </w:t>
      </w:r>
      <w:r w:rsidR="00E20050" w:rsidRPr="000653A9">
        <w:rPr>
          <w:rFonts w:eastAsia="Arial"/>
          <w:noProof/>
        </w:rPr>
        <w:t xml:space="preserve">EU ETS </w:t>
      </w:r>
      <w:r w:rsidRPr="000653A9">
        <w:rPr>
          <w:rFonts w:eastAsia="Arial"/>
          <w:noProof/>
        </w:rPr>
        <w:t xml:space="preserve">sectors, with the largest increase observed in PO3, where all waste emissions are fully covered under </w:t>
      </w:r>
      <w:r w:rsidR="00190900" w:rsidRPr="000653A9">
        <w:rPr>
          <w:rFonts w:eastAsia="Arial"/>
          <w:noProof/>
        </w:rPr>
        <w:t>the EU ETS</w:t>
      </w:r>
      <w:r w:rsidRPr="000653A9">
        <w:rPr>
          <w:rFonts w:eastAsia="Arial"/>
          <w:noProof/>
        </w:rPr>
        <w:t>.</w:t>
      </w:r>
    </w:p>
    <w:p w14:paraId="406CCEE9" w14:textId="61D7EA60" w:rsidR="00737AF9" w:rsidRPr="000653A9" w:rsidRDefault="00737AF9" w:rsidP="00737AF9">
      <w:pPr>
        <w:pStyle w:val="paragraph"/>
        <w:jc w:val="both"/>
        <w:rPr>
          <w:rFonts w:eastAsia="Arial"/>
          <w:noProof/>
        </w:rPr>
      </w:pPr>
      <w:r w:rsidRPr="000653A9">
        <w:rPr>
          <w:rFonts w:eastAsia="Arial"/>
          <w:noProof/>
        </w:rPr>
        <w:t xml:space="preserve">The lower non-EU emissions for the </w:t>
      </w:r>
      <w:r w:rsidR="00190900" w:rsidRPr="000653A9">
        <w:rPr>
          <w:rFonts w:eastAsia="Arial"/>
          <w:noProof/>
        </w:rPr>
        <w:t>EU ETS</w:t>
      </w:r>
      <w:r w:rsidRPr="000653A9">
        <w:rPr>
          <w:rFonts w:eastAsia="Arial"/>
          <w:noProof/>
        </w:rPr>
        <w:t xml:space="preserve"> sectors are on account of the competitiveness gains experienced by these sectors within the EU that overcome potential positive demand effects due to the small positive macroeconomic </w:t>
      </w:r>
      <w:r w:rsidRPr="000653A9">
        <w:rPr>
          <w:rStyle w:val="normaltextrun"/>
          <w:rFonts w:eastAsia="Arial"/>
          <w:noProof/>
        </w:rPr>
        <w:t>effects</w:t>
      </w:r>
      <w:r w:rsidRPr="000653A9">
        <w:rPr>
          <w:rFonts w:eastAsia="Arial"/>
          <w:noProof/>
        </w:rPr>
        <w:t xml:space="preserve"> seen in the EU. The increase in free allowances and the reduction of the carbon prices result in a decline in unit cost of production for the </w:t>
      </w:r>
      <w:r w:rsidR="00190900" w:rsidRPr="000653A9">
        <w:rPr>
          <w:rFonts w:eastAsia="Arial"/>
          <w:noProof/>
        </w:rPr>
        <w:t>EU ETS</w:t>
      </w:r>
      <w:r w:rsidRPr="000653A9">
        <w:rPr>
          <w:rFonts w:eastAsia="Arial"/>
          <w:noProof/>
        </w:rPr>
        <w:t xml:space="preserve"> sectors. This results in competitiveness gains resulting to lower emissions outside EU27. This result in more pronounced in the chemicals and non-metallic minerals sectors as the have the largest competitiveness gains.</w:t>
      </w:r>
    </w:p>
    <w:p w14:paraId="294A9BFC" w14:textId="15D03BCE" w:rsidR="00737AF9" w:rsidRPr="000653A9" w:rsidRDefault="00737AF9" w:rsidP="00C92FA9">
      <w:pPr>
        <w:pStyle w:val="Tabletitle"/>
        <w:rPr>
          <w:noProof/>
        </w:rPr>
      </w:pPr>
      <w:bookmarkStart w:id="480" w:name="_Toc234435129"/>
      <w:bookmarkStart w:id="481" w:name="_Toc232003599"/>
      <w:r w:rsidRPr="000653A9">
        <w:rPr>
          <w:noProof/>
        </w:rPr>
        <w:t xml:space="preserve">Change in the non-EU 27 emissions in 2040 relative to </w:t>
      </w:r>
      <w:r w:rsidR="00F01F1F">
        <w:rPr>
          <w:noProof/>
        </w:rPr>
        <w:t xml:space="preserve">the </w:t>
      </w:r>
      <w:r w:rsidRPr="000653A9">
        <w:rPr>
          <w:noProof/>
        </w:rPr>
        <w:t>PRIMES baseline scenario (in MtCO2eq)</w:t>
      </w:r>
      <w:bookmarkEnd w:id="480"/>
      <w:bookmarkEnd w:id="481"/>
    </w:p>
    <w:tbl>
      <w:tblPr>
        <w:tblStyle w:val="RicardoTabl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70"/>
        <w:gridCol w:w="894"/>
        <w:gridCol w:w="895"/>
        <w:gridCol w:w="895"/>
        <w:gridCol w:w="895"/>
        <w:gridCol w:w="894"/>
        <w:gridCol w:w="895"/>
        <w:gridCol w:w="895"/>
        <w:gridCol w:w="895"/>
      </w:tblGrid>
      <w:tr w:rsidR="00994EA2" w:rsidRPr="000653A9" w14:paraId="326768B9" w14:textId="77777777" w:rsidTr="00777005">
        <w:trPr>
          <w:cnfStyle w:val="100000000000" w:firstRow="1" w:lastRow="0" w:firstColumn="0" w:lastColumn="0" w:oddVBand="0" w:evenVBand="0" w:oddHBand="0" w:evenHBand="0" w:firstRowFirstColumn="0" w:firstRowLastColumn="0" w:lastRowFirstColumn="0" w:lastRowLastColumn="0"/>
          <w:trHeight w:val="20"/>
          <w:tblHeader/>
          <w:jc w:val="center"/>
        </w:trPr>
        <w:tc>
          <w:tcPr>
            <w:tcW w:w="2470" w:type="dxa"/>
            <w:vAlign w:val="center"/>
          </w:tcPr>
          <w:p w14:paraId="2E4ED622" w14:textId="77777777" w:rsidR="00994EA2" w:rsidRPr="00EE6D68" w:rsidRDefault="00994EA2" w:rsidP="004737B2">
            <w:pPr>
              <w:spacing w:after="0"/>
              <w:jc w:val="center"/>
              <w:rPr>
                <w:noProof/>
                <w:color w:val="auto"/>
                <w:sz w:val="22"/>
                <w:szCs w:val="22"/>
              </w:rPr>
            </w:pPr>
          </w:p>
        </w:tc>
        <w:tc>
          <w:tcPr>
            <w:tcW w:w="7158" w:type="dxa"/>
            <w:gridSpan w:val="8"/>
            <w:vAlign w:val="center"/>
          </w:tcPr>
          <w:p w14:paraId="2179AA0C" w14:textId="1FEB28AC" w:rsidR="00994EA2" w:rsidRPr="00EE6D68" w:rsidRDefault="00994EA2" w:rsidP="004737B2">
            <w:pPr>
              <w:pStyle w:val="BodyText"/>
              <w:spacing w:after="0"/>
              <w:jc w:val="center"/>
              <w:rPr>
                <w:rFonts w:cs="Times New Roman"/>
                <w:noProof/>
                <w:color w:val="auto"/>
                <w:sz w:val="22"/>
                <w:szCs w:val="22"/>
              </w:rPr>
            </w:pPr>
            <w:r w:rsidRPr="00EE6D68">
              <w:rPr>
                <w:rFonts w:cs="Times New Roman"/>
                <w:noProof/>
                <w:color w:val="auto"/>
                <w:sz w:val="22"/>
                <w:szCs w:val="22"/>
              </w:rPr>
              <w:t>Policy options</w:t>
            </w:r>
          </w:p>
        </w:tc>
      </w:tr>
      <w:tr w:rsidR="00777005" w:rsidRPr="000653A9" w14:paraId="178E7BA9" w14:textId="77777777" w:rsidTr="00777005">
        <w:trPr>
          <w:trHeight w:val="20"/>
          <w:jc w:val="center"/>
        </w:trPr>
        <w:tc>
          <w:tcPr>
            <w:tcW w:w="2470" w:type="dxa"/>
            <w:vAlign w:val="center"/>
          </w:tcPr>
          <w:p w14:paraId="0C752551" w14:textId="77777777" w:rsidR="00BB647F" w:rsidRPr="00EE6D68" w:rsidRDefault="00BB647F" w:rsidP="004737B2">
            <w:pPr>
              <w:pStyle w:val="BodyText"/>
              <w:spacing w:after="0"/>
              <w:jc w:val="center"/>
              <w:rPr>
                <w:rFonts w:cs="Times New Roman"/>
                <w:noProof/>
                <w:color w:val="auto"/>
                <w:sz w:val="22"/>
                <w:szCs w:val="22"/>
              </w:rPr>
            </w:pPr>
          </w:p>
        </w:tc>
        <w:tc>
          <w:tcPr>
            <w:tcW w:w="894" w:type="dxa"/>
            <w:vAlign w:val="center"/>
            <w:hideMark/>
          </w:tcPr>
          <w:p w14:paraId="052543EF" w14:textId="77777777" w:rsidR="00BB647F" w:rsidRPr="00EE6D68" w:rsidRDefault="00BB647F" w:rsidP="004737B2">
            <w:pPr>
              <w:pStyle w:val="BodyText"/>
              <w:spacing w:after="0"/>
              <w:jc w:val="center"/>
              <w:rPr>
                <w:rFonts w:cs="Times New Roman"/>
                <w:noProof/>
                <w:color w:val="auto"/>
                <w:sz w:val="22"/>
                <w:szCs w:val="22"/>
              </w:rPr>
            </w:pPr>
            <w:r w:rsidRPr="00EE6D68">
              <w:rPr>
                <w:rFonts w:cs="Times New Roman"/>
                <w:noProof/>
                <w:color w:val="auto"/>
                <w:sz w:val="22"/>
                <w:szCs w:val="22"/>
              </w:rPr>
              <w:t>CL1</w:t>
            </w:r>
          </w:p>
        </w:tc>
        <w:tc>
          <w:tcPr>
            <w:tcW w:w="895" w:type="dxa"/>
            <w:vAlign w:val="center"/>
            <w:hideMark/>
          </w:tcPr>
          <w:p w14:paraId="01ABE173" w14:textId="77777777" w:rsidR="00BB647F" w:rsidRPr="00EE6D68" w:rsidRDefault="00BB647F" w:rsidP="004737B2">
            <w:pPr>
              <w:pStyle w:val="BodyText"/>
              <w:spacing w:after="0"/>
              <w:jc w:val="center"/>
              <w:rPr>
                <w:rFonts w:cs="Times New Roman"/>
                <w:noProof/>
                <w:color w:val="auto"/>
                <w:sz w:val="22"/>
                <w:szCs w:val="22"/>
              </w:rPr>
            </w:pPr>
            <w:r w:rsidRPr="00EE6D68">
              <w:rPr>
                <w:rFonts w:cs="Times New Roman"/>
                <w:noProof/>
                <w:color w:val="auto"/>
                <w:sz w:val="22"/>
                <w:szCs w:val="22"/>
              </w:rPr>
              <w:t>CL1R</w:t>
            </w:r>
          </w:p>
        </w:tc>
        <w:tc>
          <w:tcPr>
            <w:tcW w:w="895" w:type="dxa"/>
            <w:vAlign w:val="center"/>
            <w:hideMark/>
          </w:tcPr>
          <w:p w14:paraId="39F4A00A" w14:textId="77777777" w:rsidR="00BB647F" w:rsidRPr="00EE6D68" w:rsidRDefault="00BB647F" w:rsidP="004737B2">
            <w:pPr>
              <w:pStyle w:val="BodyText"/>
              <w:spacing w:after="0"/>
              <w:jc w:val="center"/>
              <w:rPr>
                <w:rFonts w:cs="Times New Roman"/>
                <w:noProof/>
                <w:color w:val="auto"/>
                <w:sz w:val="22"/>
                <w:szCs w:val="22"/>
              </w:rPr>
            </w:pPr>
            <w:r w:rsidRPr="00EE6D68">
              <w:rPr>
                <w:rFonts w:cs="Times New Roman"/>
                <w:noProof/>
                <w:color w:val="auto"/>
                <w:sz w:val="22"/>
                <w:szCs w:val="22"/>
              </w:rPr>
              <w:t>CL2_50</w:t>
            </w:r>
          </w:p>
        </w:tc>
        <w:tc>
          <w:tcPr>
            <w:tcW w:w="895" w:type="dxa"/>
            <w:vAlign w:val="center"/>
          </w:tcPr>
          <w:p w14:paraId="6EED7AA3" w14:textId="1550581C" w:rsidR="00BB647F" w:rsidRPr="00EE6D68" w:rsidRDefault="00BB647F" w:rsidP="004737B2">
            <w:pPr>
              <w:pStyle w:val="BodyText"/>
              <w:spacing w:after="0"/>
              <w:jc w:val="center"/>
              <w:rPr>
                <w:rFonts w:cs="Times New Roman"/>
                <w:noProof/>
                <w:color w:val="auto"/>
                <w:sz w:val="22"/>
                <w:szCs w:val="22"/>
              </w:rPr>
            </w:pPr>
            <w:r w:rsidRPr="00EE6D68">
              <w:rPr>
                <w:rFonts w:cs="Times New Roman"/>
                <w:noProof/>
                <w:color w:val="auto"/>
                <w:sz w:val="22"/>
                <w:szCs w:val="22"/>
              </w:rPr>
              <w:t>PO2_50C</w:t>
            </w:r>
          </w:p>
        </w:tc>
        <w:tc>
          <w:tcPr>
            <w:tcW w:w="894" w:type="dxa"/>
            <w:vAlign w:val="center"/>
            <w:hideMark/>
          </w:tcPr>
          <w:p w14:paraId="0CC573BD" w14:textId="39E3B041" w:rsidR="00BB647F" w:rsidRPr="00EE6D68" w:rsidRDefault="00BB647F" w:rsidP="004737B2">
            <w:pPr>
              <w:pStyle w:val="BodyText"/>
              <w:spacing w:after="0"/>
              <w:jc w:val="center"/>
              <w:rPr>
                <w:rFonts w:cs="Times New Roman"/>
                <w:noProof/>
                <w:color w:val="auto"/>
                <w:sz w:val="22"/>
                <w:szCs w:val="22"/>
              </w:rPr>
            </w:pPr>
            <w:r w:rsidRPr="00EE6D68">
              <w:rPr>
                <w:rFonts w:cs="Times New Roman"/>
                <w:noProof/>
                <w:color w:val="auto"/>
                <w:sz w:val="22"/>
                <w:szCs w:val="22"/>
              </w:rPr>
              <w:t>CL2_90</w:t>
            </w:r>
          </w:p>
        </w:tc>
        <w:tc>
          <w:tcPr>
            <w:tcW w:w="895" w:type="dxa"/>
            <w:vAlign w:val="center"/>
          </w:tcPr>
          <w:p w14:paraId="4BFF8DDA" w14:textId="3595E01D" w:rsidR="00BB647F" w:rsidRPr="00EE6D68" w:rsidRDefault="00BB647F" w:rsidP="004737B2">
            <w:pPr>
              <w:pStyle w:val="BodyText"/>
              <w:spacing w:after="0"/>
              <w:jc w:val="center"/>
              <w:rPr>
                <w:rFonts w:cs="Times New Roman"/>
                <w:noProof/>
                <w:color w:val="auto"/>
                <w:sz w:val="22"/>
                <w:szCs w:val="22"/>
              </w:rPr>
            </w:pPr>
            <w:r w:rsidRPr="00EE6D68">
              <w:rPr>
                <w:rFonts w:cs="Times New Roman"/>
                <w:noProof/>
                <w:color w:val="auto"/>
                <w:sz w:val="22"/>
                <w:szCs w:val="22"/>
              </w:rPr>
              <w:t>PO2_90C</w:t>
            </w:r>
          </w:p>
        </w:tc>
        <w:tc>
          <w:tcPr>
            <w:tcW w:w="895" w:type="dxa"/>
            <w:vAlign w:val="center"/>
            <w:hideMark/>
          </w:tcPr>
          <w:p w14:paraId="290DD1ED" w14:textId="0BDD8337" w:rsidR="00BB647F" w:rsidRPr="00EE6D68" w:rsidRDefault="00BB647F" w:rsidP="004737B2">
            <w:pPr>
              <w:pStyle w:val="BodyText"/>
              <w:spacing w:after="0"/>
              <w:jc w:val="center"/>
              <w:rPr>
                <w:rFonts w:cs="Times New Roman"/>
                <w:noProof/>
                <w:color w:val="auto"/>
                <w:sz w:val="22"/>
                <w:szCs w:val="22"/>
              </w:rPr>
            </w:pPr>
            <w:r w:rsidRPr="00EE6D68">
              <w:rPr>
                <w:rFonts w:cs="Times New Roman"/>
                <w:noProof/>
                <w:color w:val="auto"/>
                <w:sz w:val="22"/>
                <w:szCs w:val="22"/>
              </w:rPr>
              <w:t>CL3</w:t>
            </w:r>
          </w:p>
        </w:tc>
        <w:tc>
          <w:tcPr>
            <w:tcW w:w="895" w:type="dxa"/>
            <w:vAlign w:val="center"/>
            <w:hideMark/>
          </w:tcPr>
          <w:p w14:paraId="123B2793" w14:textId="77777777" w:rsidR="00BB647F" w:rsidRPr="00EE6D68" w:rsidRDefault="00BB647F" w:rsidP="004737B2">
            <w:pPr>
              <w:pStyle w:val="BodyText"/>
              <w:spacing w:after="0"/>
              <w:jc w:val="center"/>
              <w:rPr>
                <w:rFonts w:cs="Times New Roman"/>
                <w:noProof/>
                <w:color w:val="auto"/>
                <w:sz w:val="22"/>
                <w:szCs w:val="22"/>
              </w:rPr>
            </w:pPr>
            <w:r w:rsidRPr="00EE6D68">
              <w:rPr>
                <w:rFonts w:cs="Times New Roman"/>
                <w:noProof/>
                <w:color w:val="auto"/>
                <w:sz w:val="22"/>
                <w:szCs w:val="22"/>
              </w:rPr>
              <w:t>CL3R</w:t>
            </w:r>
          </w:p>
        </w:tc>
      </w:tr>
      <w:tr w:rsidR="00777005" w:rsidRPr="000653A9" w14:paraId="14BDD877" w14:textId="77777777" w:rsidTr="00777005">
        <w:trPr>
          <w:trHeight w:val="20"/>
          <w:jc w:val="center"/>
        </w:trPr>
        <w:tc>
          <w:tcPr>
            <w:tcW w:w="2470" w:type="dxa"/>
            <w:vAlign w:val="center"/>
            <w:hideMark/>
          </w:tcPr>
          <w:p w14:paraId="33F256EB" w14:textId="77777777" w:rsidR="00E26362" w:rsidRPr="00EE6D68" w:rsidRDefault="00E26362" w:rsidP="00E26362">
            <w:pPr>
              <w:pStyle w:val="BodyText"/>
              <w:spacing w:after="0"/>
              <w:jc w:val="center"/>
              <w:rPr>
                <w:rFonts w:cs="Times New Roman"/>
                <w:noProof/>
                <w:color w:val="auto"/>
                <w:sz w:val="22"/>
                <w:szCs w:val="22"/>
              </w:rPr>
            </w:pPr>
            <w:r w:rsidRPr="00EE6D68">
              <w:rPr>
                <w:rFonts w:cs="Times New Roman"/>
                <w:noProof/>
                <w:color w:val="auto"/>
                <w:sz w:val="22"/>
                <w:szCs w:val="22"/>
              </w:rPr>
              <w:t>Total economy</w:t>
            </w:r>
          </w:p>
        </w:tc>
        <w:tc>
          <w:tcPr>
            <w:tcW w:w="894" w:type="dxa"/>
            <w:vAlign w:val="center"/>
            <w:hideMark/>
          </w:tcPr>
          <w:p w14:paraId="72FD5295"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-8.36</w:t>
            </w:r>
          </w:p>
        </w:tc>
        <w:tc>
          <w:tcPr>
            <w:tcW w:w="895" w:type="dxa"/>
            <w:vAlign w:val="center"/>
            <w:hideMark/>
          </w:tcPr>
          <w:p w14:paraId="7B560D78"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-6.37</w:t>
            </w:r>
          </w:p>
        </w:tc>
        <w:tc>
          <w:tcPr>
            <w:tcW w:w="895" w:type="dxa"/>
            <w:vAlign w:val="center"/>
            <w:hideMark/>
          </w:tcPr>
          <w:p w14:paraId="2F4FB1CD"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-4.51</w:t>
            </w:r>
          </w:p>
        </w:tc>
        <w:tc>
          <w:tcPr>
            <w:tcW w:w="895" w:type="dxa"/>
            <w:vAlign w:val="center"/>
          </w:tcPr>
          <w:p w14:paraId="4B161E58" w14:textId="1A33FECC"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-6.88</w:t>
            </w:r>
          </w:p>
        </w:tc>
        <w:tc>
          <w:tcPr>
            <w:tcW w:w="894" w:type="dxa"/>
            <w:vAlign w:val="center"/>
            <w:hideMark/>
          </w:tcPr>
          <w:p w14:paraId="791A7149" w14:textId="57C29E64"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-6.95</w:t>
            </w:r>
          </w:p>
        </w:tc>
        <w:tc>
          <w:tcPr>
            <w:tcW w:w="895" w:type="dxa"/>
            <w:vAlign w:val="center"/>
          </w:tcPr>
          <w:p w14:paraId="1A365BCA" w14:textId="60434AB4"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-8.93</w:t>
            </w:r>
          </w:p>
        </w:tc>
        <w:tc>
          <w:tcPr>
            <w:tcW w:w="895" w:type="dxa"/>
            <w:vAlign w:val="center"/>
            <w:hideMark/>
          </w:tcPr>
          <w:p w14:paraId="6BCFA6C3" w14:textId="56ABDC7C"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-4.67</w:t>
            </w:r>
          </w:p>
        </w:tc>
        <w:tc>
          <w:tcPr>
            <w:tcW w:w="895" w:type="dxa"/>
            <w:vAlign w:val="center"/>
            <w:hideMark/>
          </w:tcPr>
          <w:p w14:paraId="183D68D9"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-3.97</w:t>
            </w:r>
          </w:p>
        </w:tc>
      </w:tr>
      <w:tr w:rsidR="00777005" w:rsidRPr="000653A9" w14:paraId="1A0C7622" w14:textId="77777777" w:rsidTr="00777005">
        <w:trPr>
          <w:trHeight w:val="20"/>
          <w:jc w:val="center"/>
        </w:trPr>
        <w:tc>
          <w:tcPr>
            <w:tcW w:w="2470" w:type="dxa"/>
            <w:vAlign w:val="center"/>
            <w:hideMark/>
          </w:tcPr>
          <w:p w14:paraId="2A330193" w14:textId="77777777" w:rsidR="00E26362" w:rsidRPr="00EE6D68" w:rsidRDefault="00E26362" w:rsidP="00E26362">
            <w:pPr>
              <w:pStyle w:val="BodyText"/>
              <w:spacing w:after="0"/>
              <w:jc w:val="center"/>
              <w:rPr>
                <w:rFonts w:cs="Times New Roman"/>
                <w:noProof/>
                <w:color w:val="auto"/>
                <w:sz w:val="22"/>
                <w:szCs w:val="22"/>
              </w:rPr>
            </w:pPr>
            <w:r w:rsidRPr="00EE6D68">
              <w:rPr>
                <w:rFonts w:cs="Times New Roman"/>
                <w:noProof/>
                <w:color w:val="auto"/>
                <w:sz w:val="22"/>
                <w:szCs w:val="22"/>
              </w:rPr>
              <w:t>Ferrous metals</w:t>
            </w:r>
          </w:p>
        </w:tc>
        <w:tc>
          <w:tcPr>
            <w:tcW w:w="894" w:type="dxa"/>
            <w:vAlign w:val="center"/>
            <w:hideMark/>
          </w:tcPr>
          <w:p w14:paraId="01D0351B"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0.27</w:t>
            </w:r>
          </w:p>
        </w:tc>
        <w:tc>
          <w:tcPr>
            <w:tcW w:w="895" w:type="dxa"/>
            <w:vAlign w:val="center"/>
            <w:hideMark/>
          </w:tcPr>
          <w:p w14:paraId="2B91F1F9"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1.03</w:t>
            </w:r>
          </w:p>
        </w:tc>
        <w:tc>
          <w:tcPr>
            <w:tcW w:w="895" w:type="dxa"/>
            <w:vAlign w:val="center"/>
            <w:hideMark/>
          </w:tcPr>
          <w:p w14:paraId="18FCBAE6"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0.10</w:t>
            </w:r>
          </w:p>
        </w:tc>
        <w:tc>
          <w:tcPr>
            <w:tcW w:w="895" w:type="dxa"/>
            <w:vAlign w:val="center"/>
          </w:tcPr>
          <w:p w14:paraId="04A0141F" w14:textId="1095B635"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-0.16</w:t>
            </w:r>
          </w:p>
        </w:tc>
        <w:tc>
          <w:tcPr>
            <w:tcW w:w="894" w:type="dxa"/>
            <w:vAlign w:val="center"/>
            <w:hideMark/>
          </w:tcPr>
          <w:p w14:paraId="75EDE697" w14:textId="5A7BC86C"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0.19</w:t>
            </w:r>
          </w:p>
        </w:tc>
        <w:tc>
          <w:tcPr>
            <w:tcW w:w="895" w:type="dxa"/>
            <w:vAlign w:val="center"/>
          </w:tcPr>
          <w:p w14:paraId="4AAFEF73" w14:textId="59C4C7C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-0.03</w:t>
            </w:r>
          </w:p>
        </w:tc>
        <w:tc>
          <w:tcPr>
            <w:tcW w:w="895" w:type="dxa"/>
            <w:vAlign w:val="center"/>
            <w:hideMark/>
          </w:tcPr>
          <w:p w14:paraId="169217C9" w14:textId="04EB1C79"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-0.39</w:t>
            </w:r>
          </w:p>
        </w:tc>
        <w:tc>
          <w:tcPr>
            <w:tcW w:w="895" w:type="dxa"/>
            <w:vAlign w:val="center"/>
            <w:hideMark/>
          </w:tcPr>
          <w:p w14:paraId="7DA72806"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0.38</w:t>
            </w:r>
          </w:p>
        </w:tc>
      </w:tr>
      <w:tr w:rsidR="00777005" w:rsidRPr="000653A9" w14:paraId="48863A08" w14:textId="77777777" w:rsidTr="00777005">
        <w:trPr>
          <w:trHeight w:val="20"/>
          <w:jc w:val="center"/>
        </w:trPr>
        <w:tc>
          <w:tcPr>
            <w:tcW w:w="2470" w:type="dxa"/>
            <w:vAlign w:val="center"/>
            <w:hideMark/>
          </w:tcPr>
          <w:p w14:paraId="655AD6A5" w14:textId="77777777" w:rsidR="00E26362" w:rsidRPr="00EE6D68" w:rsidRDefault="00E26362" w:rsidP="00E26362">
            <w:pPr>
              <w:pStyle w:val="BodyText"/>
              <w:spacing w:after="0"/>
              <w:jc w:val="center"/>
              <w:rPr>
                <w:rFonts w:cs="Times New Roman"/>
                <w:noProof/>
                <w:color w:val="auto"/>
                <w:sz w:val="22"/>
                <w:szCs w:val="22"/>
              </w:rPr>
            </w:pPr>
            <w:r w:rsidRPr="00EE6D68">
              <w:rPr>
                <w:rFonts w:cs="Times New Roman"/>
                <w:noProof/>
                <w:color w:val="auto"/>
                <w:sz w:val="22"/>
                <w:szCs w:val="22"/>
              </w:rPr>
              <w:t>Non-ferrous metals</w:t>
            </w:r>
          </w:p>
        </w:tc>
        <w:tc>
          <w:tcPr>
            <w:tcW w:w="894" w:type="dxa"/>
            <w:vAlign w:val="center"/>
            <w:hideMark/>
          </w:tcPr>
          <w:p w14:paraId="68E95826"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0.00</w:t>
            </w:r>
          </w:p>
        </w:tc>
        <w:tc>
          <w:tcPr>
            <w:tcW w:w="895" w:type="dxa"/>
            <w:vAlign w:val="center"/>
            <w:hideMark/>
          </w:tcPr>
          <w:p w14:paraId="5AE78C56"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0.28</w:t>
            </w:r>
          </w:p>
        </w:tc>
        <w:tc>
          <w:tcPr>
            <w:tcW w:w="895" w:type="dxa"/>
            <w:vAlign w:val="center"/>
            <w:hideMark/>
          </w:tcPr>
          <w:p w14:paraId="7FFF939C"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-0.03</w:t>
            </w:r>
          </w:p>
        </w:tc>
        <w:tc>
          <w:tcPr>
            <w:tcW w:w="895" w:type="dxa"/>
            <w:vAlign w:val="center"/>
          </w:tcPr>
          <w:p w14:paraId="650AEF4A" w14:textId="6D30F063"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-0.07</w:t>
            </w:r>
          </w:p>
        </w:tc>
        <w:tc>
          <w:tcPr>
            <w:tcW w:w="894" w:type="dxa"/>
            <w:vAlign w:val="center"/>
            <w:hideMark/>
          </w:tcPr>
          <w:p w14:paraId="371F0D6B" w14:textId="0982F0AB"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-0.03</w:t>
            </w:r>
          </w:p>
        </w:tc>
        <w:tc>
          <w:tcPr>
            <w:tcW w:w="895" w:type="dxa"/>
            <w:vAlign w:val="center"/>
          </w:tcPr>
          <w:p w14:paraId="012F3AC4" w14:textId="7F577668"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-0.06</w:t>
            </w:r>
          </w:p>
        </w:tc>
        <w:tc>
          <w:tcPr>
            <w:tcW w:w="895" w:type="dxa"/>
            <w:vAlign w:val="center"/>
            <w:hideMark/>
          </w:tcPr>
          <w:p w14:paraId="2620BBCC" w14:textId="17ADCA1B"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-0.20</w:t>
            </w:r>
          </w:p>
        </w:tc>
        <w:tc>
          <w:tcPr>
            <w:tcW w:w="895" w:type="dxa"/>
            <w:vAlign w:val="center"/>
            <w:hideMark/>
          </w:tcPr>
          <w:p w14:paraId="50D1557A"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0.09</w:t>
            </w:r>
          </w:p>
        </w:tc>
      </w:tr>
      <w:tr w:rsidR="00777005" w:rsidRPr="000653A9" w14:paraId="4974EEF4" w14:textId="77777777" w:rsidTr="00777005">
        <w:trPr>
          <w:trHeight w:val="20"/>
          <w:jc w:val="center"/>
        </w:trPr>
        <w:tc>
          <w:tcPr>
            <w:tcW w:w="2470" w:type="dxa"/>
            <w:vAlign w:val="center"/>
            <w:hideMark/>
          </w:tcPr>
          <w:p w14:paraId="02932AA7" w14:textId="77777777" w:rsidR="00E26362" w:rsidRPr="00EE6D68" w:rsidRDefault="00E26362" w:rsidP="00E26362">
            <w:pPr>
              <w:pStyle w:val="BodyText"/>
              <w:spacing w:after="0"/>
              <w:jc w:val="center"/>
              <w:rPr>
                <w:rFonts w:cs="Times New Roman"/>
                <w:noProof/>
                <w:color w:val="auto"/>
                <w:sz w:val="22"/>
                <w:szCs w:val="22"/>
              </w:rPr>
            </w:pPr>
            <w:r w:rsidRPr="00EE6D68">
              <w:rPr>
                <w:rFonts w:cs="Times New Roman"/>
                <w:noProof/>
                <w:color w:val="auto"/>
                <w:sz w:val="22"/>
                <w:szCs w:val="22"/>
              </w:rPr>
              <w:t>Chemical Products</w:t>
            </w:r>
          </w:p>
        </w:tc>
        <w:tc>
          <w:tcPr>
            <w:tcW w:w="894" w:type="dxa"/>
            <w:vAlign w:val="center"/>
            <w:hideMark/>
          </w:tcPr>
          <w:p w14:paraId="62D7FB8B"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-3.42</w:t>
            </w:r>
          </w:p>
        </w:tc>
        <w:tc>
          <w:tcPr>
            <w:tcW w:w="895" w:type="dxa"/>
            <w:vAlign w:val="center"/>
            <w:hideMark/>
          </w:tcPr>
          <w:p w14:paraId="12D9EA27"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-1.97</w:t>
            </w:r>
          </w:p>
        </w:tc>
        <w:tc>
          <w:tcPr>
            <w:tcW w:w="895" w:type="dxa"/>
            <w:vAlign w:val="center"/>
            <w:hideMark/>
          </w:tcPr>
          <w:p w14:paraId="4CF89ECD"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-1.86</w:t>
            </w:r>
          </w:p>
        </w:tc>
        <w:tc>
          <w:tcPr>
            <w:tcW w:w="895" w:type="dxa"/>
            <w:vAlign w:val="center"/>
          </w:tcPr>
          <w:p w14:paraId="1E17D019" w14:textId="59666D04"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-2.10</w:t>
            </w:r>
          </w:p>
        </w:tc>
        <w:tc>
          <w:tcPr>
            <w:tcW w:w="894" w:type="dxa"/>
            <w:vAlign w:val="center"/>
            <w:hideMark/>
          </w:tcPr>
          <w:p w14:paraId="51A64D63" w14:textId="49710865"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-2.88</w:t>
            </w:r>
          </w:p>
        </w:tc>
        <w:tc>
          <w:tcPr>
            <w:tcW w:w="895" w:type="dxa"/>
            <w:vAlign w:val="center"/>
          </w:tcPr>
          <w:p w14:paraId="032A1FDE" w14:textId="105BF1A5"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-3.08</w:t>
            </w:r>
          </w:p>
        </w:tc>
        <w:tc>
          <w:tcPr>
            <w:tcW w:w="895" w:type="dxa"/>
            <w:vAlign w:val="center"/>
            <w:hideMark/>
          </w:tcPr>
          <w:p w14:paraId="6543BCA5" w14:textId="6A9F7A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-2.15</w:t>
            </w:r>
          </w:p>
        </w:tc>
        <w:tc>
          <w:tcPr>
            <w:tcW w:w="895" w:type="dxa"/>
            <w:vAlign w:val="center"/>
            <w:hideMark/>
          </w:tcPr>
          <w:p w14:paraId="72A8F043"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-1.25</w:t>
            </w:r>
          </w:p>
        </w:tc>
      </w:tr>
      <w:tr w:rsidR="00777005" w:rsidRPr="000653A9" w14:paraId="7652D507" w14:textId="77777777" w:rsidTr="00777005">
        <w:trPr>
          <w:trHeight w:val="20"/>
          <w:jc w:val="center"/>
        </w:trPr>
        <w:tc>
          <w:tcPr>
            <w:tcW w:w="2470" w:type="dxa"/>
            <w:vAlign w:val="center"/>
            <w:hideMark/>
          </w:tcPr>
          <w:p w14:paraId="2C5DE901" w14:textId="77777777" w:rsidR="00E26362" w:rsidRPr="00EE6D68" w:rsidRDefault="00E26362" w:rsidP="00E26362">
            <w:pPr>
              <w:pStyle w:val="BodyText"/>
              <w:spacing w:after="0"/>
              <w:jc w:val="center"/>
              <w:rPr>
                <w:rFonts w:cs="Times New Roman"/>
                <w:noProof/>
                <w:color w:val="auto"/>
                <w:sz w:val="22"/>
                <w:szCs w:val="22"/>
              </w:rPr>
            </w:pPr>
            <w:r w:rsidRPr="00EE6D68">
              <w:rPr>
                <w:rFonts w:cs="Times New Roman"/>
                <w:noProof/>
                <w:color w:val="auto"/>
                <w:sz w:val="22"/>
                <w:szCs w:val="22"/>
              </w:rPr>
              <w:t>Paper products, publishing</w:t>
            </w:r>
          </w:p>
        </w:tc>
        <w:tc>
          <w:tcPr>
            <w:tcW w:w="894" w:type="dxa"/>
            <w:vAlign w:val="center"/>
            <w:hideMark/>
          </w:tcPr>
          <w:p w14:paraId="29C086DC"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0.02</w:t>
            </w:r>
          </w:p>
        </w:tc>
        <w:tc>
          <w:tcPr>
            <w:tcW w:w="895" w:type="dxa"/>
            <w:vAlign w:val="center"/>
            <w:hideMark/>
          </w:tcPr>
          <w:p w14:paraId="5A0261F0"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0.03</w:t>
            </w:r>
          </w:p>
        </w:tc>
        <w:tc>
          <w:tcPr>
            <w:tcW w:w="895" w:type="dxa"/>
            <w:vAlign w:val="center"/>
            <w:hideMark/>
          </w:tcPr>
          <w:p w14:paraId="287420FC"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0.02</w:t>
            </w:r>
          </w:p>
        </w:tc>
        <w:tc>
          <w:tcPr>
            <w:tcW w:w="895" w:type="dxa"/>
            <w:vAlign w:val="center"/>
          </w:tcPr>
          <w:p w14:paraId="1DF8226C" w14:textId="32521072"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0.02</w:t>
            </w:r>
          </w:p>
        </w:tc>
        <w:tc>
          <w:tcPr>
            <w:tcW w:w="894" w:type="dxa"/>
            <w:vAlign w:val="center"/>
            <w:hideMark/>
          </w:tcPr>
          <w:p w14:paraId="5D1E61B5" w14:textId="114DC686"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0.02</w:t>
            </w:r>
          </w:p>
        </w:tc>
        <w:tc>
          <w:tcPr>
            <w:tcW w:w="895" w:type="dxa"/>
            <w:vAlign w:val="center"/>
          </w:tcPr>
          <w:p w14:paraId="1EF97B5C" w14:textId="6FC5C5BD"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0.03</w:t>
            </w:r>
          </w:p>
        </w:tc>
        <w:tc>
          <w:tcPr>
            <w:tcW w:w="895" w:type="dxa"/>
            <w:vAlign w:val="center"/>
            <w:hideMark/>
          </w:tcPr>
          <w:p w14:paraId="520D6BC5" w14:textId="3C302B4A"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0.01</w:t>
            </w:r>
          </w:p>
        </w:tc>
        <w:tc>
          <w:tcPr>
            <w:tcW w:w="895" w:type="dxa"/>
            <w:vAlign w:val="center"/>
            <w:hideMark/>
          </w:tcPr>
          <w:p w14:paraId="67EC34D0"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0.02</w:t>
            </w:r>
          </w:p>
        </w:tc>
      </w:tr>
      <w:tr w:rsidR="00777005" w:rsidRPr="000653A9" w14:paraId="2C5FAE6D" w14:textId="77777777" w:rsidTr="00777005">
        <w:trPr>
          <w:trHeight w:val="20"/>
          <w:jc w:val="center"/>
        </w:trPr>
        <w:tc>
          <w:tcPr>
            <w:tcW w:w="2470" w:type="dxa"/>
            <w:vAlign w:val="center"/>
            <w:hideMark/>
          </w:tcPr>
          <w:p w14:paraId="4CC76286" w14:textId="77777777" w:rsidR="00E26362" w:rsidRPr="00EE6D68" w:rsidRDefault="00E26362" w:rsidP="00E26362">
            <w:pPr>
              <w:pStyle w:val="BodyText"/>
              <w:spacing w:after="0"/>
              <w:jc w:val="center"/>
              <w:rPr>
                <w:rFonts w:cs="Times New Roman"/>
                <w:noProof/>
                <w:color w:val="auto"/>
                <w:sz w:val="22"/>
                <w:szCs w:val="22"/>
              </w:rPr>
            </w:pPr>
            <w:r w:rsidRPr="00EE6D68">
              <w:rPr>
                <w:rFonts w:cs="Times New Roman"/>
                <w:noProof/>
                <w:color w:val="auto"/>
                <w:sz w:val="22"/>
                <w:szCs w:val="22"/>
              </w:rPr>
              <w:t>Non-metallic minerals</w:t>
            </w:r>
          </w:p>
        </w:tc>
        <w:tc>
          <w:tcPr>
            <w:tcW w:w="894" w:type="dxa"/>
            <w:vAlign w:val="center"/>
            <w:hideMark/>
          </w:tcPr>
          <w:p w14:paraId="181B99C1"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-2.79</w:t>
            </w:r>
          </w:p>
        </w:tc>
        <w:tc>
          <w:tcPr>
            <w:tcW w:w="895" w:type="dxa"/>
            <w:vAlign w:val="center"/>
            <w:hideMark/>
          </w:tcPr>
          <w:p w14:paraId="75E64A3E"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-1.44</w:t>
            </w:r>
          </w:p>
        </w:tc>
        <w:tc>
          <w:tcPr>
            <w:tcW w:w="895" w:type="dxa"/>
            <w:vAlign w:val="center"/>
            <w:hideMark/>
          </w:tcPr>
          <w:p w14:paraId="1EBB1128" w14:textId="77777777"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-2.08</w:t>
            </w:r>
          </w:p>
        </w:tc>
        <w:tc>
          <w:tcPr>
            <w:tcW w:w="895" w:type="dxa"/>
            <w:vAlign w:val="center"/>
          </w:tcPr>
          <w:p w14:paraId="1DD2E5C6" w14:textId="113FD34E"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-3.99</w:t>
            </w:r>
          </w:p>
        </w:tc>
        <w:tc>
          <w:tcPr>
            <w:tcW w:w="894" w:type="dxa"/>
            <w:vAlign w:val="center"/>
            <w:hideMark/>
          </w:tcPr>
          <w:p w14:paraId="2260A506" w14:textId="589A23B0"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-2.91</w:t>
            </w:r>
          </w:p>
        </w:tc>
        <w:tc>
          <w:tcPr>
            <w:tcW w:w="895" w:type="dxa"/>
            <w:vAlign w:val="center"/>
          </w:tcPr>
          <w:p w14:paraId="2B6E04A9" w14:textId="2C57F44D"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sz w:val="22"/>
                <w:szCs w:val="22"/>
              </w:rPr>
              <w:t>-4.52</w:t>
            </w:r>
          </w:p>
        </w:tc>
        <w:tc>
          <w:tcPr>
            <w:tcW w:w="895" w:type="dxa"/>
            <w:vAlign w:val="center"/>
            <w:hideMark/>
          </w:tcPr>
          <w:p w14:paraId="667960F6" w14:textId="121ADBC6" w:rsidR="00E26362" w:rsidRPr="00EE6D68" w:rsidRDefault="00E26362" w:rsidP="00D44496">
            <w:pPr>
              <w:pStyle w:val="BodyText"/>
              <w:spacing w:after="0"/>
              <w:jc w:val="center"/>
              <w:rPr>
                <w:rFonts w:cs="Times New Roman"/>
                <w:noProof/>
                <w:color w:val="auto"/>
                <w:sz w:val="22"/>
                <w:szCs w:val="22"/>
              </w:rPr>
            </w:pPr>
            <w:r w:rsidRPr="00EE6D68">
              <w:rPr>
                <w:rFonts w:cs="Times New Roman"/>
                <w:noProof/>
                <w:color w:val="auto"/>
                <w:sz w:val="22"/>
                <w:szCs w:val="22"/>
              </w:rPr>
              <w:t>-3.96</w:t>
            </w:r>
          </w:p>
        </w:tc>
        <w:tc>
          <w:tcPr>
            <w:tcW w:w="895" w:type="dxa"/>
            <w:vAlign w:val="center"/>
            <w:hideMark/>
          </w:tcPr>
          <w:p w14:paraId="59899EFF" w14:textId="77777777" w:rsidR="00E26362" w:rsidRPr="00EE6D68" w:rsidRDefault="00E26362" w:rsidP="00D44496">
            <w:pPr>
              <w:pStyle w:val="BodyText"/>
              <w:spacing w:after="0"/>
              <w:jc w:val="center"/>
              <w:rPr>
                <w:rFonts w:eastAsia="Arial" w:cs="Times New Roman"/>
                <w:noProof/>
                <w:color w:val="auto"/>
                <w:sz w:val="22"/>
                <w:szCs w:val="22"/>
              </w:rPr>
            </w:pPr>
            <w:r w:rsidRPr="00EE6D68">
              <w:rPr>
                <w:rFonts w:cs="Times New Roman"/>
                <w:noProof/>
                <w:color w:val="auto"/>
                <w:sz w:val="22"/>
                <w:szCs w:val="22"/>
              </w:rPr>
              <w:t>-2.68</w:t>
            </w:r>
          </w:p>
        </w:tc>
      </w:tr>
    </w:tbl>
    <w:p w14:paraId="5411D52D" w14:textId="6078D3AB" w:rsidR="003D033A" w:rsidRDefault="00737AF9" w:rsidP="00266EAD">
      <w:pPr>
        <w:pStyle w:val="BodyText"/>
        <w:spacing w:after="240"/>
        <w:rPr>
          <w:rFonts w:cs="Times New Roman"/>
          <w:i/>
          <w:iCs/>
          <w:noProof/>
          <w:sz w:val="20"/>
          <w:szCs w:val="20"/>
          <w:lang w:eastAsia="en-GB"/>
        </w:rPr>
      </w:pPr>
      <w:r w:rsidRPr="000653A9">
        <w:rPr>
          <w:rFonts w:cs="Times New Roman"/>
          <w:i/>
          <w:iCs/>
          <w:noProof/>
          <w:sz w:val="20"/>
          <w:szCs w:val="20"/>
          <w:lang w:eastAsia="en-GB"/>
        </w:rPr>
        <w:t>Source:</w:t>
      </w:r>
      <w:r w:rsidRPr="000653A9">
        <w:rPr>
          <w:i/>
          <w:iCs/>
          <w:noProof/>
          <w:sz w:val="22"/>
          <w:szCs w:val="22"/>
        </w:rPr>
        <w:tab/>
      </w:r>
      <w:r w:rsidRPr="000653A9">
        <w:rPr>
          <w:rFonts w:cs="Times New Roman"/>
          <w:i/>
          <w:iCs/>
          <w:noProof/>
          <w:sz w:val="20"/>
          <w:szCs w:val="20"/>
          <w:lang w:eastAsia="en-GB"/>
        </w:rPr>
        <w:t>GEM-E3 model (2025)</w:t>
      </w:r>
    </w:p>
    <w:p w14:paraId="5772262E" w14:textId="32434444" w:rsidR="00720F44" w:rsidRDefault="0034207B" w:rsidP="002D38A8">
      <w:pPr>
        <w:rPr>
          <w:noProof/>
          <w:color w:val="auto"/>
        </w:rPr>
      </w:pPr>
      <w:r>
        <w:rPr>
          <w:noProof/>
          <w:color w:val="auto"/>
        </w:rPr>
        <w:t>T</w:t>
      </w:r>
      <w:r w:rsidR="002D38A8" w:rsidRPr="002D38A8">
        <w:rPr>
          <w:noProof/>
          <w:color w:val="auto"/>
        </w:rPr>
        <w:t>able</w:t>
      </w:r>
      <w:r>
        <w:rPr>
          <w:noProof/>
          <w:color w:val="auto"/>
        </w:rPr>
        <w:t xml:space="preserve"> </w:t>
      </w:r>
      <w:r w:rsidR="00DB3CB9">
        <w:rPr>
          <w:noProof/>
          <w:color w:val="auto"/>
        </w:rPr>
        <w:t>27</w:t>
      </w:r>
      <w:r w:rsidR="002D38A8" w:rsidRPr="002D38A8">
        <w:rPr>
          <w:noProof/>
          <w:color w:val="auto"/>
        </w:rPr>
        <w:t xml:space="preserve"> </w:t>
      </w:r>
      <w:r w:rsidR="003E22BE">
        <w:rPr>
          <w:noProof/>
          <w:color w:val="auto"/>
        </w:rPr>
        <w:t>summarises</w:t>
      </w:r>
      <w:r w:rsidR="002D38A8" w:rsidRPr="002D38A8">
        <w:rPr>
          <w:noProof/>
          <w:color w:val="auto"/>
        </w:rPr>
        <w:t xml:space="preserve"> </w:t>
      </w:r>
      <w:r w:rsidR="003E22BE">
        <w:rPr>
          <w:noProof/>
          <w:color w:val="auto"/>
        </w:rPr>
        <w:t>the</w:t>
      </w:r>
      <w:r w:rsidR="002D38A8" w:rsidRPr="002D38A8">
        <w:rPr>
          <w:noProof/>
          <w:color w:val="auto"/>
        </w:rPr>
        <w:t xml:space="preserve"> </w:t>
      </w:r>
      <w:r w:rsidR="002D38A8">
        <w:rPr>
          <w:noProof/>
          <w:color w:val="auto"/>
        </w:rPr>
        <w:t xml:space="preserve">effects regarding </w:t>
      </w:r>
      <w:r w:rsidR="002D38A8" w:rsidRPr="002D38A8">
        <w:rPr>
          <w:noProof/>
          <w:color w:val="auto"/>
        </w:rPr>
        <w:t>carbon leakage</w:t>
      </w:r>
      <w:r w:rsidR="002D38A8">
        <w:rPr>
          <w:noProof/>
          <w:color w:val="auto"/>
        </w:rPr>
        <w:t xml:space="preserve"> when using </w:t>
      </w:r>
      <w:r w:rsidR="002D38A8" w:rsidRPr="002D38A8">
        <w:rPr>
          <w:noProof/>
          <w:color w:val="auto"/>
        </w:rPr>
        <w:t xml:space="preserve">the </w:t>
      </w:r>
      <w:r w:rsidR="002D38A8">
        <w:rPr>
          <w:noProof/>
          <w:color w:val="auto"/>
        </w:rPr>
        <w:t>90-85% cap pathway (see section 1.3</w:t>
      </w:r>
      <w:r w:rsidR="007F5CDF">
        <w:rPr>
          <w:noProof/>
          <w:color w:val="auto"/>
        </w:rPr>
        <w:t>.1.1)</w:t>
      </w:r>
      <w:r w:rsidR="002D38A8">
        <w:rPr>
          <w:noProof/>
          <w:color w:val="auto"/>
        </w:rPr>
        <w:t>, compared with the</w:t>
      </w:r>
      <w:r w:rsidR="007F5CDF">
        <w:rPr>
          <w:noProof/>
          <w:color w:val="auto"/>
        </w:rPr>
        <w:t xml:space="preserve"> reference</w:t>
      </w:r>
      <w:r w:rsidR="002D38A8">
        <w:rPr>
          <w:noProof/>
          <w:color w:val="auto"/>
        </w:rPr>
        <w:t xml:space="preserve"> 85</w:t>
      </w:r>
      <w:r w:rsidR="007F5CDF">
        <w:rPr>
          <w:noProof/>
          <w:color w:val="auto"/>
        </w:rPr>
        <w:t>% linear trajector</w:t>
      </w:r>
      <w:r w:rsidR="00203C9E">
        <w:rPr>
          <w:noProof/>
          <w:color w:val="auto"/>
        </w:rPr>
        <w:t>y</w:t>
      </w:r>
      <w:r w:rsidR="007F5CDF">
        <w:rPr>
          <w:noProof/>
          <w:color w:val="auto"/>
        </w:rPr>
        <w:t xml:space="preserve">. </w:t>
      </w:r>
      <w:r w:rsidR="00720F44">
        <w:rPr>
          <w:noProof/>
          <w:color w:val="auto"/>
        </w:rPr>
        <w:t>This scenario shows</w:t>
      </w:r>
      <w:r w:rsidR="000229F0">
        <w:rPr>
          <w:noProof/>
          <w:color w:val="auto"/>
        </w:rPr>
        <w:t xml:space="preserve"> </w:t>
      </w:r>
      <w:r w:rsidR="005A540B">
        <w:rPr>
          <w:noProof/>
          <w:color w:val="auto"/>
        </w:rPr>
        <w:t>that for most sectors, the more ambitious cap trajectory results in</w:t>
      </w:r>
      <w:r w:rsidR="000229F0">
        <w:rPr>
          <w:noProof/>
          <w:color w:val="auto"/>
        </w:rPr>
        <w:t xml:space="preserve"> </w:t>
      </w:r>
      <w:r w:rsidR="005A540B">
        <w:rPr>
          <w:noProof/>
          <w:color w:val="auto"/>
        </w:rPr>
        <w:t>some</w:t>
      </w:r>
      <w:r w:rsidR="000229F0">
        <w:rPr>
          <w:noProof/>
          <w:color w:val="auto"/>
        </w:rPr>
        <w:t xml:space="preserve"> decrease in EU</w:t>
      </w:r>
      <w:r w:rsidR="005A540B">
        <w:rPr>
          <w:noProof/>
          <w:color w:val="auto"/>
        </w:rPr>
        <w:t xml:space="preserve">27 </w:t>
      </w:r>
      <w:r w:rsidR="002858C3">
        <w:rPr>
          <w:noProof/>
          <w:color w:val="auto"/>
        </w:rPr>
        <w:t>emissions and increases in the non-EU27 emissions in 2035, indicating a marginally higher carbon leakage rates</w:t>
      </w:r>
      <w:r w:rsidR="009B0C64">
        <w:rPr>
          <w:noProof/>
          <w:color w:val="auto"/>
        </w:rPr>
        <w:t xml:space="preserve"> at that point. </w:t>
      </w:r>
      <w:r w:rsidR="00C424B0">
        <w:rPr>
          <w:noProof/>
          <w:color w:val="auto"/>
        </w:rPr>
        <w:t xml:space="preserve">The </w:t>
      </w:r>
      <w:r w:rsidR="009B0C64">
        <w:rPr>
          <w:noProof/>
          <w:color w:val="auto"/>
        </w:rPr>
        <w:t xml:space="preserve">differences in the results for 2040 are marginal or 0. </w:t>
      </w:r>
    </w:p>
    <w:p w14:paraId="555BD096" w14:textId="2C73FFAE" w:rsidR="003E22BE" w:rsidRPr="003E22BE" w:rsidRDefault="003E22BE" w:rsidP="00C92FA9">
      <w:pPr>
        <w:pStyle w:val="Tabletitle"/>
        <w:rPr>
          <w:noProof/>
        </w:rPr>
      </w:pPr>
      <w:r w:rsidRPr="003E22BE">
        <w:rPr>
          <w:noProof/>
        </w:rPr>
        <w:t xml:space="preserve"> </w:t>
      </w:r>
      <w:bookmarkStart w:id="482" w:name="_Toc234435130"/>
      <w:bookmarkStart w:id="483" w:name="_Toc232003600"/>
      <w:r w:rsidRPr="003E22BE">
        <w:rPr>
          <w:noProof/>
        </w:rPr>
        <w:t>Difference</w:t>
      </w:r>
      <w:r w:rsidR="0044269F">
        <w:rPr>
          <w:noProof/>
        </w:rPr>
        <w:t xml:space="preserve"> EU27 and non-EU27 emissions levels</w:t>
      </w:r>
      <w:r w:rsidRPr="003E22BE">
        <w:rPr>
          <w:noProof/>
        </w:rPr>
        <w:t xml:space="preserve"> </w:t>
      </w:r>
      <w:r w:rsidR="006173B2">
        <w:rPr>
          <w:noProof/>
        </w:rPr>
        <w:t>for variants CL290_9085 and CL290</w:t>
      </w:r>
      <w:r w:rsidR="00610E91">
        <w:rPr>
          <w:noProof/>
        </w:rPr>
        <w:t>C</w:t>
      </w:r>
      <w:r w:rsidR="006173B2">
        <w:rPr>
          <w:noProof/>
        </w:rPr>
        <w:t xml:space="preserve">_9085 </w:t>
      </w:r>
      <w:r w:rsidRPr="003E22BE">
        <w:rPr>
          <w:noProof/>
        </w:rPr>
        <w:t>compared to scenarios</w:t>
      </w:r>
      <w:r w:rsidR="00CE7CE3">
        <w:rPr>
          <w:noProof/>
        </w:rPr>
        <w:t xml:space="preserve"> </w:t>
      </w:r>
      <w:r w:rsidRPr="003E22BE">
        <w:rPr>
          <w:noProof/>
        </w:rPr>
        <w:t>CL2_90 and CL2_90C.</w:t>
      </w:r>
      <w:bookmarkEnd w:id="482"/>
      <w:bookmarkEnd w:id="483"/>
      <w:r w:rsidRPr="003E22BE">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741"/>
        <w:gridCol w:w="1105"/>
        <w:gridCol w:w="740"/>
        <w:gridCol w:w="1105"/>
        <w:gridCol w:w="702"/>
        <w:gridCol w:w="702"/>
        <w:gridCol w:w="769"/>
        <w:gridCol w:w="769"/>
      </w:tblGrid>
      <w:tr w:rsidR="007871EB" w:rsidRPr="004C2D15" w14:paraId="6F311227" w14:textId="39493D64" w:rsidTr="00D44496">
        <w:trPr>
          <w:trHeight w:val="310"/>
        </w:trPr>
        <w:tc>
          <w:tcPr>
            <w:tcW w:w="1334" w:type="pct"/>
            <w:shd w:val="clear" w:color="auto" w:fill="FFFFFF"/>
            <w:noWrap/>
            <w:vAlign w:val="center"/>
          </w:tcPr>
          <w:p w14:paraId="33630A19" w14:textId="77777777" w:rsidR="0053201F" w:rsidRPr="003E22BE" w:rsidRDefault="0053201F" w:rsidP="0053201F">
            <w:pPr>
              <w:jc w:val="center"/>
              <w:rPr>
                <w:b/>
                <w:bCs/>
                <w:noProof/>
                <w:color w:val="auto"/>
                <w:sz w:val="22"/>
                <w:szCs w:val="22"/>
                <w:lang w:val="en-US"/>
              </w:rPr>
            </w:pPr>
          </w:p>
        </w:tc>
        <w:tc>
          <w:tcPr>
            <w:tcW w:w="2045" w:type="pct"/>
            <w:gridSpan w:val="4"/>
            <w:shd w:val="clear" w:color="auto" w:fill="FFFFFF"/>
            <w:noWrap/>
            <w:vAlign w:val="center"/>
          </w:tcPr>
          <w:p w14:paraId="4FD3109C" w14:textId="17E003CA" w:rsidR="0053201F" w:rsidRPr="00B83909" w:rsidRDefault="0053201F" w:rsidP="0053201F">
            <w:pPr>
              <w:jc w:val="center"/>
              <w:rPr>
                <w:noProof/>
                <w:color w:val="auto"/>
                <w:sz w:val="22"/>
                <w:szCs w:val="22"/>
              </w:rPr>
            </w:pPr>
            <w:r w:rsidRPr="0044269F">
              <w:rPr>
                <w:noProof/>
                <w:color w:val="auto"/>
                <w:sz w:val="22"/>
                <w:szCs w:val="22"/>
              </w:rPr>
              <w:t>2035</w:t>
            </w:r>
          </w:p>
        </w:tc>
        <w:tc>
          <w:tcPr>
            <w:tcW w:w="1621" w:type="pct"/>
            <w:gridSpan w:val="4"/>
            <w:shd w:val="clear" w:color="auto" w:fill="FFFFFF"/>
          </w:tcPr>
          <w:p w14:paraId="49C4EE02" w14:textId="07FE1D80" w:rsidR="0053201F" w:rsidRDefault="0053201F" w:rsidP="0053201F">
            <w:pPr>
              <w:jc w:val="center"/>
              <w:rPr>
                <w:noProof/>
                <w:color w:val="auto"/>
                <w:sz w:val="22"/>
                <w:szCs w:val="22"/>
              </w:rPr>
            </w:pPr>
            <w:r>
              <w:rPr>
                <w:noProof/>
                <w:color w:val="auto"/>
                <w:sz w:val="22"/>
                <w:szCs w:val="22"/>
              </w:rPr>
              <w:t>2040</w:t>
            </w:r>
          </w:p>
        </w:tc>
      </w:tr>
      <w:tr w:rsidR="007871EB" w:rsidRPr="004C2D15" w14:paraId="16B50748" w14:textId="67346FFC" w:rsidTr="00D44496">
        <w:trPr>
          <w:trHeight w:val="310"/>
        </w:trPr>
        <w:tc>
          <w:tcPr>
            <w:tcW w:w="1334" w:type="pct"/>
            <w:shd w:val="clear" w:color="auto" w:fill="FFFFFF"/>
            <w:noWrap/>
            <w:vAlign w:val="center"/>
          </w:tcPr>
          <w:p w14:paraId="609FDFC2" w14:textId="4DAB4206" w:rsidR="0053201F" w:rsidRPr="003E22BE" w:rsidRDefault="0053201F" w:rsidP="0053201F">
            <w:pPr>
              <w:jc w:val="center"/>
              <w:rPr>
                <w:noProof/>
                <w:color w:val="auto"/>
                <w:sz w:val="22"/>
                <w:szCs w:val="22"/>
                <w:lang w:val="en-US"/>
              </w:rPr>
            </w:pPr>
          </w:p>
        </w:tc>
        <w:tc>
          <w:tcPr>
            <w:tcW w:w="1023" w:type="pct"/>
            <w:gridSpan w:val="2"/>
            <w:shd w:val="clear" w:color="auto" w:fill="FFFFFF"/>
            <w:noWrap/>
            <w:vAlign w:val="center"/>
          </w:tcPr>
          <w:p w14:paraId="7BA3E424" w14:textId="3537B4B6" w:rsidR="0053201F" w:rsidRPr="003E22BE" w:rsidRDefault="0053201F" w:rsidP="0053201F">
            <w:pPr>
              <w:jc w:val="center"/>
              <w:rPr>
                <w:noProof/>
                <w:color w:val="auto"/>
                <w:sz w:val="22"/>
                <w:szCs w:val="22"/>
                <w:lang w:val="en-US"/>
              </w:rPr>
            </w:pPr>
            <w:r w:rsidRPr="00836624">
              <w:rPr>
                <w:noProof/>
                <w:color w:val="auto"/>
                <w:sz w:val="22"/>
                <w:szCs w:val="22"/>
              </w:rPr>
              <w:t>CL2_90_9085</w:t>
            </w:r>
          </w:p>
        </w:tc>
        <w:tc>
          <w:tcPr>
            <w:tcW w:w="1021" w:type="pct"/>
            <w:gridSpan w:val="2"/>
            <w:shd w:val="clear" w:color="auto" w:fill="FFFFFF"/>
            <w:noWrap/>
            <w:vAlign w:val="center"/>
          </w:tcPr>
          <w:p w14:paraId="5B7E48A0" w14:textId="07BA76CD" w:rsidR="0053201F" w:rsidRPr="003E22BE" w:rsidRDefault="0053201F" w:rsidP="0053201F">
            <w:pPr>
              <w:jc w:val="center"/>
              <w:rPr>
                <w:noProof/>
                <w:color w:val="auto"/>
                <w:sz w:val="22"/>
                <w:szCs w:val="22"/>
                <w:lang w:val="en-US"/>
              </w:rPr>
            </w:pPr>
            <w:r w:rsidRPr="001F1915">
              <w:rPr>
                <w:noProof/>
                <w:color w:val="auto"/>
                <w:sz w:val="22"/>
                <w:szCs w:val="22"/>
              </w:rPr>
              <w:t>CL2_90</w:t>
            </w:r>
            <w:r w:rsidR="00610E91">
              <w:rPr>
                <w:noProof/>
                <w:color w:val="auto"/>
                <w:sz w:val="22"/>
                <w:szCs w:val="22"/>
              </w:rPr>
              <w:t>C</w:t>
            </w:r>
            <w:r w:rsidRPr="001F1915">
              <w:rPr>
                <w:noProof/>
                <w:color w:val="auto"/>
                <w:sz w:val="22"/>
                <w:szCs w:val="22"/>
              </w:rPr>
              <w:t>_9085</w:t>
            </w:r>
          </w:p>
        </w:tc>
        <w:tc>
          <w:tcPr>
            <w:tcW w:w="773" w:type="pct"/>
            <w:gridSpan w:val="2"/>
            <w:shd w:val="clear" w:color="auto" w:fill="FFFFFF"/>
            <w:vAlign w:val="center"/>
          </w:tcPr>
          <w:p w14:paraId="31D2464E" w14:textId="2DD9DDEB" w:rsidR="0053201F" w:rsidRPr="00B83909" w:rsidRDefault="0053201F" w:rsidP="0053201F">
            <w:pPr>
              <w:jc w:val="center"/>
              <w:rPr>
                <w:noProof/>
                <w:color w:val="auto"/>
                <w:sz w:val="22"/>
                <w:szCs w:val="22"/>
              </w:rPr>
            </w:pPr>
            <w:r w:rsidRPr="00836624">
              <w:rPr>
                <w:noProof/>
                <w:color w:val="auto"/>
                <w:sz w:val="22"/>
                <w:szCs w:val="22"/>
              </w:rPr>
              <w:t>CL2_90_9085</w:t>
            </w:r>
          </w:p>
        </w:tc>
        <w:tc>
          <w:tcPr>
            <w:tcW w:w="849" w:type="pct"/>
            <w:gridSpan w:val="2"/>
            <w:shd w:val="clear" w:color="auto" w:fill="FFFFFF"/>
            <w:vAlign w:val="center"/>
          </w:tcPr>
          <w:p w14:paraId="61B8F2E5" w14:textId="599357ED" w:rsidR="0053201F" w:rsidRPr="00B83909" w:rsidRDefault="0053201F" w:rsidP="0053201F">
            <w:pPr>
              <w:jc w:val="center"/>
              <w:rPr>
                <w:noProof/>
                <w:color w:val="auto"/>
                <w:sz w:val="22"/>
                <w:szCs w:val="22"/>
              </w:rPr>
            </w:pPr>
            <w:r w:rsidRPr="001F1915">
              <w:rPr>
                <w:noProof/>
                <w:color w:val="auto"/>
                <w:sz w:val="22"/>
                <w:szCs w:val="22"/>
              </w:rPr>
              <w:t>CL2_90</w:t>
            </w:r>
            <w:r w:rsidR="00610E91">
              <w:rPr>
                <w:noProof/>
                <w:color w:val="auto"/>
                <w:sz w:val="22"/>
                <w:szCs w:val="22"/>
              </w:rPr>
              <w:t>C</w:t>
            </w:r>
            <w:r w:rsidRPr="001F1915">
              <w:rPr>
                <w:noProof/>
                <w:color w:val="auto"/>
                <w:sz w:val="22"/>
                <w:szCs w:val="22"/>
              </w:rPr>
              <w:t>_9085</w:t>
            </w:r>
          </w:p>
        </w:tc>
      </w:tr>
      <w:tr w:rsidR="00E9113F" w:rsidRPr="004C2D15" w14:paraId="7CBC561B" w14:textId="77777777" w:rsidTr="00D44496">
        <w:trPr>
          <w:trHeight w:val="310"/>
        </w:trPr>
        <w:tc>
          <w:tcPr>
            <w:tcW w:w="1334" w:type="pct"/>
            <w:shd w:val="clear" w:color="auto" w:fill="FFFFFF"/>
            <w:noWrap/>
            <w:vAlign w:val="center"/>
            <w:hideMark/>
          </w:tcPr>
          <w:p w14:paraId="2A215D94" w14:textId="615D53EF" w:rsidR="00F267F8" w:rsidRPr="003E22BE" w:rsidRDefault="00F267F8" w:rsidP="00F267F8">
            <w:pPr>
              <w:jc w:val="center"/>
              <w:rPr>
                <w:noProof/>
                <w:color w:val="auto"/>
                <w:sz w:val="22"/>
                <w:szCs w:val="22"/>
                <w:lang w:val="en-US"/>
              </w:rPr>
            </w:pPr>
          </w:p>
        </w:tc>
        <w:tc>
          <w:tcPr>
            <w:tcW w:w="512" w:type="pct"/>
            <w:shd w:val="clear" w:color="auto" w:fill="FFFFFF"/>
            <w:noWrap/>
            <w:vAlign w:val="center"/>
            <w:hideMark/>
          </w:tcPr>
          <w:p w14:paraId="5D0FB781" w14:textId="77777777" w:rsidR="00F267F8" w:rsidRPr="003E22BE" w:rsidRDefault="00F267F8" w:rsidP="00F267F8">
            <w:pPr>
              <w:jc w:val="center"/>
              <w:rPr>
                <w:noProof/>
                <w:color w:val="auto"/>
                <w:sz w:val="22"/>
                <w:szCs w:val="22"/>
                <w:lang w:val="en-US"/>
              </w:rPr>
            </w:pPr>
            <w:r w:rsidRPr="003E22BE">
              <w:rPr>
                <w:noProof/>
                <w:color w:val="auto"/>
                <w:sz w:val="22"/>
                <w:szCs w:val="22"/>
                <w:lang w:val="en-US"/>
              </w:rPr>
              <w:t>EU27</w:t>
            </w:r>
          </w:p>
        </w:tc>
        <w:tc>
          <w:tcPr>
            <w:tcW w:w="512" w:type="pct"/>
            <w:shd w:val="clear" w:color="auto" w:fill="FFFFFF"/>
            <w:noWrap/>
            <w:vAlign w:val="center"/>
            <w:hideMark/>
          </w:tcPr>
          <w:p w14:paraId="3EFFA74E" w14:textId="77777777" w:rsidR="00F267F8" w:rsidRPr="003E22BE" w:rsidRDefault="00F267F8" w:rsidP="00F267F8">
            <w:pPr>
              <w:jc w:val="center"/>
              <w:rPr>
                <w:noProof/>
                <w:color w:val="auto"/>
                <w:sz w:val="22"/>
                <w:szCs w:val="22"/>
                <w:lang w:val="en-US"/>
              </w:rPr>
            </w:pPr>
            <w:r w:rsidRPr="003E22BE">
              <w:rPr>
                <w:noProof/>
                <w:color w:val="auto"/>
                <w:sz w:val="22"/>
                <w:szCs w:val="22"/>
                <w:lang w:val="en-US"/>
              </w:rPr>
              <w:t>Non-EU27</w:t>
            </w:r>
          </w:p>
        </w:tc>
        <w:tc>
          <w:tcPr>
            <w:tcW w:w="408" w:type="pct"/>
            <w:shd w:val="clear" w:color="auto" w:fill="FFFFFF"/>
            <w:noWrap/>
            <w:vAlign w:val="center"/>
            <w:hideMark/>
          </w:tcPr>
          <w:p w14:paraId="655972B3" w14:textId="77777777" w:rsidR="00F267F8" w:rsidRPr="003E22BE" w:rsidRDefault="00F267F8" w:rsidP="00F267F8">
            <w:pPr>
              <w:jc w:val="center"/>
              <w:rPr>
                <w:noProof/>
                <w:color w:val="auto"/>
                <w:sz w:val="22"/>
                <w:szCs w:val="22"/>
                <w:lang w:val="en-US"/>
              </w:rPr>
            </w:pPr>
            <w:r w:rsidRPr="003E22BE">
              <w:rPr>
                <w:noProof/>
                <w:color w:val="auto"/>
                <w:sz w:val="22"/>
                <w:szCs w:val="22"/>
                <w:lang w:val="en-US"/>
              </w:rPr>
              <w:t>EU27</w:t>
            </w:r>
          </w:p>
        </w:tc>
        <w:tc>
          <w:tcPr>
            <w:tcW w:w="614" w:type="pct"/>
            <w:shd w:val="clear" w:color="auto" w:fill="FFFFFF"/>
            <w:noWrap/>
            <w:vAlign w:val="center"/>
            <w:hideMark/>
          </w:tcPr>
          <w:p w14:paraId="339225B4" w14:textId="77777777" w:rsidR="00F267F8" w:rsidRPr="003E22BE" w:rsidRDefault="00F267F8" w:rsidP="00F267F8">
            <w:pPr>
              <w:jc w:val="center"/>
              <w:rPr>
                <w:noProof/>
                <w:color w:val="auto"/>
                <w:sz w:val="22"/>
                <w:szCs w:val="22"/>
                <w:lang w:val="en-US"/>
              </w:rPr>
            </w:pPr>
            <w:r w:rsidRPr="003E22BE">
              <w:rPr>
                <w:noProof/>
                <w:color w:val="auto"/>
                <w:sz w:val="22"/>
                <w:szCs w:val="22"/>
                <w:lang w:val="en-US"/>
              </w:rPr>
              <w:t>Non-EU27</w:t>
            </w:r>
          </w:p>
        </w:tc>
        <w:tc>
          <w:tcPr>
            <w:tcW w:w="773" w:type="pct"/>
            <w:gridSpan w:val="2"/>
            <w:shd w:val="clear" w:color="auto" w:fill="FFFFFF"/>
            <w:vAlign w:val="center"/>
          </w:tcPr>
          <w:p w14:paraId="2A14F6C4" w14:textId="467D8A35" w:rsidR="00F267F8" w:rsidRPr="003E22BE" w:rsidRDefault="00F267F8" w:rsidP="00F267F8">
            <w:pPr>
              <w:jc w:val="center"/>
              <w:rPr>
                <w:noProof/>
                <w:color w:val="auto"/>
                <w:sz w:val="22"/>
                <w:szCs w:val="22"/>
                <w:lang w:val="en-US"/>
              </w:rPr>
            </w:pPr>
            <w:r w:rsidRPr="003E22BE">
              <w:rPr>
                <w:noProof/>
                <w:color w:val="auto"/>
                <w:sz w:val="22"/>
                <w:szCs w:val="22"/>
                <w:lang w:val="en-US"/>
              </w:rPr>
              <w:t>EU27</w:t>
            </w:r>
          </w:p>
        </w:tc>
        <w:tc>
          <w:tcPr>
            <w:tcW w:w="849" w:type="pct"/>
            <w:gridSpan w:val="2"/>
            <w:shd w:val="clear" w:color="auto" w:fill="FFFFFF"/>
            <w:vAlign w:val="center"/>
          </w:tcPr>
          <w:p w14:paraId="0C7F3A55" w14:textId="592BF5C9" w:rsidR="00F267F8" w:rsidRPr="003E22BE" w:rsidRDefault="00F267F8" w:rsidP="00F267F8">
            <w:pPr>
              <w:jc w:val="center"/>
              <w:rPr>
                <w:noProof/>
                <w:color w:val="auto"/>
                <w:sz w:val="22"/>
                <w:szCs w:val="22"/>
                <w:lang w:val="en-US"/>
              </w:rPr>
            </w:pPr>
            <w:r w:rsidRPr="003E22BE">
              <w:rPr>
                <w:noProof/>
                <w:color w:val="auto"/>
                <w:sz w:val="22"/>
                <w:szCs w:val="22"/>
                <w:lang w:val="en-US"/>
              </w:rPr>
              <w:t>Non-EU27</w:t>
            </w:r>
          </w:p>
        </w:tc>
      </w:tr>
      <w:tr w:rsidR="007F1ECE" w:rsidRPr="004C2D15" w14:paraId="46554E6F" w14:textId="33618392" w:rsidTr="007F1ECE">
        <w:trPr>
          <w:trHeight w:val="300"/>
        </w:trPr>
        <w:tc>
          <w:tcPr>
            <w:tcW w:w="1334" w:type="pct"/>
            <w:shd w:val="clear" w:color="auto" w:fill="FFFFFF"/>
            <w:noWrap/>
            <w:vAlign w:val="center"/>
            <w:hideMark/>
          </w:tcPr>
          <w:p w14:paraId="47E52615"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Total economy</w:t>
            </w:r>
          </w:p>
        </w:tc>
        <w:tc>
          <w:tcPr>
            <w:tcW w:w="512" w:type="pct"/>
            <w:tcBorders>
              <w:bottom w:val="single" w:sz="4" w:space="0" w:color="auto"/>
            </w:tcBorders>
            <w:shd w:val="clear" w:color="auto" w:fill="FFFFFF"/>
            <w:noWrap/>
            <w:vAlign w:val="center"/>
            <w:hideMark/>
          </w:tcPr>
          <w:p w14:paraId="3CF2DF00"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-29.91</w:t>
            </w:r>
          </w:p>
        </w:tc>
        <w:tc>
          <w:tcPr>
            <w:tcW w:w="512" w:type="pct"/>
            <w:tcBorders>
              <w:bottom w:val="single" w:sz="4" w:space="0" w:color="auto"/>
            </w:tcBorders>
            <w:shd w:val="clear" w:color="auto" w:fill="FFFFFF"/>
            <w:noWrap/>
            <w:vAlign w:val="center"/>
            <w:hideMark/>
          </w:tcPr>
          <w:p w14:paraId="4C61E801"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2.54</w:t>
            </w:r>
          </w:p>
        </w:tc>
        <w:tc>
          <w:tcPr>
            <w:tcW w:w="408" w:type="pct"/>
            <w:tcBorders>
              <w:bottom w:val="single" w:sz="4" w:space="0" w:color="auto"/>
            </w:tcBorders>
            <w:shd w:val="clear" w:color="auto" w:fill="FFFFFF"/>
            <w:noWrap/>
            <w:vAlign w:val="center"/>
            <w:hideMark/>
          </w:tcPr>
          <w:p w14:paraId="351A4E64"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-30.03</w:t>
            </w:r>
          </w:p>
        </w:tc>
        <w:tc>
          <w:tcPr>
            <w:tcW w:w="614" w:type="pct"/>
            <w:tcBorders>
              <w:bottom w:val="single" w:sz="4" w:space="0" w:color="auto"/>
            </w:tcBorders>
            <w:shd w:val="clear" w:color="auto" w:fill="FFFFFF"/>
            <w:noWrap/>
            <w:vAlign w:val="center"/>
            <w:hideMark/>
          </w:tcPr>
          <w:p w14:paraId="4D3E3203"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2.50</w:t>
            </w:r>
          </w:p>
        </w:tc>
        <w:tc>
          <w:tcPr>
            <w:tcW w:w="386" w:type="pct"/>
            <w:tcBorders>
              <w:bottom w:val="single" w:sz="4" w:space="0" w:color="auto"/>
            </w:tcBorders>
            <w:shd w:val="clear" w:color="auto" w:fill="FFFFFF"/>
            <w:vAlign w:val="bottom"/>
          </w:tcPr>
          <w:p w14:paraId="7E01D3DC" w14:textId="3888EDC9" w:rsidR="00F871D2" w:rsidRPr="003E22BE" w:rsidRDefault="00F871D2" w:rsidP="00F871D2">
            <w:pPr>
              <w:jc w:val="center"/>
              <w:rPr>
                <w:noProof/>
                <w:color w:val="auto"/>
                <w:sz w:val="22"/>
                <w:szCs w:val="22"/>
                <w:lang w:val="en-US"/>
              </w:rPr>
            </w:pPr>
            <w:r w:rsidRPr="00F871D2">
              <w:rPr>
                <w:noProof/>
                <w:color w:val="auto"/>
                <w:sz w:val="22"/>
                <w:szCs w:val="22"/>
                <w:lang w:val="en-US"/>
              </w:rPr>
              <w:t>-0.32</w:t>
            </w:r>
          </w:p>
        </w:tc>
        <w:tc>
          <w:tcPr>
            <w:tcW w:w="386" w:type="pct"/>
            <w:tcBorders>
              <w:bottom w:val="single" w:sz="4" w:space="0" w:color="auto"/>
            </w:tcBorders>
            <w:shd w:val="clear" w:color="auto" w:fill="FFFFFF"/>
            <w:vAlign w:val="bottom"/>
          </w:tcPr>
          <w:p w14:paraId="2DB6EDF3" w14:textId="7816FF7F" w:rsidR="00F871D2" w:rsidRPr="003E22BE" w:rsidRDefault="00F871D2" w:rsidP="00F871D2">
            <w:pPr>
              <w:jc w:val="center"/>
              <w:rPr>
                <w:noProof/>
                <w:color w:val="auto"/>
                <w:sz w:val="22"/>
                <w:szCs w:val="22"/>
                <w:lang w:val="en-US"/>
              </w:rPr>
            </w:pPr>
            <w:r w:rsidRPr="00F871D2">
              <w:rPr>
                <w:noProof/>
                <w:color w:val="auto"/>
                <w:sz w:val="22"/>
                <w:szCs w:val="22"/>
                <w:lang w:val="en-US"/>
              </w:rPr>
              <w:t>-0.44</w:t>
            </w:r>
          </w:p>
        </w:tc>
        <w:tc>
          <w:tcPr>
            <w:tcW w:w="424" w:type="pct"/>
            <w:tcBorders>
              <w:bottom w:val="single" w:sz="4" w:space="0" w:color="auto"/>
            </w:tcBorders>
            <w:shd w:val="clear" w:color="auto" w:fill="FFFFFF"/>
            <w:vAlign w:val="bottom"/>
          </w:tcPr>
          <w:p w14:paraId="05369E16" w14:textId="78850934" w:rsidR="00F871D2" w:rsidRPr="003E22BE" w:rsidRDefault="00F871D2" w:rsidP="00F871D2">
            <w:pPr>
              <w:jc w:val="center"/>
              <w:rPr>
                <w:noProof/>
                <w:color w:val="auto"/>
                <w:sz w:val="22"/>
                <w:szCs w:val="22"/>
                <w:lang w:val="en-US"/>
              </w:rPr>
            </w:pPr>
            <w:r w:rsidRPr="007871EB">
              <w:rPr>
                <w:noProof/>
                <w:color w:val="auto"/>
                <w:sz w:val="22"/>
                <w:szCs w:val="22"/>
                <w:lang w:val="en-US"/>
              </w:rPr>
              <w:t>-0.31</w:t>
            </w:r>
          </w:p>
        </w:tc>
        <w:tc>
          <w:tcPr>
            <w:tcW w:w="424" w:type="pct"/>
            <w:tcBorders>
              <w:bottom w:val="single" w:sz="4" w:space="0" w:color="auto"/>
            </w:tcBorders>
            <w:shd w:val="clear" w:color="auto" w:fill="FFFFFF"/>
            <w:vAlign w:val="bottom"/>
          </w:tcPr>
          <w:p w14:paraId="3F013CD3" w14:textId="22BF0E26" w:rsidR="00F871D2" w:rsidRPr="003E22BE" w:rsidRDefault="00F871D2" w:rsidP="00F871D2">
            <w:pPr>
              <w:jc w:val="center"/>
              <w:rPr>
                <w:noProof/>
                <w:color w:val="auto"/>
                <w:sz w:val="22"/>
                <w:szCs w:val="22"/>
                <w:lang w:val="en-US"/>
              </w:rPr>
            </w:pPr>
            <w:r w:rsidRPr="007871EB">
              <w:rPr>
                <w:noProof/>
                <w:color w:val="auto"/>
                <w:sz w:val="22"/>
                <w:szCs w:val="22"/>
                <w:lang w:val="en-US"/>
              </w:rPr>
              <w:t>-0.44</w:t>
            </w:r>
          </w:p>
        </w:tc>
      </w:tr>
      <w:tr w:rsidR="00F871D2" w:rsidRPr="004C2D15" w14:paraId="53CA2BE2" w14:textId="1D21DD5E" w:rsidTr="00D44496">
        <w:trPr>
          <w:trHeight w:val="300"/>
        </w:trPr>
        <w:tc>
          <w:tcPr>
            <w:tcW w:w="1334" w:type="pct"/>
            <w:shd w:val="clear" w:color="auto" w:fill="FFFFFF"/>
            <w:noWrap/>
            <w:vAlign w:val="center"/>
            <w:hideMark/>
          </w:tcPr>
          <w:p w14:paraId="57972041"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Ferrous metals</w:t>
            </w:r>
          </w:p>
        </w:tc>
        <w:tc>
          <w:tcPr>
            <w:tcW w:w="512" w:type="pct"/>
            <w:shd w:val="clear" w:color="auto" w:fill="FFFFFF"/>
            <w:noWrap/>
            <w:vAlign w:val="center"/>
            <w:hideMark/>
          </w:tcPr>
          <w:p w14:paraId="5BBD4995"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-1.92</w:t>
            </w:r>
          </w:p>
        </w:tc>
        <w:tc>
          <w:tcPr>
            <w:tcW w:w="512" w:type="pct"/>
            <w:shd w:val="clear" w:color="auto" w:fill="FFFFFF"/>
            <w:noWrap/>
            <w:vAlign w:val="center"/>
            <w:hideMark/>
          </w:tcPr>
          <w:p w14:paraId="07BCCF85"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0.21</w:t>
            </w:r>
          </w:p>
        </w:tc>
        <w:tc>
          <w:tcPr>
            <w:tcW w:w="408" w:type="pct"/>
            <w:shd w:val="clear" w:color="auto" w:fill="FFFFFF"/>
            <w:noWrap/>
            <w:vAlign w:val="center"/>
            <w:hideMark/>
          </w:tcPr>
          <w:p w14:paraId="36F1C1F0"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-1.93</w:t>
            </w:r>
          </w:p>
        </w:tc>
        <w:tc>
          <w:tcPr>
            <w:tcW w:w="614" w:type="pct"/>
            <w:shd w:val="clear" w:color="auto" w:fill="FFFFFF"/>
            <w:noWrap/>
            <w:vAlign w:val="center"/>
            <w:hideMark/>
          </w:tcPr>
          <w:p w14:paraId="73A9D7D8"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0.20</w:t>
            </w:r>
          </w:p>
        </w:tc>
        <w:tc>
          <w:tcPr>
            <w:tcW w:w="386" w:type="pct"/>
            <w:shd w:val="clear" w:color="auto" w:fill="FFFFFF"/>
            <w:vAlign w:val="bottom"/>
          </w:tcPr>
          <w:p w14:paraId="7DC41564" w14:textId="2554B648" w:rsidR="00F871D2" w:rsidRPr="003E22BE" w:rsidRDefault="00F871D2" w:rsidP="00F871D2">
            <w:pPr>
              <w:jc w:val="center"/>
              <w:rPr>
                <w:noProof/>
                <w:color w:val="auto"/>
                <w:sz w:val="22"/>
                <w:szCs w:val="22"/>
                <w:lang w:val="en-US"/>
              </w:rPr>
            </w:pPr>
            <w:r w:rsidRPr="00F871D2">
              <w:rPr>
                <w:noProof/>
                <w:color w:val="auto"/>
                <w:sz w:val="22"/>
                <w:szCs w:val="22"/>
                <w:lang w:val="en-US"/>
              </w:rPr>
              <w:t>0.00</w:t>
            </w:r>
          </w:p>
        </w:tc>
        <w:tc>
          <w:tcPr>
            <w:tcW w:w="386" w:type="pct"/>
            <w:shd w:val="clear" w:color="auto" w:fill="FFFFFF"/>
            <w:vAlign w:val="bottom"/>
          </w:tcPr>
          <w:p w14:paraId="69EAED55" w14:textId="3DE1A779" w:rsidR="00F871D2" w:rsidRPr="003E22BE" w:rsidRDefault="00F871D2" w:rsidP="00F871D2">
            <w:pPr>
              <w:jc w:val="center"/>
              <w:rPr>
                <w:noProof/>
                <w:color w:val="auto"/>
                <w:sz w:val="22"/>
                <w:szCs w:val="22"/>
                <w:lang w:val="en-US"/>
              </w:rPr>
            </w:pPr>
            <w:r w:rsidRPr="00F871D2">
              <w:rPr>
                <w:noProof/>
                <w:color w:val="auto"/>
                <w:sz w:val="22"/>
                <w:szCs w:val="22"/>
                <w:lang w:val="en-US"/>
              </w:rPr>
              <w:t>-0.01</w:t>
            </w:r>
          </w:p>
        </w:tc>
        <w:tc>
          <w:tcPr>
            <w:tcW w:w="424" w:type="pct"/>
            <w:shd w:val="clear" w:color="auto" w:fill="FFFFFF"/>
            <w:vAlign w:val="bottom"/>
          </w:tcPr>
          <w:p w14:paraId="34015C4C" w14:textId="168E7DD5" w:rsidR="00F871D2" w:rsidRPr="003E22BE" w:rsidRDefault="00F871D2" w:rsidP="00F871D2">
            <w:pPr>
              <w:jc w:val="center"/>
              <w:rPr>
                <w:noProof/>
                <w:color w:val="auto"/>
                <w:sz w:val="22"/>
                <w:szCs w:val="22"/>
                <w:lang w:val="en-US"/>
              </w:rPr>
            </w:pPr>
            <w:r w:rsidRPr="007871EB">
              <w:rPr>
                <w:noProof/>
                <w:color w:val="auto"/>
                <w:sz w:val="22"/>
                <w:szCs w:val="22"/>
                <w:lang w:val="en-US"/>
              </w:rPr>
              <w:t>0.00</w:t>
            </w:r>
          </w:p>
        </w:tc>
        <w:tc>
          <w:tcPr>
            <w:tcW w:w="424" w:type="pct"/>
            <w:shd w:val="clear" w:color="auto" w:fill="FFFFFF"/>
            <w:vAlign w:val="bottom"/>
          </w:tcPr>
          <w:p w14:paraId="37361AA4" w14:textId="737E066E" w:rsidR="00F871D2" w:rsidRPr="003E22BE" w:rsidRDefault="00F871D2" w:rsidP="00F871D2">
            <w:pPr>
              <w:jc w:val="center"/>
              <w:rPr>
                <w:noProof/>
                <w:color w:val="auto"/>
                <w:sz w:val="22"/>
                <w:szCs w:val="22"/>
                <w:lang w:val="en-US"/>
              </w:rPr>
            </w:pPr>
            <w:r w:rsidRPr="007871EB">
              <w:rPr>
                <w:noProof/>
                <w:color w:val="auto"/>
                <w:sz w:val="22"/>
                <w:szCs w:val="22"/>
                <w:lang w:val="en-US"/>
              </w:rPr>
              <w:t>-0.01</w:t>
            </w:r>
          </w:p>
        </w:tc>
      </w:tr>
      <w:tr w:rsidR="00E9113F" w:rsidRPr="004C2D15" w14:paraId="4CC9727C" w14:textId="26F5021F" w:rsidTr="00D44496">
        <w:trPr>
          <w:trHeight w:val="300"/>
        </w:trPr>
        <w:tc>
          <w:tcPr>
            <w:tcW w:w="1334" w:type="pct"/>
            <w:shd w:val="clear" w:color="auto" w:fill="FFFFFF"/>
            <w:noWrap/>
            <w:vAlign w:val="center"/>
            <w:hideMark/>
          </w:tcPr>
          <w:p w14:paraId="0E025D76"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Non-ferrous metals</w:t>
            </w:r>
          </w:p>
        </w:tc>
        <w:tc>
          <w:tcPr>
            <w:tcW w:w="512" w:type="pct"/>
            <w:shd w:val="clear" w:color="auto" w:fill="FFFFFF"/>
            <w:noWrap/>
            <w:vAlign w:val="center"/>
            <w:hideMark/>
          </w:tcPr>
          <w:p w14:paraId="0BC841FA"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-0.29</w:t>
            </w:r>
          </w:p>
        </w:tc>
        <w:tc>
          <w:tcPr>
            <w:tcW w:w="512" w:type="pct"/>
            <w:shd w:val="clear" w:color="auto" w:fill="FFFFFF"/>
            <w:noWrap/>
            <w:vAlign w:val="center"/>
            <w:hideMark/>
          </w:tcPr>
          <w:p w14:paraId="1C97B996"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0.07</w:t>
            </w:r>
          </w:p>
        </w:tc>
        <w:tc>
          <w:tcPr>
            <w:tcW w:w="408" w:type="pct"/>
            <w:shd w:val="clear" w:color="auto" w:fill="FFFFFF"/>
            <w:noWrap/>
            <w:vAlign w:val="center"/>
            <w:hideMark/>
          </w:tcPr>
          <w:p w14:paraId="3081718E"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-0.29</w:t>
            </w:r>
          </w:p>
        </w:tc>
        <w:tc>
          <w:tcPr>
            <w:tcW w:w="614" w:type="pct"/>
            <w:shd w:val="clear" w:color="auto" w:fill="FFFFFF"/>
            <w:noWrap/>
            <w:vAlign w:val="center"/>
            <w:hideMark/>
          </w:tcPr>
          <w:p w14:paraId="70EE2AFA"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0.07</w:t>
            </w:r>
          </w:p>
        </w:tc>
        <w:tc>
          <w:tcPr>
            <w:tcW w:w="386" w:type="pct"/>
            <w:shd w:val="clear" w:color="auto" w:fill="FFFFFF"/>
            <w:vAlign w:val="bottom"/>
          </w:tcPr>
          <w:p w14:paraId="65A9677E" w14:textId="14E29318" w:rsidR="00F871D2" w:rsidRPr="003E22BE" w:rsidRDefault="00F871D2" w:rsidP="00F871D2">
            <w:pPr>
              <w:jc w:val="center"/>
              <w:rPr>
                <w:noProof/>
                <w:color w:val="auto"/>
                <w:sz w:val="22"/>
                <w:szCs w:val="22"/>
                <w:lang w:val="en-US"/>
              </w:rPr>
            </w:pPr>
            <w:r w:rsidRPr="00F871D2">
              <w:rPr>
                <w:noProof/>
                <w:color w:val="auto"/>
                <w:sz w:val="22"/>
                <w:szCs w:val="22"/>
                <w:lang w:val="en-US"/>
              </w:rPr>
              <w:t>0.00</w:t>
            </w:r>
          </w:p>
        </w:tc>
        <w:tc>
          <w:tcPr>
            <w:tcW w:w="386" w:type="pct"/>
            <w:shd w:val="clear" w:color="auto" w:fill="FFFFFF"/>
            <w:vAlign w:val="bottom"/>
          </w:tcPr>
          <w:p w14:paraId="5B52DC96" w14:textId="5331B3CB" w:rsidR="00F871D2" w:rsidRPr="003E22BE" w:rsidRDefault="00F871D2" w:rsidP="00F871D2">
            <w:pPr>
              <w:jc w:val="center"/>
              <w:rPr>
                <w:noProof/>
                <w:color w:val="auto"/>
                <w:sz w:val="22"/>
                <w:szCs w:val="22"/>
                <w:lang w:val="en-US"/>
              </w:rPr>
            </w:pPr>
            <w:r w:rsidRPr="00F871D2">
              <w:rPr>
                <w:noProof/>
                <w:color w:val="auto"/>
                <w:sz w:val="22"/>
                <w:szCs w:val="22"/>
                <w:lang w:val="en-US"/>
              </w:rPr>
              <w:t>0.00</w:t>
            </w:r>
          </w:p>
        </w:tc>
        <w:tc>
          <w:tcPr>
            <w:tcW w:w="424" w:type="pct"/>
            <w:shd w:val="clear" w:color="auto" w:fill="FFFFFF"/>
            <w:vAlign w:val="bottom"/>
          </w:tcPr>
          <w:p w14:paraId="54B2E11B" w14:textId="44C990B0" w:rsidR="00F871D2" w:rsidRPr="003E22BE" w:rsidRDefault="00F871D2" w:rsidP="00F871D2">
            <w:pPr>
              <w:jc w:val="center"/>
              <w:rPr>
                <w:noProof/>
                <w:color w:val="auto"/>
                <w:sz w:val="22"/>
                <w:szCs w:val="22"/>
                <w:lang w:val="en-US"/>
              </w:rPr>
            </w:pPr>
            <w:r w:rsidRPr="007871EB">
              <w:rPr>
                <w:noProof/>
                <w:color w:val="auto"/>
                <w:sz w:val="22"/>
                <w:szCs w:val="22"/>
                <w:lang w:val="en-US"/>
              </w:rPr>
              <w:t>0.00</w:t>
            </w:r>
          </w:p>
        </w:tc>
        <w:tc>
          <w:tcPr>
            <w:tcW w:w="424" w:type="pct"/>
            <w:shd w:val="clear" w:color="auto" w:fill="FFFFFF"/>
            <w:vAlign w:val="bottom"/>
          </w:tcPr>
          <w:p w14:paraId="205F216D" w14:textId="03C08AFB" w:rsidR="00F871D2" w:rsidRPr="003E22BE" w:rsidRDefault="00F871D2" w:rsidP="00F871D2">
            <w:pPr>
              <w:jc w:val="center"/>
              <w:rPr>
                <w:noProof/>
                <w:color w:val="auto"/>
                <w:sz w:val="22"/>
                <w:szCs w:val="22"/>
                <w:lang w:val="en-US"/>
              </w:rPr>
            </w:pPr>
            <w:r w:rsidRPr="007871EB">
              <w:rPr>
                <w:noProof/>
                <w:color w:val="auto"/>
                <w:sz w:val="22"/>
                <w:szCs w:val="22"/>
                <w:lang w:val="en-US"/>
              </w:rPr>
              <w:t>0.00</w:t>
            </w:r>
          </w:p>
        </w:tc>
      </w:tr>
      <w:tr w:rsidR="00E9113F" w:rsidRPr="004C2D15" w14:paraId="7FF37B2E" w14:textId="6C03337B" w:rsidTr="00D44496">
        <w:trPr>
          <w:trHeight w:val="300"/>
        </w:trPr>
        <w:tc>
          <w:tcPr>
            <w:tcW w:w="1334" w:type="pct"/>
            <w:shd w:val="clear" w:color="auto" w:fill="FFFFFF"/>
            <w:noWrap/>
            <w:vAlign w:val="center"/>
            <w:hideMark/>
          </w:tcPr>
          <w:p w14:paraId="6739E27A"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Chemical Products</w:t>
            </w:r>
          </w:p>
        </w:tc>
        <w:tc>
          <w:tcPr>
            <w:tcW w:w="512" w:type="pct"/>
            <w:shd w:val="clear" w:color="auto" w:fill="FFFFFF"/>
            <w:noWrap/>
            <w:vAlign w:val="center"/>
            <w:hideMark/>
          </w:tcPr>
          <w:p w14:paraId="32B23D96"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-4.38</w:t>
            </w:r>
          </w:p>
        </w:tc>
        <w:tc>
          <w:tcPr>
            <w:tcW w:w="512" w:type="pct"/>
            <w:shd w:val="clear" w:color="auto" w:fill="FFFFFF"/>
            <w:noWrap/>
            <w:vAlign w:val="center"/>
            <w:hideMark/>
          </w:tcPr>
          <w:p w14:paraId="7AF1601B"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1.14</w:t>
            </w:r>
          </w:p>
        </w:tc>
        <w:tc>
          <w:tcPr>
            <w:tcW w:w="408" w:type="pct"/>
            <w:shd w:val="clear" w:color="auto" w:fill="FFFFFF"/>
            <w:noWrap/>
            <w:vAlign w:val="center"/>
            <w:hideMark/>
          </w:tcPr>
          <w:p w14:paraId="531D6441"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-4.39</w:t>
            </w:r>
          </w:p>
        </w:tc>
        <w:tc>
          <w:tcPr>
            <w:tcW w:w="614" w:type="pct"/>
            <w:shd w:val="clear" w:color="auto" w:fill="FFFFFF"/>
            <w:noWrap/>
            <w:vAlign w:val="center"/>
            <w:hideMark/>
          </w:tcPr>
          <w:p w14:paraId="299BE72F"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1.14</w:t>
            </w:r>
          </w:p>
        </w:tc>
        <w:tc>
          <w:tcPr>
            <w:tcW w:w="386" w:type="pct"/>
            <w:shd w:val="clear" w:color="auto" w:fill="FFFFFF"/>
            <w:vAlign w:val="bottom"/>
          </w:tcPr>
          <w:p w14:paraId="775C4FDB" w14:textId="34CB55CD" w:rsidR="00F871D2" w:rsidRPr="003E22BE" w:rsidRDefault="00F871D2" w:rsidP="00F871D2">
            <w:pPr>
              <w:jc w:val="center"/>
              <w:rPr>
                <w:noProof/>
                <w:color w:val="auto"/>
                <w:sz w:val="22"/>
                <w:szCs w:val="22"/>
                <w:lang w:val="en-US"/>
              </w:rPr>
            </w:pPr>
            <w:r w:rsidRPr="00F871D2">
              <w:rPr>
                <w:noProof/>
                <w:color w:val="auto"/>
                <w:sz w:val="22"/>
                <w:szCs w:val="22"/>
                <w:lang w:val="en-US"/>
              </w:rPr>
              <w:t>0.03</w:t>
            </w:r>
          </w:p>
        </w:tc>
        <w:tc>
          <w:tcPr>
            <w:tcW w:w="386" w:type="pct"/>
            <w:shd w:val="clear" w:color="auto" w:fill="FFFFFF"/>
            <w:vAlign w:val="bottom"/>
          </w:tcPr>
          <w:p w14:paraId="106592CB" w14:textId="77A77841" w:rsidR="00F871D2" w:rsidRPr="003E22BE" w:rsidRDefault="00F871D2" w:rsidP="00F871D2">
            <w:pPr>
              <w:jc w:val="center"/>
              <w:rPr>
                <w:noProof/>
                <w:color w:val="auto"/>
                <w:sz w:val="22"/>
                <w:szCs w:val="22"/>
                <w:lang w:val="en-US"/>
              </w:rPr>
            </w:pPr>
            <w:r w:rsidRPr="00F871D2">
              <w:rPr>
                <w:noProof/>
                <w:color w:val="auto"/>
                <w:sz w:val="22"/>
                <w:szCs w:val="22"/>
                <w:lang w:val="en-US"/>
              </w:rPr>
              <w:t>-0.20</w:t>
            </w:r>
          </w:p>
        </w:tc>
        <w:tc>
          <w:tcPr>
            <w:tcW w:w="424" w:type="pct"/>
            <w:shd w:val="clear" w:color="auto" w:fill="FFFFFF"/>
            <w:vAlign w:val="bottom"/>
          </w:tcPr>
          <w:p w14:paraId="03B18708" w14:textId="0CA066E6" w:rsidR="00F871D2" w:rsidRPr="003E22BE" w:rsidRDefault="00F871D2" w:rsidP="00F871D2">
            <w:pPr>
              <w:jc w:val="center"/>
              <w:rPr>
                <w:noProof/>
                <w:color w:val="auto"/>
                <w:sz w:val="22"/>
                <w:szCs w:val="22"/>
                <w:lang w:val="en-US"/>
              </w:rPr>
            </w:pPr>
            <w:r w:rsidRPr="007871EB">
              <w:rPr>
                <w:noProof/>
                <w:color w:val="auto"/>
                <w:sz w:val="22"/>
                <w:szCs w:val="22"/>
                <w:lang w:val="en-US"/>
              </w:rPr>
              <w:t>0.03</w:t>
            </w:r>
          </w:p>
        </w:tc>
        <w:tc>
          <w:tcPr>
            <w:tcW w:w="424" w:type="pct"/>
            <w:shd w:val="clear" w:color="auto" w:fill="FFFFFF"/>
            <w:vAlign w:val="bottom"/>
          </w:tcPr>
          <w:p w14:paraId="51DAE7A6" w14:textId="00984360" w:rsidR="00F871D2" w:rsidRPr="003E22BE" w:rsidRDefault="00F871D2" w:rsidP="00F871D2">
            <w:pPr>
              <w:jc w:val="center"/>
              <w:rPr>
                <w:noProof/>
                <w:color w:val="auto"/>
                <w:sz w:val="22"/>
                <w:szCs w:val="22"/>
                <w:lang w:val="en-US"/>
              </w:rPr>
            </w:pPr>
            <w:r w:rsidRPr="007871EB">
              <w:rPr>
                <w:noProof/>
                <w:color w:val="auto"/>
                <w:sz w:val="22"/>
                <w:szCs w:val="22"/>
                <w:lang w:val="en-US"/>
              </w:rPr>
              <w:t>-0.20</w:t>
            </w:r>
          </w:p>
        </w:tc>
      </w:tr>
      <w:tr w:rsidR="00D44496" w:rsidRPr="004C2D15" w14:paraId="679EC816" w14:textId="16605B41" w:rsidTr="00D44496">
        <w:trPr>
          <w:trHeight w:val="310"/>
        </w:trPr>
        <w:tc>
          <w:tcPr>
            <w:tcW w:w="1334" w:type="pct"/>
            <w:shd w:val="clear" w:color="auto" w:fill="FFFFFF"/>
            <w:noWrap/>
            <w:vAlign w:val="center"/>
            <w:hideMark/>
          </w:tcPr>
          <w:p w14:paraId="3AC9994F"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Paper products, publishing</w:t>
            </w:r>
          </w:p>
        </w:tc>
        <w:tc>
          <w:tcPr>
            <w:tcW w:w="512" w:type="pct"/>
            <w:shd w:val="clear" w:color="auto" w:fill="FFFFFF"/>
            <w:noWrap/>
            <w:vAlign w:val="center"/>
            <w:hideMark/>
          </w:tcPr>
          <w:p w14:paraId="630B4071"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-0.33</w:t>
            </w:r>
          </w:p>
        </w:tc>
        <w:tc>
          <w:tcPr>
            <w:tcW w:w="512" w:type="pct"/>
            <w:shd w:val="clear" w:color="auto" w:fill="FFFFFF"/>
            <w:noWrap/>
            <w:vAlign w:val="center"/>
            <w:hideMark/>
          </w:tcPr>
          <w:p w14:paraId="41B41999"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0.00</w:t>
            </w:r>
          </w:p>
        </w:tc>
        <w:tc>
          <w:tcPr>
            <w:tcW w:w="408" w:type="pct"/>
            <w:shd w:val="clear" w:color="auto" w:fill="FFFFFF"/>
            <w:noWrap/>
            <w:vAlign w:val="center"/>
            <w:hideMark/>
          </w:tcPr>
          <w:p w14:paraId="7C321981"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-0.33</w:t>
            </w:r>
          </w:p>
        </w:tc>
        <w:tc>
          <w:tcPr>
            <w:tcW w:w="614" w:type="pct"/>
            <w:shd w:val="clear" w:color="auto" w:fill="FFFFFF"/>
            <w:noWrap/>
            <w:vAlign w:val="center"/>
            <w:hideMark/>
          </w:tcPr>
          <w:p w14:paraId="29096546"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0.00</w:t>
            </w:r>
          </w:p>
        </w:tc>
        <w:tc>
          <w:tcPr>
            <w:tcW w:w="386" w:type="pct"/>
            <w:shd w:val="clear" w:color="auto" w:fill="FFFFFF"/>
            <w:vAlign w:val="bottom"/>
          </w:tcPr>
          <w:p w14:paraId="0FAE9848" w14:textId="6EBD4D32" w:rsidR="00F871D2" w:rsidRPr="003E22BE" w:rsidRDefault="00F871D2" w:rsidP="00F871D2">
            <w:pPr>
              <w:jc w:val="center"/>
              <w:rPr>
                <w:noProof/>
                <w:color w:val="auto"/>
                <w:sz w:val="22"/>
                <w:szCs w:val="22"/>
                <w:lang w:val="en-US"/>
              </w:rPr>
            </w:pPr>
            <w:r w:rsidRPr="00F871D2">
              <w:rPr>
                <w:noProof/>
                <w:color w:val="auto"/>
                <w:sz w:val="22"/>
                <w:szCs w:val="22"/>
                <w:lang w:val="en-US"/>
              </w:rPr>
              <w:t>0.00</w:t>
            </w:r>
          </w:p>
        </w:tc>
        <w:tc>
          <w:tcPr>
            <w:tcW w:w="386" w:type="pct"/>
            <w:shd w:val="clear" w:color="auto" w:fill="FFFFFF"/>
            <w:vAlign w:val="bottom"/>
          </w:tcPr>
          <w:p w14:paraId="54CCE019" w14:textId="6F477378" w:rsidR="00F871D2" w:rsidRPr="003E22BE" w:rsidRDefault="00F871D2" w:rsidP="00F871D2">
            <w:pPr>
              <w:jc w:val="center"/>
              <w:rPr>
                <w:noProof/>
                <w:color w:val="auto"/>
                <w:sz w:val="22"/>
                <w:szCs w:val="22"/>
                <w:lang w:val="en-US"/>
              </w:rPr>
            </w:pPr>
            <w:r w:rsidRPr="00F871D2">
              <w:rPr>
                <w:noProof/>
                <w:color w:val="auto"/>
                <w:sz w:val="22"/>
                <w:szCs w:val="22"/>
                <w:lang w:val="en-US"/>
              </w:rPr>
              <w:t>0.00</w:t>
            </w:r>
          </w:p>
        </w:tc>
        <w:tc>
          <w:tcPr>
            <w:tcW w:w="424" w:type="pct"/>
            <w:tcBorders>
              <w:bottom w:val="single" w:sz="4" w:space="0" w:color="auto"/>
            </w:tcBorders>
            <w:shd w:val="clear" w:color="auto" w:fill="FFFFFF"/>
            <w:vAlign w:val="bottom"/>
          </w:tcPr>
          <w:p w14:paraId="78042E16" w14:textId="6C5D67BB" w:rsidR="00F871D2" w:rsidRPr="003E22BE" w:rsidRDefault="00F871D2" w:rsidP="00F871D2">
            <w:pPr>
              <w:jc w:val="center"/>
              <w:rPr>
                <w:noProof/>
                <w:color w:val="auto"/>
                <w:sz w:val="22"/>
                <w:szCs w:val="22"/>
                <w:lang w:val="en-US"/>
              </w:rPr>
            </w:pPr>
            <w:r w:rsidRPr="007871EB">
              <w:rPr>
                <w:noProof/>
                <w:color w:val="auto"/>
                <w:sz w:val="22"/>
                <w:szCs w:val="22"/>
                <w:lang w:val="en-US"/>
              </w:rPr>
              <w:t>0.00</w:t>
            </w:r>
          </w:p>
        </w:tc>
        <w:tc>
          <w:tcPr>
            <w:tcW w:w="424" w:type="pct"/>
            <w:tcBorders>
              <w:bottom w:val="single" w:sz="4" w:space="0" w:color="auto"/>
            </w:tcBorders>
            <w:shd w:val="clear" w:color="auto" w:fill="FFFFFF"/>
            <w:vAlign w:val="bottom"/>
          </w:tcPr>
          <w:p w14:paraId="099984E3" w14:textId="56615111" w:rsidR="00F871D2" w:rsidRPr="003E22BE" w:rsidRDefault="00F871D2" w:rsidP="00F871D2">
            <w:pPr>
              <w:jc w:val="center"/>
              <w:rPr>
                <w:noProof/>
                <w:color w:val="auto"/>
                <w:sz w:val="22"/>
                <w:szCs w:val="22"/>
                <w:lang w:val="en-US"/>
              </w:rPr>
            </w:pPr>
            <w:r w:rsidRPr="007871EB">
              <w:rPr>
                <w:noProof/>
                <w:color w:val="auto"/>
                <w:sz w:val="22"/>
                <w:szCs w:val="22"/>
                <w:lang w:val="en-US"/>
              </w:rPr>
              <w:t>0.00</w:t>
            </w:r>
          </w:p>
        </w:tc>
      </w:tr>
      <w:tr w:rsidR="00E9113F" w:rsidRPr="004C2D15" w14:paraId="0791E4C9" w14:textId="09F516BD" w:rsidTr="00D44496">
        <w:trPr>
          <w:trHeight w:val="310"/>
        </w:trPr>
        <w:tc>
          <w:tcPr>
            <w:tcW w:w="1334" w:type="pct"/>
            <w:shd w:val="clear" w:color="auto" w:fill="FFFFFF"/>
            <w:noWrap/>
            <w:vAlign w:val="center"/>
            <w:hideMark/>
          </w:tcPr>
          <w:p w14:paraId="516EF2D8"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Non-metallic minerals</w:t>
            </w:r>
          </w:p>
        </w:tc>
        <w:tc>
          <w:tcPr>
            <w:tcW w:w="512" w:type="pct"/>
            <w:tcBorders>
              <w:top w:val="single" w:sz="4" w:space="0" w:color="auto"/>
              <w:bottom w:val="single" w:sz="4" w:space="0" w:color="auto"/>
              <w:right w:val="single" w:sz="4" w:space="0" w:color="auto"/>
            </w:tcBorders>
            <w:shd w:val="clear" w:color="auto" w:fill="FFFFFF"/>
            <w:noWrap/>
            <w:vAlign w:val="center"/>
            <w:hideMark/>
          </w:tcPr>
          <w:p w14:paraId="2867362A"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-5.66</w:t>
            </w:r>
          </w:p>
        </w:tc>
        <w:tc>
          <w:tcPr>
            <w:tcW w:w="51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95C01A"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1.89</w:t>
            </w:r>
          </w:p>
        </w:tc>
        <w:tc>
          <w:tcPr>
            <w:tcW w:w="408"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1AA4E1"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-5.74</w:t>
            </w:r>
          </w:p>
        </w:tc>
        <w:tc>
          <w:tcPr>
            <w:tcW w:w="61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340B0D" w14:textId="77777777" w:rsidR="00F871D2" w:rsidRPr="003E22BE" w:rsidRDefault="00F871D2" w:rsidP="00F871D2">
            <w:pPr>
              <w:jc w:val="center"/>
              <w:rPr>
                <w:noProof/>
                <w:color w:val="auto"/>
                <w:sz w:val="22"/>
                <w:szCs w:val="22"/>
                <w:lang w:val="en-US"/>
              </w:rPr>
            </w:pPr>
            <w:r w:rsidRPr="003E22BE">
              <w:rPr>
                <w:noProof/>
                <w:color w:val="auto"/>
                <w:sz w:val="22"/>
                <w:szCs w:val="22"/>
                <w:lang w:val="en-US"/>
              </w:rPr>
              <w:t>1.85</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bottom"/>
          </w:tcPr>
          <w:p w14:paraId="13E16A67" w14:textId="2325A99F" w:rsidR="00F871D2" w:rsidRPr="003E22BE" w:rsidRDefault="00F871D2" w:rsidP="00F871D2">
            <w:pPr>
              <w:jc w:val="center"/>
              <w:rPr>
                <w:noProof/>
                <w:color w:val="auto"/>
                <w:sz w:val="22"/>
                <w:szCs w:val="22"/>
                <w:lang w:val="en-US"/>
              </w:rPr>
            </w:pPr>
            <w:r w:rsidRPr="00F871D2">
              <w:rPr>
                <w:noProof/>
                <w:color w:val="auto"/>
                <w:sz w:val="22"/>
                <w:szCs w:val="22"/>
                <w:lang w:val="en-US"/>
              </w:rPr>
              <w:t>0.03</w:t>
            </w:r>
          </w:p>
        </w:tc>
        <w:tc>
          <w:tcPr>
            <w:tcW w:w="386" w:type="pct"/>
            <w:tcBorders>
              <w:top w:val="single" w:sz="4" w:space="0" w:color="auto"/>
              <w:left w:val="single" w:sz="4" w:space="0" w:color="auto"/>
              <w:bottom w:val="single" w:sz="4" w:space="0" w:color="auto"/>
              <w:right w:val="single" w:sz="4" w:space="0" w:color="auto"/>
            </w:tcBorders>
            <w:shd w:val="clear" w:color="auto" w:fill="FFFFFF"/>
            <w:vAlign w:val="bottom"/>
          </w:tcPr>
          <w:p w14:paraId="466D5852" w14:textId="76E9094E" w:rsidR="00F871D2" w:rsidRPr="003E22BE" w:rsidRDefault="00F871D2" w:rsidP="00F871D2">
            <w:pPr>
              <w:jc w:val="center"/>
              <w:rPr>
                <w:noProof/>
                <w:color w:val="auto"/>
                <w:sz w:val="22"/>
                <w:szCs w:val="22"/>
                <w:lang w:val="en-US"/>
              </w:rPr>
            </w:pPr>
            <w:r w:rsidRPr="00F871D2">
              <w:rPr>
                <w:noProof/>
                <w:color w:val="auto"/>
                <w:sz w:val="22"/>
                <w:szCs w:val="22"/>
                <w:lang w:val="en-US"/>
              </w:rPr>
              <w:t>-0.13</w:t>
            </w:r>
          </w:p>
        </w:tc>
        <w:tc>
          <w:tcPr>
            <w:tcW w:w="424" w:type="pct"/>
            <w:tcBorders>
              <w:top w:val="single" w:sz="4" w:space="0" w:color="auto"/>
              <w:left w:val="single" w:sz="4" w:space="0" w:color="auto"/>
              <w:bottom w:val="single" w:sz="4" w:space="0" w:color="auto"/>
              <w:right w:val="single" w:sz="4" w:space="0" w:color="auto"/>
            </w:tcBorders>
            <w:shd w:val="clear" w:color="auto" w:fill="FFFFFF"/>
            <w:vAlign w:val="bottom"/>
          </w:tcPr>
          <w:p w14:paraId="549EE94F" w14:textId="6E6FE059" w:rsidR="00F871D2" w:rsidRPr="003E22BE" w:rsidRDefault="00F871D2" w:rsidP="00F871D2">
            <w:pPr>
              <w:jc w:val="center"/>
              <w:rPr>
                <w:noProof/>
                <w:color w:val="auto"/>
                <w:sz w:val="22"/>
                <w:szCs w:val="22"/>
                <w:lang w:val="en-US"/>
              </w:rPr>
            </w:pPr>
            <w:r w:rsidRPr="007871EB">
              <w:rPr>
                <w:noProof/>
                <w:color w:val="auto"/>
                <w:sz w:val="22"/>
                <w:szCs w:val="22"/>
                <w:lang w:val="en-US"/>
              </w:rPr>
              <w:t>0.04</w:t>
            </w:r>
          </w:p>
        </w:tc>
        <w:tc>
          <w:tcPr>
            <w:tcW w:w="424" w:type="pct"/>
            <w:tcBorders>
              <w:top w:val="single" w:sz="4" w:space="0" w:color="auto"/>
              <w:left w:val="single" w:sz="4" w:space="0" w:color="auto"/>
              <w:bottom w:val="single" w:sz="4" w:space="0" w:color="auto"/>
              <w:right w:val="single" w:sz="4" w:space="0" w:color="auto"/>
            </w:tcBorders>
            <w:shd w:val="clear" w:color="auto" w:fill="FFFFFF"/>
            <w:vAlign w:val="bottom"/>
          </w:tcPr>
          <w:p w14:paraId="1A7618F8" w14:textId="54FEBB1B" w:rsidR="00F871D2" w:rsidRPr="003E22BE" w:rsidRDefault="00F871D2" w:rsidP="00F871D2">
            <w:pPr>
              <w:jc w:val="center"/>
              <w:rPr>
                <w:noProof/>
                <w:color w:val="auto"/>
                <w:sz w:val="22"/>
                <w:szCs w:val="22"/>
                <w:lang w:val="en-US"/>
              </w:rPr>
            </w:pPr>
            <w:r w:rsidRPr="007871EB">
              <w:rPr>
                <w:noProof/>
                <w:color w:val="auto"/>
                <w:sz w:val="22"/>
                <w:szCs w:val="22"/>
                <w:lang w:val="en-US"/>
              </w:rPr>
              <w:t>-0.14</w:t>
            </w:r>
          </w:p>
        </w:tc>
      </w:tr>
    </w:tbl>
    <w:p w14:paraId="21D825A9" w14:textId="6009B9B3" w:rsidR="003E22BE" w:rsidRPr="0034207B" w:rsidRDefault="00697A88" w:rsidP="0034207B">
      <w:pPr>
        <w:pStyle w:val="BodyText"/>
        <w:spacing w:after="240"/>
        <w:rPr>
          <w:rFonts w:cs="Times New Roman"/>
          <w:i/>
          <w:iCs/>
          <w:noProof/>
          <w:sz w:val="20"/>
          <w:szCs w:val="20"/>
          <w:lang w:eastAsia="en-GB"/>
        </w:rPr>
      </w:pPr>
      <w:r w:rsidRPr="000653A9">
        <w:rPr>
          <w:rFonts w:cs="Times New Roman"/>
          <w:i/>
          <w:iCs/>
          <w:noProof/>
          <w:sz w:val="20"/>
          <w:szCs w:val="20"/>
          <w:lang w:eastAsia="en-GB"/>
        </w:rPr>
        <w:t>Source:</w:t>
      </w:r>
      <w:r w:rsidRPr="000653A9">
        <w:rPr>
          <w:i/>
          <w:iCs/>
          <w:noProof/>
          <w:sz w:val="22"/>
          <w:szCs w:val="22"/>
        </w:rPr>
        <w:tab/>
      </w:r>
      <w:r w:rsidRPr="000653A9">
        <w:rPr>
          <w:rFonts w:cs="Times New Roman"/>
          <w:i/>
          <w:iCs/>
          <w:noProof/>
          <w:sz w:val="20"/>
          <w:szCs w:val="20"/>
          <w:lang w:eastAsia="en-GB"/>
        </w:rPr>
        <w:t>GEM-E3 model (2025)</w:t>
      </w:r>
    </w:p>
    <w:p w14:paraId="49762E26" w14:textId="51A29944" w:rsidR="00E3682D" w:rsidRPr="000653A9" w:rsidRDefault="00BF257B" w:rsidP="00794BC8">
      <w:pPr>
        <w:pStyle w:val="Heading5COM"/>
        <w:outlineLvl w:val="5"/>
        <w:rPr>
          <w:noProof/>
        </w:rPr>
      </w:pPr>
      <w:bookmarkStart w:id="484" w:name="_Toc219902795"/>
      <w:bookmarkStart w:id="485" w:name="_Toc219902796"/>
      <w:bookmarkStart w:id="486" w:name="_Toc219902797"/>
      <w:bookmarkStart w:id="487" w:name="_Toc219902798"/>
      <w:bookmarkStart w:id="488" w:name="_Toc219902799"/>
      <w:bookmarkStart w:id="489" w:name="_Toc219902800"/>
      <w:bookmarkStart w:id="490" w:name="_Toc219902801"/>
      <w:bookmarkStart w:id="491" w:name="_Toc230857926"/>
      <w:bookmarkStart w:id="492" w:name="_Toc232751117"/>
      <w:bookmarkEnd w:id="484"/>
      <w:bookmarkEnd w:id="485"/>
      <w:bookmarkEnd w:id="486"/>
      <w:bookmarkEnd w:id="487"/>
      <w:bookmarkEnd w:id="488"/>
      <w:bookmarkEnd w:id="489"/>
      <w:bookmarkEnd w:id="490"/>
      <w:r w:rsidRPr="000653A9">
        <w:rPr>
          <w:noProof/>
        </w:rPr>
        <w:t>I</w:t>
      </w:r>
      <w:r w:rsidR="00C6751F" w:rsidRPr="000653A9">
        <w:rPr>
          <w:noProof/>
        </w:rPr>
        <w:t xml:space="preserve">ndirect </w:t>
      </w:r>
      <w:r w:rsidRPr="000653A9">
        <w:rPr>
          <w:noProof/>
        </w:rPr>
        <w:t>cost compensation</w:t>
      </w:r>
      <w:bookmarkEnd w:id="491"/>
      <w:bookmarkEnd w:id="492"/>
    </w:p>
    <w:p w14:paraId="7B05A429" w14:textId="3BA18A00" w:rsidR="00324B5A" w:rsidRPr="000653A9" w:rsidRDefault="005252C7" w:rsidP="2984B228">
      <w:pPr>
        <w:rPr>
          <w:rFonts w:eastAsia="Times New Roman"/>
          <w:noProof/>
          <w:color w:val="auto"/>
        </w:rPr>
      </w:pPr>
      <w:r w:rsidRPr="000653A9">
        <w:rPr>
          <w:rFonts w:eastAsia="Times New Roman"/>
          <w:noProof/>
          <w:color w:val="auto"/>
        </w:rPr>
        <w:t xml:space="preserve">In principle, ICC compensation contributes to positive environmental outcomes by </w:t>
      </w:r>
      <w:r w:rsidR="00675668" w:rsidRPr="000653A9">
        <w:rPr>
          <w:rFonts w:eastAsia="Times New Roman"/>
          <w:noProof/>
          <w:color w:val="auto"/>
        </w:rPr>
        <w:t>avoiding carbon leakage in electro-intensive sectors</w:t>
      </w:r>
      <w:r w:rsidR="00F762F2" w:rsidRPr="000653A9">
        <w:rPr>
          <w:rFonts w:eastAsia="Times New Roman"/>
          <w:noProof/>
          <w:color w:val="auto"/>
        </w:rPr>
        <w:t xml:space="preserve"> and /or incentivising electrification of industrial processes </w:t>
      </w:r>
      <w:r w:rsidR="007850DB" w:rsidRPr="000653A9">
        <w:rPr>
          <w:rFonts w:eastAsia="Times New Roman"/>
          <w:noProof/>
          <w:color w:val="auto"/>
        </w:rPr>
        <w:t>that would otherwise</w:t>
      </w:r>
      <w:r w:rsidR="00050890" w:rsidRPr="000653A9">
        <w:rPr>
          <w:rFonts w:eastAsia="Times New Roman"/>
          <w:noProof/>
          <w:color w:val="auto"/>
        </w:rPr>
        <w:t xml:space="preserve"> emit GHGs directly.</w:t>
      </w:r>
      <w:r w:rsidR="00AA5547" w:rsidRPr="000653A9">
        <w:rPr>
          <w:rFonts w:eastAsia="Times New Roman"/>
          <w:noProof/>
          <w:color w:val="auto"/>
        </w:rPr>
        <w:t xml:space="preserve"> </w:t>
      </w:r>
    </w:p>
    <w:p w14:paraId="3AD4E4EE" w14:textId="0DFC18D1" w:rsidR="00050890" w:rsidRPr="000653A9" w:rsidRDefault="00EC7373" w:rsidP="2984B228">
      <w:pPr>
        <w:rPr>
          <w:rFonts w:eastAsia="Times New Roman"/>
          <w:noProof/>
          <w:color w:val="auto"/>
        </w:rPr>
      </w:pPr>
      <w:r w:rsidRPr="000653A9">
        <w:rPr>
          <w:rFonts w:eastAsia="Times New Roman"/>
          <w:noProof/>
          <w:color w:val="auto"/>
        </w:rPr>
        <w:t>The potential benefit of industrial electrification is large</w:t>
      </w:r>
      <w:r w:rsidR="005E1200" w:rsidRPr="000653A9">
        <w:rPr>
          <w:rFonts w:eastAsia="Times New Roman"/>
          <w:noProof/>
          <w:color w:val="auto"/>
        </w:rPr>
        <w:t xml:space="preserve">. There are </w:t>
      </w:r>
      <w:r w:rsidR="00B3035B" w:rsidRPr="000653A9">
        <w:rPr>
          <w:rFonts w:eastAsia="Times New Roman"/>
          <w:noProof/>
          <w:color w:val="auto"/>
        </w:rPr>
        <w:t xml:space="preserve">available technologies capable of meeting 60% of European industrial </w:t>
      </w:r>
      <w:r w:rsidR="00C7531F" w:rsidRPr="000653A9">
        <w:rPr>
          <w:rFonts w:eastAsia="Times New Roman"/>
          <w:noProof/>
          <w:color w:val="auto"/>
        </w:rPr>
        <w:t>process heat</w:t>
      </w:r>
      <w:r w:rsidR="00B3035B" w:rsidRPr="000653A9">
        <w:rPr>
          <w:rFonts w:eastAsia="Times New Roman"/>
          <w:noProof/>
          <w:color w:val="auto"/>
        </w:rPr>
        <w:t xml:space="preserve"> demand today, and 90% by 2035</w:t>
      </w:r>
      <w:r w:rsidR="00C7531F" w:rsidRPr="000653A9">
        <w:rPr>
          <w:rStyle w:val="FootnoteReference"/>
          <w:rFonts w:eastAsia="Times New Roman"/>
          <w:noProof/>
          <w:color w:val="auto"/>
        </w:rPr>
        <w:footnoteReference w:id="30"/>
      </w:r>
      <w:r w:rsidR="00B3035B" w:rsidRPr="000653A9">
        <w:rPr>
          <w:rFonts w:eastAsia="Times New Roman"/>
          <w:noProof/>
          <w:color w:val="auto"/>
        </w:rPr>
        <w:t>.</w:t>
      </w:r>
      <w:r w:rsidR="00AF783E" w:rsidRPr="000653A9">
        <w:rPr>
          <w:rFonts w:eastAsia="Times New Roman"/>
          <w:noProof/>
          <w:color w:val="auto"/>
        </w:rPr>
        <w:t xml:space="preserve"> However, </w:t>
      </w:r>
      <w:r w:rsidR="00890B18" w:rsidRPr="000653A9">
        <w:rPr>
          <w:rFonts w:eastAsia="Times New Roman"/>
          <w:noProof/>
          <w:color w:val="auto"/>
        </w:rPr>
        <w:t xml:space="preserve">the net </w:t>
      </w:r>
      <w:r w:rsidR="00AF783E" w:rsidRPr="000653A9">
        <w:rPr>
          <w:rFonts w:eastAsia="Times New Roman"/>
          <w:noProof/>
          <w:color w:val="auto"/>
        </w:rPr>
        <w:t>benefit</w:t>
      </w:r>
      <w:r w:rsidR="00890B18" w:rsidRPr="000653A9">
        <w:rPr>
          <w:rFonts w:eastAsia="Times New Roman"/>
          <w:noProof/>
          <w:color w:val="auto"/>
        </w:rPr>
        <w:t xml:space="preserve"> in terms of emissions reduction is</w:t>
      </w:r>
      <w:r w:rsidR="00AF783E" w:rsidRPr="000653A9">
        <w:rPr>
          <w:rFonts w:eastAsia="Times New Roman"/>
          <w:noProof/>
          <w:color w:val="auto"/>
        </w:rPr>
        <w:t xml:space="preserve"> difficult to quantify due</w:t>
      </w:r>
      <w:r w:rsidR="00890B18" w:rsidRPr="000653A9">
        <w:rPr>
          <w:rFonts w:eastAsia="Times New Roman"/>
          <w:noProof/>
          <w:color w:val="auto"/>
        </w:rPr>
        <w:t xml:space="preserve"> to</w:t>
      </w:r>
      <w:r w:rsidR="00AF783E" w:rsidRPr="000653A9">
        <w:rPr>
          <w:rFonts w:eastAsia="Times New Roman"/>
          <w:noProof/>
          <w:color w:val="auto"/>
        </w:rPr>
        <w:t xml:space="preserve"> the variety of </w:t>
      </w:r>
      <w:r w:rsidR="008F5858" w:rsidRPr="000653A9">
        <w:rPr>
          <w:rFonts w:eastAsia="Times New Roman"/>
          <w:noProof/>
          <w:color w:val="auto"/>
        </w:rPr>
        <w:t xml:space="preserve">industrial processes concerned and the need to consider </w:t>
      </w:r>
      <w:r w:rsidR="005850C3" w:rsidRPr="000653A9">
        <w:rPr>
          <w:rFonts w:eastAsia="Times New Roman"/>
          <w:noProof/>
          <w:color w:val="auto"/>
        </w:rPr>
        <w:t>emissions that may arise from additional electricity consumption.</w:t>
      </w:r>
    </w:p>
    <w:p w14:paraId="15D0FC38" w14:textId="23790239" w:rsidR="00C506CF" w:rsidRPr="000653A9" w:rsidRDefault="00310B9A" w:rsidP="2984B228">
      <w:pPr>
        <w:rPr>
          <w:rFonts w:eastAsia="Times New Roman"/>
          <w:noProof/>
          <w:color w:val="auto"/>
        </w:rPr>
      </w:pPr>
      <w:r w:rsidRPr="000653A9">
        <w:rPr>
          <w:rFonts w:eastAsia="Times New Roman"/>
          <w:noProof/>
          <w:color w:val="auto"/>
        </w:rPr>
        <w:t xml:space="preserve">Failure to </w:t>
      </w:r>
      <w:r w:rsidR="00F206AB" w:rsidRPr="000653A9">
        <w:rPr>
          <w:rFonts w:eastAsia="Times New Roman"/>
          <w:noProof/>
          <w:color w:val="auto"/>
        </w:rPr>
        <w:t>compensate for</w:t>
      </w:r>
      <w:r w:rsidRPr="000653A9">
        <w:rPr>
          <w:rFonts w:eastAsia="Times New Roman"/>
          <w:noProof/>
          <w:color w:val="auto"/>
        </w:rPr>
        <w:t xml:space="preserve"> ICC would nevertheless be suboptimal from an environmental point of view</w:t>
      </w:r>
      <w:r w:rsidR="00F206AB" w:rsidRPr="000653A9">
        <w:rPr>
          <w:rFonts w:eastAsia="Times New Roman"/>
          <w:noProof/>
          <w:color w:val="auto"/>
        </w:rPr>
        <w:t xml:space="preserve">. </w:t>
      </w:r>
      <w:r w:rsidR="007F51D8" w:rsidRPr="000653A9">
        <w:rPr>
          <w:rFonts w:eastAsia="Times New Roman"/>
          <w:noProof/>
          <w:color w:val="auto"/>
        </w:rPr>
        <w:t>Since fossil fuel</w:t>
      </w:r>
      <w:r w:rsidR="006B3C1F" w:rsidRPr="000653A9">
        <w:rPr>
          <w:rFonts w:eastAsia="Times New Roman"/>
          <w:noProof/>
          <w:color w:val="auto"/>
        </w:rPr>
        <w:t xml:space="preserve">s </w:t>
      </w:r>
      <w:r w:rsidR="007F51D8" w:rsidRPr="000653A9">
        <w:rPr>
          <w:rFonts w:eastAsia="Times New Roman"/>
          <w:noProof/>
          <w:color w:val="auto"/>
        </w:rPr>
        <w:t xml:space="preserve">often </w:t>
      </w:r>
      <w:r w:rsidR="006B3C1F" w:rsidRPr="000653A9">
        <w:rPr>
          <w:rFonts w:eastAsia="Times New Roman"/>
          <w:noProof/>
          <w:color w:val="auto"/>
        </w:rPr>
        <w:t xml:space="preserve">constitute </w:t>
      </w:r>
      <w:r w:rsidR="007F51D8" w:rsidRPr="000653A9">
        <w:rPr>
          <w:rFonts w:eastAsia="Times New Roman"/>
          <w:noProof/>
          <w:color w:val="auto"/>
        </w:rPr>
        <w:t xml:space="preserve">the marginal </w:t>
      </w:r>
      <w:r w:rsidR="006B3C1F" w:rsidRPr="000653A9">
        <w:rPr>
          <w:rFonts w:eastAsia="Times New Roman"/>
          <w:noProof/>
          <w:color w:val="auto"/>
        </w:rPr>
        <w:t xml:space="preserve">electricity </w:t>
      </w:r>
      <w:r w:rsidR="007F51D8" w:rsidRPr="000653A9">
        <w:rPr>
          <w:rFonts w:eastAsia="Times New Roman"/>
          <w:noProof/>
          <w:color w:val="auto"/>
        </w:rPr>
        <w:t>generation</w:t>
      </w:r>
      <w:r w:rsidR="006B3C1F" w:rsidRPr="000653A9">
        <w:rPr>
          <w:rFonts w:eastAsia="Times New Roman"/>
          <w:noProof/>
          <w:color w:val="auto"/>
        </w:rPr>
        <w:t xml:space="preserve"> technology, a carbon cost is often passed onto </w:t>
      </w:r>
      <w:r w:rsidR="00DF3D80" w:rsidRPr="000653A9">
        <w:rPr>
          <w:rFonts w:eastAsia="Times New Roman"/>
          <w:noProof/>
          <w:color w:val="auto"/>
        </w:rPr>
        <w:t xml:space="preserve">electricity consumers that is </w:t>
      </w:r>
      <w:r w:rsidR="006459E1" w:rsidRPr="000653A9">
        <w:rPr>
          <w:rFonts w:eastAsia="Times New Roman"/>
          <w:noProof/>
          <w:color w:val="auto"/>
        </w:rPr>
        <w:t>more than</w:t>
      </w:r>
      <w:r w:rsidR="00525871" w:rsidRPr="000653A9">
        <w:rPr>
          <w:rFonts w:eastAsia="Times New Roman"/>
          <w:noProof/>
          <w:color w:val="auto"/>
        </w:rPr>
        <w:t xml:space="preserve"> the</w:t>
      </w:r>
      <w:r w:rsidR="00DF3D80" w:rsidRPr="000653A9">
        <w:rPr>
          <w:rFonts w:eastAsia="Times New Roman"/>
          <w:noProof/>
          <w:color w:val="auto"/>
        </w:rPr>
        <w:t xml:space="preserve"> direct carbon cost paid by electricity </w:t>
      </w:r>
      <w:r w:rsidR="00151387" w:rsidRPr="000653A9">
        <w:rPr>
          <w:rFonts w:eastAsia="Times New Roman"/>
          <w:noProof/>
          <w:color w:val="auto"/>
        </w:rPr>
        <w:t>generators for their embedded emissions</w:t>
      </w:r>
      <w:r w:rsidR="002C5BB0" w:rsidRPr="000653A9">
        <w:rPr>
          <w:rFonts w:eastAsia="Times New Roman"/>
          <w:noProof/>
          <w:color w:val="auto"/>
        </w:rPr>
        <w:t xml:space="preserve"> (i.e. this carbon cost is effectively paid by all consumers on the wholesale electricity market, even if a lot of this electricity is zero carbon)</w:t>
      </w:r>
      <w:r w:rsidR="00151387" w:rsidRPr="000653A9">
        <w:rPr>
          <w:rFonts w:eastAsia="Times New Roman"/>
          <w:noProof/>
          <w:color w:val="auto"/>
        </w:rPr>
        <w:t>.</w:t>
      </w:r>
      <w:r w:rsidR="007F51D8" w:rsidRPr="000653A9">
        <w:rPr>
          <w:rFonts w:eastAsia="Times New Roman"/>
          <w:noProof/>
          <w:color w:val="auto"/>
        </w:rPr>
        <w:t xml:space="preserve"> </w:t>
      </w:r>
      <w:r w:rsidR="002C7BDF" w:rsidRPr="000653A9">
        <w:rPr>
          <w:rFonts w:eastAsia="Times New Roman"/>
          <w:noProof/>
          <w:color w:val="auto"/>
        </w:rPr>
        <w:t>This</w:t>
      </w:r>
      <w:r w:rsidR="00232CD6" w:rsidRPr="000653A9">
        <w:rPr>
          <w:rFonts w:eastAsia="Times New Roman"/>
          <w:noProof/>
          <w:color w:val="auto"/>
        </w:rPr>
        <w:t xml:space="preserve"> in turn</w:t>
      </w:r>
      <w:r w:rsidR="002C7BDF" w:rsidRPr="000653A9">
        <w:rPr>
          <w:rFonts w:eastAsia="Times New Roman"/>
          <w:noProof/>
          <w:color w:val="auto"/>
        </w:rPr>
        <w:t xml:space="preserve"> has the effect of</w:t>
      </w:r>
      <w:r w:rsidR="00232CD6" w:rsidRPr="000653A9">
        <w:rPr>
          <w:rFonts w:eastAsia="Times New Roman"/>
          <w:noProof/>
          <w:color w:val="auto"/>
        </w:rPr>
        <w:t xml:space="preserve"> discouraging electrified industrial processes and</w:t>
      </w:r>
      <w:r w:rsidR="002C7BDF" w:rsidRPr="000653A9">
        <w:rPr>
          <w:rFonts w:eastAsia="Times New Roman"/>
          <w:noProof/>
          <w:color w:val="auto"/>
        </w:rPr>
        <w:t xml:space="preserve"> incentivising the use of </w:t>
      </w:r>
      <w:r w:rsidR="00525871" w:rsidRPr="000653A9">
        <w:rPr>
          <w:rFonts w:eastAsia="Times New Roman"/>
          <w:noProof/>
          <w:color w:val="auto"/>
        </w:rPr>
        <w:t xml:space="preserve">processes that </w:t>
      </w:r>
      <w:r w:rsidR="00232CD6" w:rsidRPr="000653A9">
        <w:rPr>
          <w:rFonts w:eastAsia="Times New Roman"/>
          <w:noProof/>
          <w:color w:val="auto"/>
        </w:rPr>
        <w:t>emit GHGs directly</w:t>
      </w:r>
      <w:r w:rsidR="00F963B7" w:rsidRPr="000653A9">
        <w:rPr>
          <w:rFonts w:eastAsia="Times New Roman"/>
          <w:noProof/>
          <w:color w:val="auto"/>
        </w:rPr>
        <w:t xml:space="preserve">, </w:t>
      </w:r>
      <w:r w:rsidR="00D039AA" w:rsidRPr="000653A9">
        <w:rPr>
          <w:rFonts w:eastAsia="Times New Roman"/>
          <w:noProof/>
          <w:color w:val="auto"/>
        </w:rPr>
        <w:t xml:space="preserve">on top </w:t>
      </w:r>
      <w:r w:rsidR="00F963B7" w:rsidRPr="000653A9">
        <w:rPr>
          <w:rFonts w:eastAsia="Times New Roman"/>
          <w:noProof/>
          <w:color w:val="auto"/>
        </w:rPr>
        <w:t xml:space="preserve">of the fact that free allowances are available for </w:t>
      </w:r>
      <w:r w:rsidR="000A076A" w:rsidRPr="000653A9">
        <w:rPr>
          <w:rFonts w:eastAsia="Times New Roman"/>
          <w:noProof/>
          <w:color w:val="auto"/>
        </w:rPr>
        <w:t>direct</w:t>
      </w:r>
      <w:r w:rsidR="00F963B7" w:rsidRPr="000653A9">
        <w:rPr>
          <w:rFonts w:eastAsia="Times New Roman"/>
          <w:noProof/>
          <w:color w:val="auto"/>
        </w:rPr>
        <w:t xml:space="preserve"> emissions</w:t>
      </w:r>
      <w:r w:rsidR="00C506CF" w:rsidRPr="000653A9">
        <w:rPr>
          <w:rFonts w:eastAsia="Times New Roman"/>
          <w:noProof/>
          <w:color w:val="auto"/>
        </w:rPr>
        <w:t>.</w:t>
      </w:r>
    </w:p>
    <w:p w14:paraId="11587710" w14:textId="71F40BC5" w:rsidR="00DC63F8" w:rsidRPr="000653A9" w:rsidRDefault="00DC63F8" w:rsidP="00FF38B3">
      <w:pPr>
        <w:pStyle w:val="Heading3COM"/>
        <w:rPr>
          <w:noProof/>
        </w:rPr>
      </w:pPr>
      <w:bookmarkStart w:id="493" w:name="_Toc211284358"/>
      <w:bookmarkStart w:id="494" w:name="_Toc211284359"/>
      <w:bookmarkStart w:id="495" w:name="_Toc211284360"/>
      <w:bookmarkStart w:id="496" w:name="_Toc211284361"/>
      <w:bookmarkStart w:id="497" w:name="_Toc211284362"/>
      <w:bookmarkStart w:id="498" w:name="_Toc211284363"/>
      <w:bookmarkStart w:id="499" w:name="_Toc211284364"/>
      <w:bookmarkStart w:id="500" w:name="_Toc211284365"/>
      <w:bookmarkStart w:id="501" w:name="_Toc211284366"/>
      <w:bookmarkStart w:id="502" w:name="_Toc211284367"/>
      <w:bookmarkStart w:id="503" w:name="_Toc211284368"/>
      <w:bookmarkStart w:id="504" w:name="_Toc211284369"/>
      <w:bookmarkStart w:id="505" w:name="_Toc211284370"/>
      <w:bookmarkStart w:id="506" w:name="_Toc211284371"/>
      <w:bookmarkStart w:id="507" w:name="_Toc211284372"/>
      <w:bookmarkStart w:id="508" w:name="_Toc211284373"/>
      <w:bookmarkStart w:id="509" w:name="_Toc211284374"/>
      <w:bookmarkStart w:id="510" w:name="_Toc211284377"/>
      <w:bookmarkStart w:id="511" w:name="_Toc211284419"/>
      <w:bookmarkStart w:id="512" w:name="_Toc211284420"/>
      <w:bookmarkStart w:id="513" w:name="_Toc211284421"/>
      <w:bookmarkStart w:id="514" w:name="_Toc211284467"/>
      <w:bookmarkStart w:id="515" w:name="_Toc211284468"/>
      <w:bookmarkStart w:id="516" w:name="_Toc211284514"/>
      <w:bookmarkStart w:id="517" w:name="_Toc211284515"/>
      <w:bookmarkStart w:id="518" w:name="_Toc211284516"/>
      <w:bookmarkStart w:id="519" w:name="_Toc211284517"/>
      <w:bookmarkStart w:id="520" w:name="_Toc211284518"/>
      <w:bookmarkStart w:id="521" w:name="_Toc204154654"/>
      <w:bookmarkStart w:id="522" w:name="_Toc211518742"/>
      <w:bookmarkStart w:id="523" w:name="_Toc212049724"/>
      <w:bookmarkStart w:id="524" w:name="_Toc230857927"/>
      <w:bookmarkStart w:id="525" w:name="_Toc232751118"/>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noProof/>
        </w:rPr>
        <w:t>Summary</w:t>
      </w:r>
      <w:bookmarkEnd w:id="521"/>
      <w:bookmarkEnd w:id="522"/>
      <w:bookmarkEnd w:id="523"/>
      <w:bookmarkEnd w:id="524"/>
      <w:bookmarkEnd w:id="525"/>
    </w:p>
    <w:p w14:paraId="72A2D51F" w14:textId="668D5E4B" w:rsidR="002C25EB" w:rsidRDefault="002A7D99" w:rsidP="000E1776">
      <w:pPr>
        <w:rPr>
          <w:noProof/>
          <w:color w:val="auto"/>
        </w:rPr>
      </w:pPr>
      <w:r>
        <w:rPr>
          <w:noProof/>
          <w:color w:val="auto"/>
        </w:rPr>
        <w:t xml:space="preserve">The assessment in the </w:t>
      </w:r>
      <w:r w:rsidR="00935E4F">
        <w:rPr>
          <w:noProof/>
          <w:color w:val="auto"/>
        </w:rPr>
        <w:t xml:space="preserve">previous sections show the relative effects of the different </w:t>
      </w:r>
      <w:r w:rsidR="00B80312">
        <w:rPr>
          <w:noProof/>
          <w:color w:val="auto"/>
        </w:rPr>
        <w:t xml:space="preserve">policy measures against the baseline. </w:t>
      </w:r>
      <w:r w:rsidR="00AE2803">
        <w:rPr>
          <w:noProof/>
          <w:color w:val="auto"/>
        </w:rPr>
        <w:t>On most</w:t>
      </w:r>
      <w:r w:rsidR="001C02B8">
        <w:rPr>
          <w:noProof/>
          <w:color w:val="auto"/>
        </w:rPr>
        <w:t xml:space="preserve"> issues, measures CL1 and CL2 show similar </w:t>
      </w:r>
      <w:r w:rsidR="00F86291">
        <w:rPr>
          <w:noProof/>
          <w:color w:val="auto"/>
        </w:rPr>
        <w:t>effects, wi</w:t>
      </w:r>
      <w:r w:rsidR="00C26C18">
        <w:rPr>
          <w:noProof/>
          <w:color w:val="auto"/>
        </w:rPr>
        <w:t xml:space="preserve">th small relative differences between the two sets of measures. The largest impacts, in particular on carbon leakage, are driven </w:t>
      </w:r>
      <w:r w:rsidR="00F46FB5">
        <w:rPr>
          <w:noProof/>
          <w:color w:val="auto"/>
        </w:rPr>
        <w:t xml:space="preserve">by </w:t>
      </w:r>
      <w:r w:rsidR="001D398D">
        <w:rPr>
          <w:noProof/>
          <w:color w:val="auto"/>
        </w:rPr>
        <w:t>the changes in the overall ambition level for the EU ETS and the resulting additional free allocation</w:t>
      </w:r>
      <w:r w:rsidR="00220478">
        <w:rPr>
          <w:noProof/>
          <w:color w:val="auto"/>
        </w:rPr>
        <w:t xml:space="preserve">. </w:t>
      </w:r>
      <w:r w:rsidR="00E415EA">
        <w:rPr>
          <w:noProof/>
          <w:color w:val="auto"/>
        </w:rPr>
        <w:t xml:space="preserve">CL2 on conditional free allocation is considered the preferred option as, in addition to CL1, </w:t>
      </w:r>
      <w:r w:rsidR="00E67117">
        <w:rPr>
          <w:noProof/>
          <w:color w:val="auto"/>
        </w:rPr>
        <w:t xml:space="preserve">increases </w:t>
      </w:r>
      <w:r w:rsidR="00530D7B">
        <w:rPr>
          <w:noProof/>
          <w:color w:val="auto"/>
        </w:rPr>
        <w:t>the incentives to invest in decarbonisation</w:t>
      </w:r>
      <w:r w:rsidR="007A7BED">
        <w:rPr>
          <w:noProof/>
          <w:color w:val="auto"/>
        </w:rPr>
        <w:t xml:space="preserve"> and </w:t>
      </w:r>
      <w:r w:rsidR="00793696">
        <w:rPr>
          <w:noProof/>
          <w:color w:val="auto"/>
        </w:rPr>
        <w:t>therefore better complement the measures on the Industrial Decarbonisation Bank and the Innovation Fund. CL2 also better addresses the findings in the Evaluation Report (see Annex 15) that indicate</w:t>
      </w:r>
      <w:r w:rsidR="006D313B">
        <w:rPr>
          <w:noProof/>
          <w:color w:val="auto"/>
        </w:rPr>
        <w:t xml:space="preserve"> that free allocation</w:t>
      </w:r>
      <w:r w:rsidR="00C87B42">
        <w:rPr>
          <w:noProof/>
          <w:color w:val="auto"/>
        </w:rPr>
        <w:t xml:space="preserve">, while </w:t>
      </w:r>
      <w:r w:rsidR="00FD38C8">
        <w:rPr>
          <w:noProof/>
          <w:color w:val="auto"/>
        </w:rPr>
        <w:t xml:space="preserve">effective at addressing carbon leakage, has also reduced the effective carbon price and reduced the incentives to invest in decarbonisation. </w:t>
      </w:r>
    </w:p>
    <w:p w14:paraId="22F9C767" w14:textId="4A7E0766" w:rsidR="007B7175" w:rsidRDefault="007B7175" w:rsidP="000E1776">
      <w:pPr>
        <w:rPr>
          <w:noProof/>
          <w:color w:val="auto"/>
        </w:rPr>
      </w:pPr>
      <w:r w:rsidRPr="2513CD76">
        <w:rPr>
          <w:noProof/>
          <w:color w:val="auto"/>
        </w:rPr>
        <w:t xml:space="preserve">As regards indirect cost compensation, both ICC1 and ICC2 have similar effects. ICC1, continuing to provide </w:t>
      </w:r>
      <w:r w:rsidR="0052515F" w:rsidRPr="2513CD76">
        <w:rPr>
          <w:noProof/>
          <w:color w:val="auto"/>
        </w:rPr>
        <w:t>indirect cost compensation via State aid</w:t>
      </w:r>
      <w:r w:rsidR="00B96F9F" w:rsidRPr="2513CD76">
        <w:rPr>
          <w:noProof/>
          <w:color w:val="auto"/>
        </w:rPr>
        <w:t xml:space="preserve">, </w:t>
      </w:r>
      <w:r w:rsidR="00976D85" w:rsidRPr="2513CD76">
        <w:rPr>
          <w:noProof/>
          <w:color w:val="auto"/>
        </w:rPr>
        <w:t>is the preferred option due to the disadvantages of a harmonised, one-size fits all approach of ICC2</w:t>
      </w:r>
      <w:r w:rsidR="002E2AE6" w:rsidRPr="2513CD76">
        <w:rPr>
          <w:noProof/>
          <w:color w:val="auto"/>
        </w:rPr>
        <w:t>, both in terms of administrative costs and the</w:t>
      </w:r>
      <w:r w:rsidR="002B04B9" w:rsidRPr="2513CD76">
        <w:rPr>
          <w:noProof/>
          <w:color w:val="auto"/>
        </w:rPr>
        <w:t xml:space="preserve"> reduced flexibility that ICC2 would imply for deciding the best use </w:t>
      </w:r>
      <w:r w:rsidR="002E2AE6" w:rsidRPr="2513CD76">
        <w:rPr>
          <w:noProof/>
          <w:color w:val="auto"/>
        </w:rPr>
        <w:t xml:space="preserve">of </w:t>
      </w:r>
      <w:r w:rsidR="00044823" w:rsidRPr="2513CD76">
        <w:rPr>
          <w:noProof/>
          <w:color w:val="auto"/>
        </w:rPr>
        <w:t>auction revenues</w:t>
      </w:r>
      <w:r w:rsidR="001B22DD" w:rsidRPr="2513CD76">
        <w:rPr>
          <w:noProof/>
          <w:color w:val="auto"/>
        </w:rPr>
        <w:t xml:space="preserve">. </w:t>
      </w:r>
    </w:p>
    <w:p w14:paraId="677E0539" w14:textId="2304CAD1" w:rsidR="000E1776" w:rsidRPr="000653A9" w:rsidRDefault="000E1776" w:rsidP="000E1776">
      <w:pPr>
        <w:rPr>
          <w:noProof/>
        </w:rPr>
      </w:pPr>
      <w:r w:rsidRPr="000653A9">
        <w:rPr>
          <w:noProof/>
          <w:color w:val="auto"/>
        </w:rPr>
        <w:t xml:space="preserve">A qualitative overview of the impacts of the policy measures across the different categories are provided below in </w:t>
      </w:r>
      <w:r w:rsidR="00CB3AB8" w:rsidRPr="000653A9">
        <w:rPr>
          <w:noProof/>
        </w:rPr>
        <w:t xml:space="preserve">Table </w:t>
      </w:r>
      <w:r w:rsidR="00DB3CB9">
        <w:rPr>
          <w:noProof/>
        </w:rPr>
        <w:t>28</w:t>
      </w:r>
      <w:r w:rsidR="00CB3AB8" w:rsidRPr="000653A9">
        <w:rPr>
          <w:noProof/>
        </w:rPr>
        <w:t>.</w:t>
      </w:r>
    </w:p>
    <w:p w14:paraId="689B4787" w14:textId="0BB14BDF" w:rsidR="000E1776" w:rsidRPr="000653A9" w:rsidRDefault="000E1776" w:rsidP="00C92FA9">
      <w:pPr>
        <w:pStyle w:val="Tabletitle"/>
        <w:rPr>
          <w:noProof/>
        </w:rPr>
      </w:pPr>
      <w:bookmarkStart w:id="526" w:name="_Ref212476328"/>
      <w:bookmarkStart w:id="527" w:name="_Toc234435131"/>
      <w:bookmarkStart w:id="528" w:name="_Toc232003601"/>
      <w:r w:rsidRPr="000653A9">
        <w:rPr>
          <w:noProof/>
        </w:rPr>
        <w:t xml:space="preserve">Summary of impact assessment for individual measures for carbon leakage relative to </w:t>
      </w:r>
      <w:bookmarkEnd w:id="526"/>
      <w:r w:rsidRPr="000653A9">
        <w:rPr>
          <w:noProof/>
        </w:rPr>
        <w:t>baseline</w:t>
      </w:r>
      <w:bookmarkEnd w:id="527"/>
      <w:bookmarkEnd w:id="528"/>
    </w:p>
    <w:tbl>
      <w:tblPr>
        <w:tblStyle w:val="Ricardo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3"/>
        <w:gridCol w:w="1510"/>
        <w:gridCol w:w="1511"/>
        <w:gridCol w:w="1511"/>
        <w:gridCol w:w="1511"/>
      </w:tblGrid>
      <w:tr w:rsidR="00194FFB" w:rsidRPr="000653A9" w14:paraId="43B007DC" w14:textId="77777777" w:rsidTr="00294F5E">
        <w:trPr>
          <w:cnfStyle w:val="100000000000" w:firstRow="1" w:lastRow="0" w:firstColumn="0" w:lastColumn="0" w:oddVBand="0" w:evenVBand="0" w:oddHBand="0" w:evenHBand="0" w:firstRowFirstColumn="0" w:firstRowLastColumn="0" w:lastRowFirstColumn="0" w:lastRowLastColumn="0"/>
          <w:trHeight w:val="20"/>
        </w:trPr>
        <w:tc>
          <w:tcPr>
            <w:tcW w:w="2973" w:type="dxa"/>
            <w:vAlign w:val="center"/>
          </w:tcPr>
          <w:p w14:paraId="2813EE7F" w14:textId="77777777" w:rsidR="000E1776" w:rsidRPr="000653A9" w:rsidRDefault="000E1776" w:rsidP="004737B2">
            <w:pPr>
              <w:spacing w:after="0"/>
              <w:jc w:val="center"/>
              <w:rPr>
                <w:noProof/>
                <w:color w:val="auto"/>
                <w:sz w:val="22"/>
                <w:szCs w:val="22"/>
              </w:rPr>
            </w:pPr>
          </w:p>
        </w:tc>
        <w:tc>
          <w:tcPr>
            <w:tcW w:w="1510" w:type="dxa"/>
            <w:vAlign w:val="center"/>
          </w:tcPr>
          <w:p w14:paraId="1FB1398F" w14:textId="77777777" w:rsidR="000E1776" w:rsidRPr="000653A9" w:rsidRDefault="000E1776" w:rsidP="004737B2">
            <w:pPr>
              <w:spacing w:after="0"/>
              <w:jc w:val="center"/>
              <w:rPr>
                <w:noProof/>
                <w:color w:val="auto"/>
                <w:sz w:val="22"/>
                <w:szCs w:val="22"/>
              </w:rPr>
            </w:pPr>
            <w:r w:rsidRPr="000653A9">
              <w:rPr>
                <w:noProof/>
                <w:color w:val="auto"/>
                <w:sz w:val="22"/>
                <w:szCs w:val="22"/>
              </w:rPr>
              <w:t>CL1: Improved current approach</w:t>
            </w:r>
          </w:p>
        </w:tc>
        <w:tc>
          <w:tcPr>
            <w:tcW w:w="1511" w:type="dxa"/>
            <w:vAlign w:val="center"/>
          </w:tcPr>
          <w:p w14:paraId="6CF9D7FF" w14:textId="77777777" w:rsidR="000E1776" w:rsidRPr="000653A9" w:rsidRDefault="000E1776" w:rsidP="004737B2">
            <w:pPr>
              <w:spacing w:after="0"/>
              <w:jc w:val="center"/>
              <w:rPr>
                <w:noProof/>
                <w:color w:val="auto"/>
                <w:sz w:val="22"/>
                <w:szCs w:val="22"/>
              </w:rPr>
            </w:pPr>
            <w:r w:rsidRPr="000653A9">
              <w:rPr>
                <w:noProof/>
                <w:color w:val="auto"/>
                <w:sz w:val="22"/>
                <w:szCs w:val="22"/>
              </w:rPr>
              <w:t>CL2_90: Conditionality (90% compliance)</w:t>
            </w:r>
          </w:p>
        </w:tc>
        <w:tc>
          <w:tcPr>
            <w:tcW w:w="1511" w:type="dxa"/>
            <w:vAlign w:val="center"/>
          </w:tcPr>
          <w:p w14:paraId="47E0428E" w14:textId="77777777" w:rsidR="000E1776" w:rsidRPr="000653A9" w:rsidRDefault="000E1776" w:rsidP="004737B2">
            <w:pPr>
              <w:spacing w:after="0"/>
              <w:jc w:val="center"/>
              <w:rPr>
                <w:noProof/>
                <w:color w:val="auto"/>
                <w:sz w:val="22"/>
                <w:szCs w:val="22"/>
              </w:rPr>
            </w:pPr>
            <w:r w:rsidRPr="000653A9">
              <w:rPr>
                <w:noProof/>
                <w:color w:val="auto"/>
                <w:sz w:val="22"/>
                <w:szCs w:val="22"/>
              </w:rPr>
              <w:t>CL2_50: Conditionality (50% compliance)</w:t>
            </w:r>
          </w:p>
        </w:tc>
        <w:tc>
          <w:tcPr>
            <w:tcW w:w="1511" w:type="dxa"/>
            <w:vAlign w:val="center"/>
          </w:tcPr>
          <w:p w14:paraId="0166113D" w14:textId="77777777" w:rsidR="000E1776" w:rsidRPr="000653A9" w:rsidRDefault="000E1776" w:rsidP="004737B2">
            <w:pPr>
              <w:spacing w:after="0"/>
              <w:jc w:val="center"/>
              <w:rPr>
                <w:noProof/>
                <w:color w:val="auto"/>
                <w:sz w:val="22"/>
                <w:szCs w:val="22"/>
              </w:rPr>
            </w:pPr>
            <w:r w:rsidRPr="000653A9">
              <w:rPr>
                <w:noProof/>
                <w:color w:val="auto"/>
                <w:sz w:val="22"/>
                <w:szCs w:val="22"/>
              </w:rPr>
              <w:t>CL3: No free allocation after 2034</w:t>
            </w:r>
          </w:p>
        </w:tc>
      </w:tr>
      <w:tr w:rsidR="00C600D7" w:rsidRPr="000653A9" w14:paraId="18E55C9F" w14:textId="77777777" w:rsidTr="00294F5E">
        <w:trPr>
          <w:trHeight w:val="20"/>
        </w:trPr>
        <w:tc>
          <w:tcPr>
            <w:tcW w:w="9016" w:type="dxa"/>
            <w:gridSpan w:val="5"/>
            <w:vAlign w:val="center"/>
          </w:tcPr>
          <w:p w14:paraId="532A4D53" w14:textId="77777777" w:rsidR="000E1776" w:rsidRPr="000653A9" w:rsidRDefault="000E1776" w:rsidP="004737B2">
            <w:pPr>
              <w:spacing w:after="0"/>
              <w:jc w:val="center"/>
              <w:rPr>
                <w:noProof/>
                <w:color w:val="auto"/>
                <w:sz w:val="22"/>
                <w:szCs w:val="22"/>
              </w:rPr>
            </w:pPr>
            <w:r w:rsidRPr="000653A9">
              <w:rPr>
                <w:noProof/>
                <w:color w:val="auto"/>
                <w:sz w:val="22"/>
                <w:szCs w:val="22"/>
              </w:rPr>
              <w:t>Environmental impacts</w:t>
            </w:r>
          </w:p>
        </w:tc>
      </w:tr>
      <w:tr w:rsidR="00194FFB" w:rsidRPr="000653A9" w14:paraId="045687C0" w14:textId="77777777" w:rsidTr="00294F5E">
        <w:trPr>
          <w:trHeight w:val="20"/>
        </w:trPr>
        <w:tc>
          <w:tcPr>
            <w:tcW w:w="2973" w:type="dxa"/>
            <w:vAlign w:val="center"/>
          </w:tcPr>
          <w:p w14:paraId="321EEFB8" w14:textId="77777777" w:rsidR="000E1776" w:rsidRPr="000653A9" w:rsidRDefault="000E1776" w:rsidP="004737B2">
            <w:pPr>
              <w:spacing w:after="0"/>
              <w:jc w:val="center"/>
              <w:rPr>
                <w:noProof/>
                <w:color w:val="auto"/>
                <w:sz w:val="22"/>
                <w:szCs w:val="22"/>
              </w:rPr>
            </w:pPr>
            <w:r w:rsidRPr="000653A9">
              <w:rPr>
                <w:noProof/>
                <w:color w:val="auto"/>
                <w:sz w:val="22"/>
                <w:szCs w:val="22"/>
              </w:rPr>
              <w:t>Carbon leakage rates</w:t>
            </w:r>
          </w:p>
        </w:tc>
        <w:tc>
          <w:tcPr>
            <w:tcW w:w="1510" w:type="dxa"/>
            <w:vAlign w:val="center"/>
          </w:tcPr>
          <w:p w14:paraId="67DF22E9"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764B1FE7"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3B13EA43"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060EE43C" w14:textId="09167744" w:rsidR="000E1776" w:rsidRPr="000653A9" w:rsidRDefault="000E1776" w:rsidP="004737B2">
            <w:pPr>
              <w:spacing w:after="0"/>
              <w:jc w:val="center"/>
              <w:rPr>
                <w:noProof/>
                <w:color w:val="auto"/>
                <w:sz w:val="22"/>
                <w:szCs w:val="22"/>
              </w:rPr>
            </w:pPr>
            <w:r w:rsidRPr="000653A9">
              <w:rPr>
                <w:noProof/>
                <w:color w:val="auto"/>
                <w:sz w:val="22"/>
                <w:szCs w:val="22"/>
              </w:rPr>
              <w:t>+</w:t>
            </w:r>
          </w:p>
        </w:tc>
      </w:tr>
      <w:tr w:rsidR="00C600D7" w:rsidRPr="000653A9" w14:paraId="2275853B" w14:textId="77777777" w:rsidTr="00294F5E">
        <w:trPr>
          <w:trHeight w:val="20"/>
        </w:trPr>
        <w:tc>
          <w:tcPr>
            <w:tcW w:w="9016" w:type="dxa"/>
            <w:gridSpan w:val="5"/>
            <w:vAlign w:val="center"/>
          </w:tcPr>
          <w:p w14:paraId="06A27BD6" w14:textId="77777777" w:rsidR="000E1776" w:rsidRPr="000653A9" w:rsidRDefault="000E1776" w:rsidP="004737B2">
            <w:pPr>
              <w:spacing w:after="0"/>
              <w:jc w:val="center"/>
              <w:rPr>
                <w:noProof/>
                <w:color w:val="auto"/>
                <w:sz w:val="22"/>
                <w:szCs w:val="22"/>
              </w:rPr>
            </w:pPr>
            <w:r w:rsidRPr="000653A9">
              <w:rPr>
                <w:noProof/>
                <w:color w:val="auto"/>
                <w:sz w:val="22"/>
                <w:szCs w:val="22"/>
              </w:rPr>
              <w:t>Economic impacts</w:t>
            </w:r>
          </w:p>
        </w:tc>
      </w:tr>
      <w:tr w:rsidR="00194FFB" w:rsidRPr="000653A9" w14:paraId="1C3744C7" w14:textId="77777777" w:rsidTr="00294F5E">
        <w:trPr>
          <w:trHeight w:val="20"/>
        </w:trPr>
        <w:tc>
          <w:tcPr>
            <w:tcW w:w="2973" w:type="dxa"/>
            <w:vAlign w:val="center"/>
          </w:tcPr>
          <w:p w14:paraId="1184DCA9" w14:textId="77777777" w:rsidR="000E1776" w:rsidRPr="000653A9" w:rsidRDefault="000E1776" w:rsidP="004737B2">
            <w:pPr>
              <w:spacing w:after="0"/>
              <w:jc w:val="center"/>
              <w:rPr>
                <w:noProof/>
                <w:color w:val="auto"/>
                <w:sz w:val="22"/>
                <w:szCs w:val="22"/>
              </w:rPr>
            </w:pPr>
            <w:r w:rsidRPr="000653A9">
              <w:rPr>
                <w:noProof/>
                <w:color w:val="auto"/>
                <w:sz w:val="22"/>
                <w:szCs w:val="22"/>
              </w:rPr>
              <w:t>Adjustment cost to operator</w:t>
            </w:r>
          </w:p>
        </w:tc>
        <w:tc>
          <w:tcPr>
            <w:tcW w:w="1510" w:type="dxa"/>
            <w:vAlign w:val="center"/>
          </w:tcPr>
          <w:p w14:paraId="31120A06" w14:textId="2AD5161E"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1C175EB9"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4799B12E"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6E2F009C" w14:textId="5B241661" w:rsidR="000E1776" w:rsidRPr="000653A9" w:rsidRDefault="000E1776" w:rsidP="004737B2">
            <w:pPr>
              <w:spacing w:after="0"/>
              <w:jc w:val="center"/>
              <w:rPr>
                <w:noProof/>
                <w:color w:val="auto"/>
                <w:sz w:val="22"/>
                <w:szCs w:val="22"/>
              </w:rPr>
            </w:pPr>
            <w:r w:rsidRPr="000653A9">
              <w:rPr>
                <w:noProof/>
                <w:color w:val="auto"/>
                <w:sz w:val="22"/>
                <w:szCs w:val="22"/>
              </w:rPr>
              <w:t>-</w:t>
            </w:r>
            <w:r w:rsidR="003D3D40" w:rsidRPr="000653A9">
              <w:rPr>
                <w:noProof/>
                <w:color w:val="auto"/>
                <w:sz w:val="22"/>
                <w:szCs w:val="22"/>
              </w:rPr>
              <w:t>-</w:t>
            </w:r>
          </w:p>
        </w:tc>
      </w:tr>
      <w:tr w:rsidR="00194FFB" w:rsidRPr="000653A9" w14:paraId="63326E17" w14:textId="77777777" w:rsidTr="00294F5E">
        <w:trPr>
          <w:trHeight w:val="20"/>
        </w:trPr>
        <w:tc>
          <w:tcPr>
            <w:tcW w:w="2973" w:type="dxa"/>
            <w:vAlign w:val="center"/>
          </w:tcPr>
          <w:p w14:paraId="0F56538C" w14:textId="77777777" w:rsidR="000E1776" w:rsidRPr="000653A9" w:rsidRDefault="000E1776" w:rsidP="004737B2">
            <w:pPr>
              <w:spacing w:after="0"/>
              <w:jc w:val="center"/>
              <w:rPr>
                <w:noProof/>
                <w:color w:val="auto"/>
                <w:sz w:val="22"/>
                <w:szCs w:val="22"/>
              </w:rPr>
            </w:pPr>
            <w:r w:rsidRPr="000653A9">
              <w:rPr>
                <w:noProof/>
                <w:color w:val="auto"/>
                <w:sz w:val="22"/>
                <w:szCs w:val="22"/>
              </w:rPr>
              <w:t>Administrative cost to operator</w:t>
            </w:r>
          </w:p>
        </w:tc>
        <w:tc>
          <w:tcPr>
            <w:tcW w:w="1510" w:type="dxa"/>
            <w:vAlign w:val="center"/>
          </w:tcPr>
          <w:p w14:paraId="7DCFDFBF"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2AC7A3F0"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47E90A46"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523C0256"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r>
      <w:tr w:rsidR="00194FFB" w:rsidRPr="000653A9" w14:paraId="44B0A6C3" w14:textId="77777777" w:rsidTr="00294F5E">
        <w:trPr>
          <w:trHeight w:val="20"/>
        </w:trPr>
        <w:tc>
          <w:tcPr>
            <w:tcW w:w="2973" w:type="dxa"/>
            <w:vAlign w:val="center"/>
          </w:tcPr>
          <w:p w14:paraId="20B641D2" w14:textId="77777777" w:rsidR="000E1776" w:rsidRPr="000653A9" w:rsidRDefault="000E1776" w:rsidP="004737B2">
            <w:pPr>
              <w:spacing w:after="0"/>
              <w:jc w:val="center"/>
              <w:rPr>
                <w:noProof/>
                <w:color w:val="auto"/>
                <w:sz w:val="22"/>
                <w:szCs w:val="22"/>
              </w:rPr>
            </w:pPr>
            <w:r w:rsidRPr="000653A9">
              <w:rPr>
                <w:noProof/>
                <w:color w:val="auto"/>
                <w:sz w:val="22"/>
                <w:szCs w:val="22"/>
              </w:rPr>
              <w:t>Administrative cost to competent authorities</w:t>
            </w:r>
          </w:p>
        </w:tc>
        <w:tc>
          <w:tcPr>
            <w:tcW w:w="1510" w:type="dxa"/>
            <w:vAlign w:val="center"/>
          </w:tcPr>
          <w:p w14:paraId="0B07EA7C"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49BB5EAE"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342C0590"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17DE42AD"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r>
      <w:tr w:rsidR="00194FFB" w:rsidRPr="000653A9" w14:paraId="5B95F7C5" w14:textId="77777777" w:rsidTr="00294F5E">
        <w:trPr>
          <w:trHeight w:val="20"/>
        </w:trPr>
        <w:tc>
          <w:tcPr>
            <w:tcW w:w="2973" w:type="dxa"/>
            <w:vAlign w:val="center"/>
          </w:tcPr>
          <w:p w14:paraId="47FA5E5B" w14:textId="77777777" w:rsidR="000E1776" w:rsidRPr="000653A9" w:rsidRDefault="000E1776" w:rsidP="004737B2">
            <w:pPr>
              <w:spacing w:after="0"/>
              <w:jc w:val="center"/>
              <w:rPr>
                <w:noProof/>
                <w:color w:val="auto"/>
                <w:sz w:val="22"/>
                <w:szCs w:val="22"/>
              </w:rPr>
            </w:pPr>
            <w:r w:rsidRPr="000653A9">
              <w:rPr>
                <w:noProof/>
                <w:color w:val="auto"/>
                <w:sz w:val="22"/>
                <w:szCs w:val="22"/>
              </w:rPr>
              <w:t>Sectoral competitiveness</w:t>
            </w:r>
          </w:p>
        </w:tc>
        <w:tc>
          <w:tcPr>
            <w:tcW w:w="1510" w:type="dxa"/>
            <w:vAlign w:val="center"/>
          </w:tcPr>
          <w:p w14:paraId="6B02A8E4"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601618E1"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4AC558DD"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0FEEEA0F"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r>
      <w:tr w:rsidR="00194FFB" w:rsidRPr="000653A9" w14:paraId="54AE0943" w14:textId="77777777" w:rsidTr="00294F5E">
        <w:trPr>
          <w:trHeight w:val="20"/>
        </w:trPr>
        <w:tc>
          <w:tcPr>
            <w:tcW w:w="2973" w:type="dxa"/>
            <w:vAlign w:val="center"/>
          </w:tcPr>
          <w:p w14:paraId="234F34DB" w14:textId="77777777" w:rsidR="000E1776" w:rsidRPr="000653A9" w:rsidRDefault="000E1776" w:rsidP="004737B2">
            <w:pPr>
              <w:spacing w:after="0"/>
              <w:jc w:val="center"/>
              <w:rPr>
                <w:noProof/>
                <w:color w:val="auto"/>
                <w:sz w:val="22"/>
                <w:szCs w:val="22"/>
              </w:rPr>
            </w:pPr>
            <w:r w:rsidRPr="000653A9">
              <w:rPr>
                <w:noProof/>
                <w:color w:val="auto"/>
                <w:sz w:val="22"/>
                <w:szCs w:val="22"/>
              </w:rPr>
              <w:t>GDP impact</w:t>
            </w:r>
          </w:p>
        </w:tc>
        <w:tc>
          <w:tcPr>
            <w:tcW w:w="1510" w:type="dxa"/>
            <w:vAlign w:val="center"/>
          </w:tcPr>
          <w:p w14:paraId="30AB8BCD"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401F13EF"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034C9736"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2C51AEDC"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r>
      <w:tr w:rsidR="00194FFB" w:rsidRPr="000653A9" w14:paraId="33B63966" w14:textId="77777777" w:rsidTr="00294F5E">
        <w:trPr>
          <w:trHeight w:val="20"/>
        </w:trPr>
        <w:tc>
          <w:tcPr>
            <w:tcW w:w="2973" w:type="dxa"/>
            <w:vAlign w:val="center"/>
          </w:tcPr>
          <w:p w14:paraId="33A629EE" w14:textId="77777777" w:rsidR="000E1776" w:rsidRPr="000653A9" w:rsidRDefault="000E1776" w:rsidP="004737B2">
            <w:pPr>
              <w:spacing w:after="0"/>
              <w:jc w:val="center"/>
              <w:rPr>
                <w:noProof/>
                <w:color w:val="auto"/>
                <w:sz w:val="22"/>
                <w:szCs w:val="22"/>
              </w:rPr>
            </w:pPr>
            <w:r w:rsidRPr="000653A9">
              <w:rPr>
                <w:noProof/>
                <w:color w:val="auto"/>
                <w:sz w:val="22"/>
                <w:szCs w:val="22"/>
              </w:rPr>
              <w:t>Innovation impact</w:t>
            </w:r>
          </w:p>
        </w:tc>
        <w:tc>
          <w:tcPr>
            <w:tcW w:w="1510" w:type="dxa"/>
            <w:vAlign w:val="center"/>
          </w:tcPr>
          <w:p w14:paraId="08A35A18"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7DC3FAE5" w14:textId="4CCAA135" w:rsidR="000E1776" w:rsidRPr="000653A9" w:rsidRDefault="000E1776" w:rsidP="004737B2">
            <w:pPr>
              <w:spacing w:after="0"/>
              <w:jc w:val="center"/>
              <w:rPr>
                <w:noProof/>
                <w:color w:val="auto"/>
                <w:sz w:val="22"/>
                <w:szCs w:val="22"/>
              </w:rPr>
            </w:pPr>
            <w:r w:rsidRPr="000653A9">
              <w:rPr>
                <w:noProof/>
                <w:color w:val="auto"/>
                <w:sz w:val="22"/>
                <w:szCs w:val="22"/>
              </w:rPr>
              <w:t>+</w:t>
            </w:r>
            <w:r w:rsidR="00AB3B46" w:rsidRPr="000653A9">
              <w:rPr>
                <w:noProof/>
                <w:color w:val="auto"/>
                <w:sz w:val="22"/>
                <w:szCs w:val="22"/>
              </w:rPr>
              <w:t>+</w:t>
            </w:r>
          </w:p>
        </w:tc>
        <w:tc>
          <w:tcPr>
            <w:tcW w:w="1511" w:type="dxa"/>
            <w:vAlign w:val="center"/>
          </w:tcPr>
          <w:p w14:paraId="627D1B86" w14:textId="0E48016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7495D917" w14:textId="432E9E08" w:rsidR="000E1776" w:rsidRPr="000653A9" w:rsidRDefault="000E1776" w:rsidP="004737B2">
            <w:pPr>
              <w:spacing w:after="0"/>
              <w:jc w:val="center"/>
              <w:rPr>
                <w:noProof/>
                <w:color w:val="auto"/>
                <w:sz w:val="22"/>
                <w:szCs w:val="22"/>
              </w:rPr>
            </w:pPr>
            <w:r w:rsidRPr="000653A9">
              <w:rPr>
                <w:noProof/>
                <w:color w:val="auto"/>
                <w:sz w:val="22"/>
                <w:szCs w:val="22"/>
              </w:rPr>
              <w:t>+</w:t>
            </w:r>
          </w:p>
        </w:tc>
      </w:tr>
      <w:tr w:rsidR="00C600D7" w:rsidRPr="000653A9" w14:paraId="4781E18F" w14:textId="77777777" w:rsidTr="00294F5E">
        <w:trPr>
          <w:trHeight w:val="20"/>
        </w:trPr>
        <w:tc>
          <w:tcPr>
            <w:tcW w:w="9016" w:type="dxa"/>
            <w:gridSpan w:val="5"/>
            <w:vAlign w:val="center"/>
          </w:tcPr>
          <w:p w14:paraId="70C4C336" w14:textId="7C54F846" w:rsidR="000E1776" w:rsidRPr="000653A9" w:rsidRDefault="000E1776" w:rsidP="004737B2">
            <w:pPr>
              <w:spacing w:after="0"/>
              <w:jc w:val="center"/>
              <w:rPr>
                <w:noProof/>
                <w:color w:val="auto"/>
                <w:sz w:val="22"/>
                <w:szCs w:val="22"/>
              </w:rPr>
            </w:pPr>
            <w:r w:rsidRPr="000653A9">
              <w:rPr>
                <w:noProof/>
                <w:color w:val="auto"/>
                <w:sz w:val="22"/>
                <w:szCs w:val="22"/>
              </w:rPr>
              <w:t>Social impacts</w:t>
            </w:r>
          </w:p>
        </w:tc>
      </w:tr>
      <w:tr w:rsidR="00194FFB" w:rsidRPr="000653A9" w14:paraId="0A622620" w14:textId="77777777" w:rsidTr="00294F5E">
        <w:trPr>
          <w:trHeight w:val="20"/>
        </w:trPr>
        <w:tc>
          <w:tcPr>
            <w:tcW w:w="2973" w:type="dxa"/>
            <w:vAlign w:val="center"/>
          </w:tcPr>
          <w:p w14:paraId="5CB6F700" w14:textId="77777777" w:rsidR="000E1776" w:rsidRPr="000653A9" w:rsidRDefault="000E1776" w:rsidP="004737B2">
            <w:pPr>
              <w:spacing w:after="0"/>
              <w:jc w:val="center"/>
              <w:rPr>
                <w:noProof/>
                <w:color w:val="auto"/>
                <w:sz w:val="22"/>
                <w:szCs w:val="22"/>
              </w:rPr>
            </w:pPr>
            <w:r w:rsidRPr="000653A9">
              <w:rPr>
                <w:noProof/>
                <w:color w:val="auto"/>
                <w:sz w:val="22"/>
                <w:szCs w:val="22"/>
              </w:rPr>
              <w:t>Employment</w:t>
            </w:r>
          </w:p>
        </w:tc>
        <w:tc>
          <w:tcPr>
            <w:tcW w:w="1510" w:type="dxa"/>
            <w:vAlign w:val="center"/>
          </w:tcPr>
          <w:p w14:paraId="722EA2D9"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022A5599"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2D227E50"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c>
          <w:tcPr>
            <w:tcW w:w="1511" w:type="dxa"/>
            <w:vAlign w:val="center"/>
          </w:tcPr>
          <w:p w14:paraId="1F549198" w14:textId="77777777" w:rsidR="000E1776" w:rsidRPr="000653A9" w:rsidRDefault="000E1776" w:rsidP="004737B2">
            <w:pPr>
              <w:spacing w:after="0"/>
              <w:jc w:val="center"/>
              <w:rPr>
                <w:noProof/>
                <w:color w:val="auto"/>
                <w:sz w:val="22"/>
                <w:szCs w:val="22"/>
              </w:rPr>
            </w:pPr>
            <w:r w:rsidRPr="000653A9">
              <w:rPr>
                <w:noProof/>
                <w:color w:val="auto"/>
                <w:sz w:val="22"/>
                <w:szCs w:val="22"/>
              </w:rPr>
              <w:t>+</w:t>
            </w:r>
          </w:p>
        </w:tc>
      </w:tr>
      <w:tr w:rsidR="00194FFB" w:rsidRPr="000653A9" w14:paraId="50972293" w14:textId="77777777" w:rsidTr="00294F5E">
        <w:trPr>
          <w:trHeight w:val="20"/>
        </w:trPr>
        <w:tc>
          <w:tcPr>
            <w:tcW w:w="2973" w:type="dxa"/>
            <w:vAlign w:val="center"/>
          </w:tcPr>
          <w:p w14:paraId="725D4C0D" w14:textId="77777777" w:rsidR="000E1776" w:rsidRPr="000653A9" w:rsidRDefault="000E1776" w:rsidP="004737B2">
            <w:pPr>
              <w:spacing w:after="0"/>
              <w:jc w:val="center"/>
              <w:rPr>
                <w:noProof/>
                <w:color w:val="auto"/>
                <w:sz w:val="22"/>
                <w:szCs w:val="22"/>
              </w:rPr>
            </w:pPr>
            <w:r w:rsidRPr="000653A9">
              <w:rPr>
                <w:noProof/>
                <w:color w:val="auto"/>
                <w:sz w:val="22"/>
                <w:szCs w:val="22"/>
              </w:rPr>
              <w:t>Fundamental rights</w:t>
            </w:r>
          </w:p>
        </w:tc>
        <w:tc>
          <w:tcPr>
            <w:tcW w:w="1510" w:type="dxa"/>
            <w:vAlign w:val="center"/>
          </w:tcPr>
          <w:p w14:paraId="003B71EF" w14:textId="77777777" w:rsidR="000E1776" w:rsidRPr="000653A9" w:rsidRDefault="000E1776" w:rsidP="004737B2">
            <w:pPr>
              <w:spacing w:after="0"/>
              <w:jc w:val="center"/>
              <w:rPr>
                <w:noProof/>
                <w:color w:val="auto"/>
                <w:sz w:val="22"/>
                <w:szCs w:val="22"/>
              </w:rPr>
            </w:pPr>
            <w:r w:rsidRPr="000653A9">
              <w:rPr>
                <w:noProof/>
                <w:color w:val="auto"/>
                <w:sz w:val="22"/>
                <w:szCs w:val="22"/>
              </w:rPr>
              <w:t>0</w:t>
            </w:r>
          </w:p>
        </w:tc>
        <w:tc>
          <w:tcPr>
            <w:tcW w:w="1511" w:type="dxa"/>
            <w:vAlign w:val="center"/>
          </w:tcPr>
          <w:p w14:paraId="038E7DD3" w14:textId="77777777" w:rsidR="000E1776" w:rsidRPr="000653A9" w:rsidRDefault="000E1776" w:rsidP="004737B2">
            <w:pPr>
              <w:spacing w:after="0"/>
              <w:jc w:val="center"/>
              <w:rPr>
                <w:noProof/>
                <w:color w:val="auto"/>
                <w:sz w:val="22"/>
                <w:szCs w:val="22"/>
              </w:rPr>
            </w:pPr>
            <w:r w:rsidRPr="000653A9">
              <w:rPr>
                <w:noProof/>
                <w:color w:val="auto"/>
                <w:sz w:val="22"/>
                <w:szCs w:val="22"/>
              </w:rPr>
              <w:t>0</w:t>
            </w:r>
          </w:p>
        </w:tc>
        <w:tc>
          <w:tcPr>
            <w:tcW w:w="1511" w:type="dxa"/>
            <w:vAlign w:val="center"/>
          </w:tcPr>
          <w:p w14:paraId="0C7DAA46" w14:textId="77777777" w:rsidR="000E1776" w:rsidRPr="000653A9" w:rsidRDefault="000E1776" w:rsidP="004737B2">
            <w:pPr>
              <w:spacing w:after="0"/>
              <w:jc w:val="center"/>
              <w:rPr>
                <w:noProof/>
                <w:color w:val="auto"/>
                <w:sz w:val="22"/>
                <w:szCs w:val="22"/>
              </w:rPr>
            </w:pPr>
            <w:r w:rsidRPr="000653A9">
              <w:rPr>
                <w:noProof/>
                <w:color w:val="auto"/>
                <w:sz w:val="22"/>
                <w:szCs w:val="22"/>
              </w:rPr>
              <w:t>0</w:t>
            </w:r>
          </w:p>
        </w:tc>
        <w:tc>
          <w:tcPr>
            <w:tcW w:w="1511" w:type="dxa"/>
            <w:vAlign w:val="center"/>
          </w:tcPr>
          <w:p w14:paraId="4BF9FE21" w14:textId="6F8981F9" w:rsidR="000E1776" w:rsidRPr="000653A9" w:rsidRDefault="000E1776" w:rsidP="004737B2">
            <w:pPr>
              <w:spacing w:after="0"/>
              <w:jc w:val="center"/>
              <w:rPr>
                <w:noProof/>
                <w:color w:val="auto"/>
                <w:sz w:val="22"/>
                <w:szCs w:val="22"/>
              </w:rPr>
            </w:pPr>
            <w:r w:rsidRPr="000653A9">
              <w:rPr>
                <w:noProof/>
                <w:color w:val="auto"/>
                <w:sz w:val="22"/>
                <w:szCs w:val="22"/>
              </w:rPr>
              <w:t>0</w:t>
            </w:r>
          </w:p>
        </w:tc>
      </w:tr>
    </w:tbl>
    <w:p w14:paraId="1AED5071" w14:textId="77777777" w:rsidR="00CC4F87" w:rsidRDefault="0072490E" w:rsidP="00F73B5B">
      <w:pPr>
        <w:pStyle w:val="Tabletitle"/>
        <w:rPr>
          <w:noProof/>
        </w:rPr>
      </w:pPr>
      <w:bookmarkStart w:id="529" w:name="_Toc222740059"/>
      <w:bookmarkStart w:id="530" w:name="_Toc234435132"/>
      <w:bookmarkStart w:id="531" w:name="_Toc232003602"/>
      <w:bookmarkEnd w:id="529"/>
      <w:r w:rsidRPr="000653A9">
        <w:rPr>
          <w:noProof/>
        </w:rPr>
        <w:t xml:space="preserve">Summary of impact assessment for individual measures for </w:t>
      </w:r>
      <w:r w:rsidR="001032CD" w:rsidRPr="000653A9">
        <w:rPr>
          <w:noProof/>
        </w:rPr>
        <w:t>indirect carbon cost</w:t>
      </w:r>
      <w:r w:rsidRPr="000653A9">
        <w:rPr>
          <w:noProof/>
        </w:rPr>
        <w:t xml:space="preserve"> relative to baseline</w:t>
      </w:r>
      <w:bookmarkEnd w:id="530"/>
      <w:bookmarkEnd w:id="531"/>
    </w:p>
    <w:tbl>
      <w:tblPr>
        <w:tblStyle w:val="Ricardo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2"/>
        <w:gridCol w:w="2632"/>
        <w:gridCol w:w="2632"/>
      </w:tblGrid>
      <w:tr w:rsidR="00C600D7" w:rsidRPr="000653A9" w14:paraId="70E1AEF1" w14:textId="77777777" w:rsidTr="00294F5E">
        <w:trPr>
          <w:cnfStyle w:val="100000000000" w:firstRow="1" w:lastRow="0" w:firstColumn="0" w:lastColumn="0" w:oddVBand="0" w:evenVBand="0" w:oddHBand="0" w:evenHBand="0" w:firstRowFirstColumn="0" w:firstRowLastColumn="0" w:lastRowFirstColumn="0" w:lastRowLastColumn="0"/>
          <w:trHeight w:val="20"/>
        </w:trPr>
        <w:tc>
          <w:tcPr>
            <w:tcW w:w="0" w:type="auto"/>
          </w:tcPr>
          <w:p w14:paraId="7B82252D" w14:textId="77777777" w:rsidR="008B187D" w:rsidRPr="000653A9" w:rsidRDefault="008B187D" w:rsidP="00587DDD">
            <w:pPr>
              <w:spacing w:after="0"/>
              <w:rPr>
                <w:noProof/>
                <w:color w:val="auto"/>
                <w:sz w:val="22"/>
                <w:szCs w:val="22"/>
              </w:rPr>
            </w:pPr>
          </w:p>
        </w:tc>
        <w:tc>
          <w:tcPr>
            <w:tcW w:w="2632" w:type="dxa"/>
          </w:tcPr>
          <w:p w14:paraId="4AD92C54" w14:textId="6E884EB3" w:rsidR="008B187D" w:rsidRPr="000653A9" w:rsidRDefault="008B187D" w:rsidP="00587DDD">
            <w:pPr>
              <w:spacing w:after="0"/>
              <w:jc w:val="center"/>
              <w:rPr>
                <w:noProof/>
                <w:color w:val="auto"/>
                <w:sz w:val="22"/>
                <w:szCs w:val="22"/>
              </w:rPr>
            </w:pPr>
            <w:r w:rsidRPr="000653A9">
              <w:rPr>
                <w:noProof/>
                <w:color w:val="auto"/>
                <w:sz w:val="22"/>
                <w:szCs w:val="22"/>
              </w:rPr>
              <w:t>ICC1: State aid encouragement</w:t>
            </w:r>
          </w:p>
        </w:tc>
        <w:tc>
          <w:tcPr>
            <w:tcW w:w="2632" w:type="dxa"/>
          </w:tcPr>
          <w:p w14:paraId="08866B76" w14:textId="567C0689" w:rsidR="008B187D" w:rsidRPr="000653A9" w:rsidRDefault="008B187D" w:rsidP="00587DDD">
            <w:pPr>
              <w:spacing w:after="0"/>
              <w:jc w:val="center"/>
              <w:rPr>
                <w:noProof/>
                <w:color w:val="auto"/>
                <w:sz w:val="22"/>
                <w:szCs w:val="22"/>
              </w:rPr>
            </w:pPr>
            <w:r w:rsidRPr="000653A9">
              <w:rPr>
                <w:noProof/>
                <w:color w:val="auto"/>
                <w:sz w:val="22"/>
                <w:szCs w:val="22"/>
              </w:rPr>
              <w:t>ICC2: Harmonised ICC</w:t>
            </w:r>
          </w:p>
        </w:tc>
      </w:tr>
      <w:tr w:rsidR="00C600D7" w:rsidRPr="000653A9" w14:paraId="556FF673" w14:textId="77777777" w:rsidTr="00294F5E">
        <w:trPr>
          <w:trHeight w:val="20"/>
        </w:trPr>
        <w:tc>
          <w:tcPr>
            <w:tcW w:w="0" w:type="auto"/>
            <w:gridSpan w:val="3"/>
          </w:tcPr>
          <w:p w14:paraId="5FA53475" w14:textId="52C284DE" w:rsidR="00835A12" w:rsidRPr="000653A9" w:rsidRDefault="00835A12" w:rsidP="00587DDD">
            <w:pPr>
              <w:spacing w:after="0"/>
              <w:jc w:val="center"/>
              <w:rPr>
                <w:b/>
                <w:noProof/>
                <w:color w:val="auto"/>
                <w:sz w:val="22"/>
                <w:szCs w:val="22"/>
              </w:rPr>
            </w:pPr>
            <w:r w:rsidRPr="000653A9">
              <w:rPr>
                <w:b/>
                <w:noProof/>
                <w:color w:val="auto"/>
                <w:sz w:val="22"/>
                <w:szCs w:val="22"/>
              </w:rPr>
              <w:t>Environmental impacts</w:t>
            </w:r>
          </w:p>
        </w:tc>
      </w:tr>
      <w:tr w:rsidR="00C600D7" w:rsidRPr="000653A9" w14:paraId="08257DDB" w14:textId="77777777" w:rsidTr="00294F5E">
        <w:trPr>
          <w:trHeight w:val="20"/>
        </w:trPr>
        <w:tc>
          <w:tcPr>
            <w:tcW w:w="0" w:type="auto"/>
          </w:tcPr>
          <w:p w14:paraId="434E6B26" w14:textId="1B5ED84C" w:rsidR="008B187D" w:rsidRPr="000653A9" w:rsidRDefault="00BC5961" w:rsidP="00587DDD">
            <w:pPr>
              <w:spacing w:after="0"/>
              <w:rPr>
                <w:noProof/>
                <w:color w:val="auto"/>
                <w:sz w:val="22"/>
                <w:szCs w:val="22"/>
              </w:rPr>
            </w:pPr>
            <w:r w:rsidRPr="000653A9">
              <w:rPr>
                <w:noProof/>
                <w:color w:val="auto"/>
                <w:sz w:val="22"/>
                <w:szCs w:val="22"/>
              </w:rPr>
              <w:t>Address carbon leakage</w:t>
            </w:r>
          </w:p>
        </w:tc>
        <w:tc>
          <w:tcPr>
            <w:tcW w:w="2632" w:type="dxa"/>
          </w:tcPr>
          <w:p w14:paraId="327174AF" w14:textId="04616BDB" w:rsidR="008B187D" w:rsidRPr="000653A9" w:rsidRDefault="00ED14B7" w:rsidP="00587DDD">
            <w:pPr>
              <w:spacing w:after="0"/>
              <w:jc w:val="center"/>
              <w:rPr>
                <w:noProof/>
                <w:color w:val="auto"/>
                <w:sz w:val="22"/>
                <w:szCs w:val="22"/>
              </w:rPr>
            </w:pPr>
            <w:r w:rsidRPr="000653A9">
              <w:rPr>
                <w:noProof/>
                <w:color w:val="auto"/>
                <w:sz w:val="22"/>
                <w:szCs w:val="22"/>
              </w:rPr>
              <w:t>+</w:t>
            </w:r>
          </w:p>
        </w:tc>
        <w:tc>
          <w:tcPr>
            <w:tcW w:w="2632" w:type="dxa"/>
          </w:tcPr>
          <w:p w14:paraId="45963C49" w14:textId="7E5CE80E" w:rsidR="008B187D" w:rsidRPr="000653A9" w:rsidRDefault="009C58AF" w:rsidP="00587DDD">
            <w:pPr>
              <w:spacing w:after="0"/>
              <w:jc w:val="center"/>
              <w:rPr>
                <w:noProof/>
                <w:color w:val="auto"/>
                <w:sz w:val="22"/>
                <w:szCs w:val="22"/>
              </w:rPr>
            </w:pPr>
            <w:r w:rsidRPr="000653A9">
              <w:rPr>
                <w:noProof/>
                <w:color w:val="auto"/>
                <w:sz w:val="22"/>
                <w:szCs w:val="22"/>
              </w:rPr>
              <w:t>+</w:t>
            </w:r>
          </w:p>
        </w:tc>
      </w:tr>
      <w:tr w:rsidR="00C600D7" w:rsidRPr="000653A9" w14:paraId="1022170F" w14:textId="77777777" w:rsidTr="00294F5E">
        <w:trPr>
          <w:trHeight w:val="20"/>
        </w:trPr>
        <w:tc>
          <w:tcPr>
            <w:tcW w:w="0" w:type="auto"/>
            <w:gridSpan w:val="3"/>
          </w:tcPr>
          <w:p w14:paraId="27533F66" w14:textId="3BEC127E" w:rsidR="00835A12" w:rsidRPr="000653A9" w:rsidRDefault="00835A12" w:rsidP="00587DDD">
            <w:pPr>
              <w:spacing w:after="0"/>
              <w:jc w:val="center"/>
              <w:rPr>
                <w:b/>
                <w:noProof/>
                <w:color w:val="auto"/>
                <w:sz w:val="22"/>
                <w:szCs w:val="22"/>
              </w:rPr>
            </w:pPr>
            <w:r w:rsidRPr="000653A9">
              <w:rPr>
                <w:b/>
                <w:noProof/>
                <w:color w:val="auto"/>
                <w:sz w:val="22"/>
                <w:szCs w:val="22"/>
              </w:rPr>
              <w:t>Economic impacts</w:t>
            </w:r>
          </w:p>
        </w:tc>
      </w:tr>
      <w:tr w:rsidR="00C600D7" w:rsidRPr="000653A9" w14:paraId="28CCF972" w14:textId="77777777" w:rsidTr="00294F5E">
        <w:trPr>
          <w:trHeight w:val="20"/>
        </w:trPr>
        <w:tc>
          <w:tcPr>
            <w:tcW w:w="0" w:type="auto"/>
          </w:tcPr>
          <w:p w14:paraId="06DB5BA4" w14:textId="77777777" w:rsidR="008B187D" w:rsidRPr="000653A9" w:rsidRDefault="008B187D" w:rsidP="00587DDD">
            <w:pPr>
              <w:spacing w:after="0"/>
              <w:rPr>
                <w:noProof/>
                <w:color w:val="auto"/>
                <w:sz w:val="22"/>
                <w:szCs w:val="22"/>
              </w:rPr>
            </w:pPr>
            <w:r w:rsidRPr="000653A9">
              <w:rPr>
                <w:noProof/>
                <w:color w:val="auto"/>
                <w:sz w:val="22"/>
                <w:szCs w:val="22"/>
              </w:rPr>
              <w:t>Adjustment cost to operator</w:t>
            </w:r>
          </w:p>
        </w:tc>
        <w:tc>
          <w:tcPr>
            <w:tcW w:w="2632" w:type="dxa"/>
          </w:tcPr>
          <w:p w14:paraId="2857571B" w14:textId="18DA1BF4" w:rsidR="008B187D" w:rsidRPr="000653A9" w:rsidRDefault="00DE4F1D" w:rsidP="00587DDD">
            <w:pPr>
              <w:spacing w:after="0"/>
              <w:jc w:val="center"/>
              <w:rPr>
                <w:noProof/>
                <w:color w:val="auto"/>
                <w:sz w:val="22"/>
                <w:szCs w:val="22"/>
              </w:rPr>
            </w:pPr>
            <w:r w:rsidRPr="000653A9">
              <w:rPr>
                <w:noProof/>
                <w:color w:val="auto"/>
                <w:sz w:val="22"/>
                <w:szCs w:val="22"/>
              </w:rPr>
              <w:t>0</w:t>
            </w:r>
          </w:p>
        </w:tc>
        <w:tc>
          <w:tcPr>
            <w:tcW w:w="2632" w:type="dxa"/>
          </w:tcPr>
          <w:p w14:paraId="39B566F3" w14:textId="79939F33" w:rsidR="008B187D" w:rsidRPr="000653A9" w:rsidRDefault="001E361A" w:rsidP="00587DDD">
            <w:pPr>
              <w:spacing w:after="0"/>
              <w:jc w:val="center"/>
              <w:rPr>
                <w:noProof/>
                <w:color w:val="auto"/>
                <w:sz w:val="22"/>
                <w:szCs w:val="22"/>
              </w:rPr>
            </w:pPr>
            <w:r w:rsidRPr="000653A9">
              <w:rPr>
                <w:noProof/>
                <w:color w:val="auto"/>
                <w:sz w:val="22"/>
                <w:szCs w:val="22"/>
              </w:rPr>
              <w:t>0</w:t>
            </w:r>
          </w:p>
        </w:tc>
      </w:tr>
      <w:tr w:rsidR="00C600D7" w:rsidRPr="000653A9" w14:paraId="046D560E" w14:textId="77777777" w:rsidTr="00294F5E">
        <w:trPr>
          <w:trHeight w:val="20"/>
        </w:trPr>
        <w:tc>
          <w:tcPr>
            <w:tcW w:w="0" w:type="auto"/>
          </w:tcPr>
          <w:p w14:paraId="5A8A5065" w14:textId="77777777" w:rsidR="008B187D" w:rsidRPr="000653A9" w:rsidRDefault="008B187D" w:rsidP="00587DDD">
            <w:pPr>
              <w:spacing w:after="0"/>
              <w:rPr>
                <w:noProof/>
                <w:color w:val="auto"/>
                <w:sz w:val="22"/>
                <w:szCs w:val="22"/>
              </w:rPr>
            </w:pPr>
            <w:r w:rsidRPr="000653A9">
              <w:rPr>
                <w:noProof/>
                <w:color w:val="auto"/>
                <w:sz w:val="22"/>
                <w:szCs w:val="22"/>
              </w:rPr>
              <w:t>Administrative cost to operator</w:t>
            </w:r>
          </w:p>
        </w:tc>
        <w:tc>
          <w:tcPr>
            <w:tcW w:w="2632" w:type="dxa"/>
          </w:tcPr>
          <w:p w14:paraId="073B258F" w14:textId="3994824B" w:rsidR="008B187D" w:rsidRPr="000653A9" w:rsidRDefault="00B754C1" w:rsidP="00587DDD">
            <w:pPr>
              <w:spacing w:after="0"/>
              <w:jc w:val="center"/>
              <w:rPr>
                <w:noProof/>
                <w:color w:val="auto"/>
                <w:sz w:val="22"/>
                <w:szCs w:val="22"/>
              </w:rPr>
            </w:pPr>
            <w:r w:rsidRPr="000653A9">
              <w:rPr>
                <w:noProof/>
                <w:color w:val="auto"/>
                <w:sz w:val="22"/>
                <w:szCs w:val="22"/>
              </w:rPr>
              <w:t>0/</w:t>
            </w:r>
            <w:r w:rsidR="00ED7CD1" w:rsidRPr="000653A9">
              <w:rPr>
                <w:noProof/>
                <w:color w:val="auto"/>
                <w:sz w:val="22"/>
                <w:szCs w:val="22"/>
              </w:rPr>
              <w:t>-</w:t>
            </w:r>
          </w:p>
        </w:tc>
        <w:tc>
          <w:tcPr>
            <w:tcW w:w="2632" w:type="dxa"/>
          </w:tcPr>
          <w:p w14:paraId="031CA3E3" w14:textId="0AAEE311" w:rsidR="008B187D" w:rsidRPr="000653A9" w:rsidRDefault="00355FA5" w:rsidP="00587DDD">
            <w:pPr>
              <w:spacing w:after="0"/>
              <w:jc w:val="center"/>
              <w:rPr>
                <w:noProof/>
                <w:color w:val="auto"/>
                <w:sz w:val="22"/>
                <w:szCs w:val="22"/>
              </w:rPr>
            </w:pPr>
            <w:r w:rsidRPr="000653A9">
              <w:rPr>
                <w:noProof/>
                <w:color w:val="auto"/>
                <w:sz w:val="22"/>
                <w:szCs w:val="22"/>
              </w:rPr>
              <w:t>0</w:t>
            </w:r>
            <w:r w:rsidR="001E361A" w:rsidRPr="000653A9">
              <w:rPr>
                <w:noProof/>
                <w:color w:val="auto"/>
                <w:sz w:val="22"/>
                <w:szCs w:val="22"/>
              </w:rPr>
              <w:t>/</w:t>
            </w:r>
            <w:r w:rsidR="00D71407" w:rsidRPr="000653A9">
              <w:rPr>
                <w:noProof/>
                <w:color w:val="auto"/>
                <w:sz w:val="22"/>
                <w:szCs w:val="22"/>
              </w:rPr>
              <w:t>-</w:t>
            </w:r>
          </w:p>
        </w:tc>
      </w:tr>
      <w:tr w:rsidR="00C600D7" w:rsidRPr="000653A9" w14:paraId="35089056" w14:textId="77777777" w:rsidTr="00294F5E">
        <w:trPr>
          <w:trHeight w:val="20"/>
        </w:trPr>
        <w:tc>
          <w:tcPr>
            <w:tcW w:w="0" w:type="auto"/>
          </w:tcPr>
          <w:p w14:paraId="718B11D4" w14:textId="77777777" w:rsidR="008B187D" w:rsidRPr="000653A9" w:rsidRDefault="008B187D" w:rsidP="00587DDD">
            <w:pPr>
              <w:spacing w:after="0"/>
              <w:rPr>
                <w:noProof/>
                <w:color w:val="auto"/>
                <w:sz w:val="22"/>
                <w:szCs w:val="22"/>
              </w:rPr>
            </w:pPr>
            <w:r w:rsidRPr="000653A9">
              <w:rPr>
                <w:noProof/>
                <w:color w:val="auto"/>
                <w:sz w:val="22"/>
                <w:szCs w:val="22"/>
              </w:rPr>
              <w:t>Administrative cost to competent authorities</w:t>
            </w:r>
          </w:p>
        </w:tc>
        <w:tc>
          <w:tcPr>
            <w:tcW w:w="2632" w:type="dxa"/>
          </w:tcPr>
          <w:p w14:paraId="7F37DB70" w14:textId="2CA251E1" w:rsidR="008B187D" w:rsidRPr="000653A9" w:rsidRDefault="00B754C1" w:rsidP="00587DDD">
            <w:pPr>
              <w:spacing w:after="0"/>
              <w:jc w:val="center"/>
              <w:rPr>
                <w:noProof/>
                <w:color w:val="auto"/>
                <w:sz w:val="22"/>
                <w:szCs w:val="22"/>
              </w:rPr>
            </w:pPr>
            <w:r w:rsidRPr="000653A9">
              <w:rPr>
                <w:noProof/>
                <w:color w:val="auto"/>
                <w:sz w:val="22"/>
                <w:szCs w:val="22"/>
              </w:rPr>
              <w:t>0/</w:t>
            </w:r>
            <w:r w:rsidR="00A52A88" w:rsidRPr="000653A9">
              <w:rPr>
                <w:noProof/>
                <w:color w:val="auto"/>
                <w:sz w:val="22"/>
                <w:szCs w:val="22"/>
              </w:rPr>
              <w:t>-</w:t>
            </w:r>
          </w:p>
        </w:tc>
        <w:tc>
          <w:tcPr>
            <w:tcW w:w="2632" w:type="dxa"/>
          </w:tcPr>
          <w:p w14:paraId="1CEA4768" w14:textId="60252034" w:rsidR="008B187D" w:rsidRPr="000653A9" w:rsidRDefault="00D71407" w:rsidP="00587DDD">
            <w:pPr>
              <w:spacing w:after="0"/>
              <w:jc w:val="center"/>
              <w:rPr>
                <w:noProof/>
                <w:color w:val="auto"/>
                <w:sz w:val="22"/>
                <w:szCs w:val="22"/>
              </w:rPr>
            </w:pPr>
            <w:r w:rsidRPr="000653A9">
              <w:rPr>
                <w:noProof/>
                <w:color w:val="auto"/>
                <w:sz w:val="22"/>
                <w:szCs w:val="22"/>
              </w:rPr>
              <w:t>-</w:t>
            </w:r>
          </w:p>
        </w:tc>
      </w:tr>
      <w:tr w:rsidR="00C600D7" w:rsidRPr="000653A9" w14:paraId="2DFFCC36" w14:textId="77777777" w:rsidTr="00294F5E">
        <w:trPr>
          <w:trHeight w:val="20"/>
        </w:trPr>
        <w:tc>
          <w:tcPr>
            <w:tcW w:w="0" w:type="auto"/>
          </w:tcPr>
          <w:p w14:paraId="249606DD" w14:textId="77777777" w:rsidR="008B187D" w:rsidRPr="000653A9" w:rsidRDefault="008B187D" w:rsidP="00587DDD">
            <w:pPr>
              <w:spacing w:after="0"/>
              <w:rPr>
                <w:noProof/>
                <w:color w:val="auto"/>
                <w:sz w:val="22"/>
                <w:szCs w:val="22"/>
              </w:rPr>
            </w:pPr>
            <w:r w:rsidRPr="000653A9">
              <w:rPr>
                <w:noProof/>
                <w:color w:val="auto"/>
                <w:sz w:val="22"/>
                <w:szCs w:val="22"/>
              </w:rPr>
              <w:t>Sectoral competitiveness</w:t>
            </w:r>
          </w:p>
        </w:tc>
        <w:tc>
          <w:tcPr>
            <w:tcW w:w="2632" w:type="dxa"/>
          </w:tcPr>
          <w:p w14:paraId="2A921B09" w14:textId="06C2BD9D" w:rsidR="008B187D" w:rsidRPr="000653A9" w:rsidRDefault="00B754C1" w:rsidP="00587DDD">
            <w:pPr>
              <w:spacing w:after="0"/>
              <w:jc w:val="center"/>
              <w:rPr>
                <w:noProof/>
                <w:color w:val="auto"/>
                <w:sz w:val="22"/>
                <w:szCs w:val="22"/>
              </w:rPr>
            </w:pPr>
            <w:r w:rsidRPr="000653A9">
              <w:rPr>
                <w:noProof/>
                <w:color w:val="auto"/>
                <w:sz w:val="22"/>
                <w:szCs w:val="22"/>
              </w:rPr>
              <w:t>0/+</w:t>
            </w:r>
          </w:p>
        </w:tc>
        <w:tc>
          <w:tcPr>
            <w:tcW w:w="2632" w:type="dxa"/>
          </w:tcPr>
          <w:p w14:paraId="4223FE70" w14:textId="77ABAA67" w:rsidR="008B187D" w:rsidRPr="000653A9" w:rsidRDefault="000724FC" w:rsidP="00587DDD">
            <w:pPr>
              <w:spacing w:after="0"/>
              <w:jc w:val="center"/>
              <w:rPr>
                <w:noProof/>
                <w:color w:val="auto"/>
                <w:sz w:val="22"/>
                <w:szCs w:val="22"/>
              </w:rPr>
            </w:pPr>
            <w:r w:rsidRPr="000653A9">
              <w:rPr>
                <w:noProof/>
                <w:color w:val="auto"/>
                <w:sz w:val="22"/>
                <w:szCs w:val="22"/>
              </w:rPr>
              <w:t>0/</w:t>
            </w:r>
            <w:r w:rsidR="00676FAF" w:rsidRPr="000653A9">
              <w:rPr>
                <w:noProof/>
                <w:color w:val="auto"/>
                <w:sz w:val="22"/>
                <w:szCs w:val="22"/>
              </w:rPr>
              <w:t>+</w:t>
            </w:r>
          </w:p>
        </w:tc>
      </w:tr>
      <w:tr w:rsidR="00C600D7" w:rsidRPr="000653A9" w14:paraId="53C44773" w14:textId="77777777" w:rsidTr="00294F5E">
        <w:trPr>
          <w:trHeight w:val="20"/>
        </w:trPr>
        <w:tc>
          <w:tcPr>
            <w:tcW w:w="0" w:type="auto"/>
          </w:tcPr>
          <w:p w14:paraId="4A94125E" w14:textId="10DA0907" w:rsidR="00676FAF" w:rsidRPr="002B04B9" w:rsidRDefault="00676FAF" w:rsidP="00587DDD">
            <w:pPr>
              <w:spacing w:after="0"/>
              <w:rPr>
                <w:noProof/>
                <w:color w:val="auto"/>
                <w:sz w:val="22"/>
                <w:szCs w:val="22"/>
                <w:lang w:val="sv-SE"/>
              </w:rPr>
            </w:pPr>
            <w:r w:rsidRPr="002B04B9">
              <w:rPr>
                <w:noProof/>
                <w:color w:val="auto"/>
                <w:sz w:val="22"/>
                <w:szCs w:val="22"/>
                <w:lang w:val="sv-SE"/>
              </w:rPr>
              <w:t xml:space="preserve">Reduce distortion in </w:t>
            </w:r>
            <w:r w:rsidR="002C300C" w:rsidRPr="002B04B9">
              <w:rPr>
                <w:noProof/>
                <w:color w:val="auto"/>
                <w:sz w:val="22"/>
                <w:szCs w:val="22"/>
                <w:lang w:val="sv-SE"/>
              </w:rPr>
              <w:t>EU internal market</w:t>
            </w:r>
          </w:p>
        </w:tc>
        <w:tc>
          <w:tcPr>
            <w:tcW w:w="2632" w:type="dxa"/>
          </w:tcPr>
          <w:p w14:paraId="2D916DB3" w14:textId="5B129F16" w:rsidR="00676FAF" w:rsidRPr="000653A9" w:rsidRDefault="002C300C" w:rsidP="00587DDD">
            <w:pPr>
              <w:spacing w:after="0"/>
              <w:jc w:val="center"/>
              <w:rPr>
                <w:noProof/>
                <w:color w:val="auto"/>
                <w:sz w:val="22"/>
                <w:szCs w:val="22"/>
              </w:rPr>
            </w:pPr>
            <w:r w:rsidRPr="000653A9">
              <w:rPr>
                <w:noProof/>
                <w:color w:val="auto"/>
                <w:sz w:val="22"/>
                <w:szCs w:val="22"/>
              </w:rPr>
              <w:t>0</w:t>
            </w:r>
          </w:p>
        </w:tc>
        <w:tc>
          <w:tcPr>
            <w:tcW w:w="2632" w:type="dxa"/>
          </w:tcPr>
          <w:p w14:paraId="3F2A45CB" w14:textId="11B5E2D5" w:rsidR="00676FAF" w:rsidRPr="000653A9" w:rsidRDefault="002C300C" w:rsidP="00587DDD">
            <w:pPr>
              <w:spacing w:after="0"/>
              <w:jc w:val="center"/>
              <w:rPr>
                <w:noProof/>
                <w:color w:val="auto"/>
                <w:sz w:val="22"/>
                <w:szCs w:val="22"/>
              </w:rPr>
            </w:pPr>
            <w:r w:rsidRPr="000653A9">
              <w:rPr>
                <w:noProof/>
                <w:color w:val="auto"/>
                <w:sz w:val="22"/>
                <w:szCs w:val="22"/>
              </w:rPr>
              <w:t>+</w:t>
            </w:r>
          </w:p>
        </w:tc>
      </w:tr>
      <w:tr w:rsidR="00C600D7" w:rsidRPr="000653A9" w14:paraId="6615D90D" w14:textId="77777777" w:rsidTr="00294F5E">
        <w:trPr>
          <w:trHeight w:val="20"/>
        </w:trPr>
        <w:tc>
          <w:tcPr>
            <w:tcW w:w="0" w:type="auto"/>
          </w:tcPr>
          <w:p w14:paraId="494A127A" w14:textId="77777777" w:rsidR="00C075B2" w:rsidRPr="000653A9" w:rsidRDefault="00C075B2" w:rsidP="00587DDD">
            <w:pPr>
              <w:spacing w:after="0"/>
              <w:rPr>
                <w:noProof/>
                <w:color w:val="auto"/>
                <w:sz w:val="22"/>
                <w:szCs w:val="22"/>
              </w:rPr>
            </w:pPr>
            <w:r w:rsidRPr="000653A9">
              <w:rPr>
                <w:noProof/>
                <w:color w:val="auto"/>
                <w:sz w:val="22"/>
                <w:szCs w:val="22"/>
              </w:rPr>
              <w:t>GDP impact</w:t>
            </w:r>
          </w:p>
        </w:tc>
        <w:tc>
          <w:tcPr>
            <w:tcW w:w="2632" w:type="dxa"/>
          </w:tcPr>
          <w:p w14:paraId="39B3AA83" w14:textId="41766C93" w:rsidR="00C075B2" w:rsidRPr="000653A9" w:rsidRDefault="00C075B2" w:rsidP="00587DDD">
            <w:pPr>
              <w:spacing w:after="0"/>
              <w:jc w:val="center"/>
              <w:rPr>
                <w:noProof/>
                <w:color w:val="auto"/>
                <w:sz w:val="22"/>
                <w:szCs w:val="22"/>
              </w:rPr>
            </w:pPr>
            <w:r w:rsidRPr="000653A9">
              <w:rPr>
                <w:noProof/>
                <w:color w:val="auto"/>
                <w:sz w:val="22"/>
                <w:szCs w:val="22"/>
              </w:rPr>
              <w:t>0/+</w:t>
            </w:r>
          </w:p>
        </w:tc>
        <w:tc>
          <w:tcPr>
            <w:tcW w:w="2632" w:type="dxa"/>
          </w:tcPr>
          <w:p w14:paraId="3CA13569" w14:textId="7439F138" w:rsidR="00C075B2" w:rsidRPr="000653A9" w:rsidRDefault="00F6379D" w:rsidP="00587DDD">
            <w:pPr>
              <w:spacing w:after="0"/>
              <w:jc w:val="center"/>
              <w:rPr>
                <w:noProof/>
                <w:color w:val="auto"/>
                <w:sz w:val="22"/>
                <w:szCs w:val="22"/>
              </w:rPr>
            </w:pPr>
            <w:r w:rsidRPr="000653A9">
              <w:rPr>
                <w:noProof/>
                <w:color w:val="auto"/>
                <w:sz w:val="22"/>
                <w:szCs w:val="22"/>
              </w:rPr>
              <w:t>0/</w:t>
            </w:r>
            <w:r w:rsidR="00C075B2" w:rsidRPr="000653A9">
              <w:rPr>
                <w:noProof/>
                <w:color w:val="auto"/>
                <w:sz w:val="22"/>
                <w:szCs w:val="22"/>
              </w:rPr>
              <w:t>+</w:t>
            </w:r>
          </w:p>
        </w:tc>
      </w:tr>
      <w:tr w:rsidR="00C600D7" w:rsidRPr="000653A9" w14:paraId="3FFA7CB9" w14:textId="77777777" w:rsidTr="00294F5E">
        <w:trPr>
          <w:trHeight w:val="20"/>
        </w:trPr>
        <w:tc>
          <w:tcPr>
            <w:tcW w:w="0" w:type="auto"/>
          </w:tcPr>
          <w:p w14:paraId="6F34B304" w14:textId="77777777" w:rsidR="008B187D" w:rsidRPr="000653A9" w:rsidRDefault="008B187D" w:rsidP="00587DDD">
            <w:pPr>
              <w:spacing w:after="0"/>
              <w:rPr>
                <w:noProof/>
                <w:color w:val="auto"/>
                <w:sz w:val="22"/>
                <w:szCs w:val="22"/>
              </w:rPr>
            </w:pPr>
            <w:r w:rsidRPr="000653A9">
              <w:rPr>
                <w:noProof/>
                <w:color w:val="auto"/>
                <w:sz w:val="22"/>
                <w:szCs w:val="22"/>
              </w:rPr>
              <w:t>Innovation impact</w:t>
            </w:r>
          </w:p>
        </w:tc>
        <w:tc>
          <w:tcPr>
            <w:tcW w:w="2632" w:type="dxa"/>
          </w:tcPr>
          <w:p w14:paraId="53C4A4DA" w14:textId="0C5850D5" w:rsidR="008B187D" w:rsidRPr="000653A9" w:rsidRDefault="00C075B2" w:rsidP="00587DDD">
            <w:pPr>
              <w:spacing w:after="0"/>
              <w:jc w:val="center"/>
              <w:rPr>
                <w:noProof/>
                <w:color w:val="auto"/>
                <w:sz w:val="22"/>
                <w:szCs w:val="22"/>
              </w:rPr>
            </w:pPr>
            <w:r w:rsidRPr="000653A9">
              <w:rPr>
                <w:noProof/>
                <w:color w:val="auto"/>
                <w:sz w:val="22"/>
                <w:szCs w:val="22"/>
              </w:rPr>
              <w:t>+</w:t>
            </w:r>
          </w:p>
        </w:tc>
        <w:tc>
          <w:tcPr>
            <w:tcW w:w="2632" w:type="dxa"/>
          </w:tcPr>
          <w:p w14:paraId="39F51789" w14:textId="5184DFBD" w:rsidR="008B187D" w:rsidRPr="000653A9" w:rsidRDefault="00C075B2" w:rsidP="00587DDD">
            <w:pPr>
              <w:spacing w:after="0"/>
              <w:jc w:val="center"/>
              <w:rPr>
                <w:noProof/>
                <w:color w:val="auto"/>
                <w:sz w:val="22"/>
                <w:szCs w:val="22"/>
              </w:rPr>
            </w:pPr>
            <w:r w:rsidRPr="000653A9">
              <w:rPr>
                <w:noProof/>
                <w:color w:val="auto"/>
                <w:sz w:val="22"/>
                <w:szCs w:val="22"/>
              </w:rPr>
              <w:t>+</w:t>
            </w:r>
          </w:p>
        </w:tc>
      </w:tr>
      <w:tr w:rsidR="00C600D7" w:rsidRPr="000653A9" w14:paraId="28C78436" w14:textId="77777777" w:rsidTr="00294F5E">
        <w:trPr>
          <w:trHeight w:val="20"/>
        </w:trPr>
        <w:tc>
          <w:tcPr>
            <w:tcW w:w="0" w:type="auto"/>
            <w:gridSpan w:val="3"/>
          </w:tcPr>
          <w:p w14:paraId="5D219926" w14:textId="29684C6A" w:rsidR="00113CD2" w:rsidRPr="000653A9" w:rsidRDefault="00113CD2" w:rsidP="00587DDD">
            <w:pPr>
              <w:spacing w:after="0"/>
              <w:jc w:val="center"/>
              <w:rPr>
                <w:b/>
                <w:noProof/>
                <w:color w:val="auto"/>
                <w:sz w:val="22"/>
                <w:szCs w:val="22"/>
              </w:rPr>
            </w:pPr>
            <w:r w:rsidRPr="000653A9">
              <w:rPr>
                <w:b/>
                <w:noProof/>
                <w:color w:val="auto"/>
                <w:sz w:val="22"/>
                <w:szCs w:val="22"/>
              </w:rPr>
              <w:t>Social impacts</w:t>
            </w:r>
          </w:p>
        </w:tc>
      </w:tr>
      <w:tr w:rsidR="00C600D7" w:rsidRPr="000653A9" w14:paraId="7C25324E" w14:textId="77777777" w:rsidTr="00294F5E">
        <w:trPr>
          <w:trHeight w:val="20"/>
        </w:trPr>
        <w:tc>
          <w:tcPr>
            <w:tcW w:w="0" w:type="auto"/>
          </w:tcPr>
          <w:p w14:paraId="0927C70A" w14:textId="77777777" w:rsidR="004A237D" w:rsidRPr="000653A9" w:rsidRDefault="004A237D" w:rsidP="00587DDD">
            <w:pPr>
              <w:spacing w:after="0"/>
              <w:rPr>
                <w:noProof/>
                <w:color w:val="auto"/>
                <w:sz w:val="22"/>
                <w:szCs w:val="22"/>
              </w:rPr>
            </w:pPr>
            <w:r w:rsidRPr="000653A9">
              <w:rPr>
                <w:noProof/>
                <w:color w:val="auto"/>
                <w:sz w:val="22"/>
                <w:szCs w:val="22"/>
              </w:rPr>
              <w:t>Employment</w:t>
            </w:r>
          </w:p>
        </w:tc>
        <w:tc>
          <w:tcPr>
            <w:tcW w:w="2632" w:type="dxa"/>
          </w:tcPr>
          <w:p w14:paraId="560B7FAE" w14:textId="6313AA54" w:rsidR="004A237D" w:rsidRPr="000653A9" w:rsidRDefault="004A237D" w:rsidP="00587DDD">
            <w:pPr>
              <w:spacing w:after="0"/>
              <w:jc w:val="center"/>
              <w:rPr>
                <w:noProof/>
                <w:color w:val="auto"/>
                <w:sz w:val="22"/>
                <w:szCs w:val="22"/>
              </w:rPr>
            </w:pPr>
            <w:r w:rsidRPr="000653A9">
              <w:rPr>
                <w:noProof/>
                <w:color w:val="auto"/>
                <w:sz w:val="22"/>
                <w:szCs w:val="22"/>
              </w:rPr>
              <w:t>0/+</w:t>
            </w:r>
          </w:p>
        </w:tc>
        <w:tc>
          <w:tcPr>
            <w:tcW w:w="2632" w:type="dxa"/>
          </w:tcPr>
          <w:p w14:paraId="122E2722" w14:textId="287C69E2" w:rsidR="004A237D" w:rsidRPr="000653A9" w:rsidRDefault="00F6379D" w:rsidP="00587DDD">
            <w:pPr>
              <w:spacing w:after="0"/>
              <w:jc w:val="center"/>
              <w:rPr>
                <w:noProof/>
                <w:color w:val="auto"/>
                <w:sz w:val="22"/>
                <w:szCs w:val="22"/>
              </w:rPr>
            </w:pPr>
            <w:r w:rsidRPr="000653A9">
              <w:rPr>
                <w:noProof/>
                <w:color w:val="auto"/>
                <w:sz w:val="22"/>
                <w:szCs w:val="22"/>
              </w:rPr>
              <w:t>0/</w:t>
            </w:r>
            <w:r w:rsidR="004A237D" w:rsidRPr="000653A9">
              <w:rPr>
                <w:noProof/>
                <w:color w:val="auto"/>
                <w:sz w:val="22"/>
                <w:szCs w:val="22"/>
              </w:rPr>
              <w:t>+</w:t>
            </w:r>
          </w:p>
        </w:tc>
      </w:tr>
      <w:tr w:rsidR="004A237D" w:rsidRPr="000653A9" w14:paraId="3285BCD2" w14:textId="77777777" w:rsidTr="00294F5E">
        <w:trPr>
          <w:trHeight w:val="20"/>
        </w:trPr>
        <w:tc>
          <w:tcPr>
            <w:tcW w:w="0" w:type="auto"/>
          </w:tcPr>
          <w:p w14:paraId="3A07C1F6" w14:textId="77777777" w:rsidR="004A237D" w:rsidRPr="000653A9" w:rsidRDefault="004A237D" w:rsidP="00587DDD">
            <w:pPr>
              <w:spacing w:after="0"/>
              <w:rPr>
                <w:noProof/>
                <w:color w:val="auto"/>
                <w:sz w:val="22"/>
                <w:szCs w:val="22"/>
              </w:rPr>
            </w:pPr>
            <w:r w:rsidRPr="000653A9">
              <w:rPr>
                <w:noProof/>
                <w:color w:val="auto"/>
                <w:sz w:val="22"/>
                <w:szCs w:val="22"/>
              </w:rPr>
              <w:t>Fundamental rights</w:t>
            </w:r>
          </w:p>
        </w:tc>
        <w:tc>
          <w:tcPr>
            <w:tcW w:w="2632" w:type="dxa"/>
          </w:tcPr>
          <w:p w14:paraId="56A8DC4C" w14:textId="77777777" w:rsidR="004A237D" w:rsidRPr="000653A9" w:rsidRDefault="004A237D" w:rsidP="00587DDD">
            <w:pPr>
              <w:spacing w:after="0"/>
              <w:jc w:val="center"/>
              <w:rPr>
                <w:noProof/>
                <w:color w:val="auto"/>
                <w:sz w:val="22"/>
                <w:szCs w:val="22"/>
              </w:rPr>
            </w:pPr>
            <w:r w:rsidRPr="000653A9">
              <w:rPr>
                <w:noProof/>
                <w:color w:val="auto"/>
                <w:sz w:val="22"/>
                <w:szCs w:val="22"/>
              </w:rPr>
              <w:t>0</w:t>
            </w:r>
          </w:p>
        </w:tc>
        <w:tc>
          <w:tcPr>
            <w:tcW w:w="2632" w:type="dxa"/>
          </w:tcPr>
          <w:p w14:paraId="271838F6" w14:textId="77777777" w:rsidR="004A237D" w:rsidRPr="000653A9" w:rsidRDefault="004A237D" w:rsidP="00587DDD">
            <w:pPr>
              <w:spacing w:after="0"/>
              <w:jc w:val="center"/>
              <w:rPr>
                <w:noProof/>
                <w:color w:val="auto"/>
                <w:sz w:val="22"/>
                <w:szCs w:val="22"/>
              </w:rPr>
            </w:pPr>
            <w:r w:rsidRPr="000653A9">
              <w:rPr>
                <w:noProof/>
                <w:color w:val="auto"/>
                <w:sz w:val="22"/>
                <w:szCs w:val="22"/>
              </w:rPr>
              <w:t>0</w:t>
            </w:r>
          </w:p>
        </w:tc>
      </w:tr>
    </w:tbl>
    <w:p w14:paraId="1D33ACC2" w14:textId="77777777" w:rsidR="00CC4F87" w:rsidRDefault="00016ACA" w:rsidP="00F73B5B">
      <w:pPr>
        <w:pStyle w:val="Heading1COM"/>
        <w:outlineLvl w:val="1"/>
        <w:rPr>
          <w:noProof/>
        </w:rPr>
      </w:pPr>
      <w:bookmarkStart w:id="532" w:name="_Ref199739499"/>
      <w:bookmarkStart w:id="533" w:name="_Toc211518743"/>
      <w:bookmarkStart w:id="534" w:name="_Toc212049725"/>
      <w:bookmarkStart w:id="535" w:name="_Toc230857928"/>
      <w:bookmarkStart w:id="536" w:name="_Toc232751119"/>
      <w:r w:rsidRPr="000653A9">
        <w:rPr>
          <w:noProof/>
        </w:rPr>
        <w:t>20 MW Threshold</w:t>
      </w:r>
      <w:bookmarkEnd w:id="532"/>
      <w:bookmarkEnd w:id="533"/>
      <w:bookmarkEnd w:id="534"/>
      <w:bookmarkEnd w:id="535"/>
      <w:bookmarkEnd w:id="536"/>
    </w:p>
    <w:p w14:paraId="3684244B" w14:textId="30A17AB8" w:rsidR="00D679AB" w:rsidRPr="000653A9" w:rsidRDefault="00D679AB" w:rsidP="00F73B5B">
      <w:pPr>
        <w:rPr>
          <w:noProof/>
          <w:color w:val="auto"/>
        </w:rPr>
      </w:pPr>
      <w:r w:rsidRPr="000653A9">
        <w:rPr>
          <w:noProof/>
          <w:color w:val="auto"/>
        </w:rPr>
        <w:t>Small installations with lower annual emissions incur a higher cost per tCO</w:t>
      </w:r>
      <w:r w:rsidRPr="000653A9">
        <w:rPr>
          <w:noProof/>
          <w:color w:val="auto"/>
          <w:vertAlign w:val="subscript"/>
        </w:rPr>
        <w:t>2</w:t>
      </w:r>
      <w:r w:rsidRPr="000653A9">
        <w:rPr>
          <w:noProof/>
          <w:color w:val="auto"/>
        </w:rPr>
        <w:t xml:space="preserve">e emitted when participating in the EU ETS than larger installations. This is primarily attributable to the fixed costs associated with system participation. The ETS Directive </w:t>
      </w:r>
      <w:r w:rsidR="001647F8" w:rsidRPr="000653A9">
        <w:rPr>
          <w:noProof/>
          <w:color w:val="auto"/>
        </w:rPr>
        <w:t xml:space="preserve">therefore </w:t>
      </w:r>
      <w:r w:rsidRPr="000653A9">
        <w:rPr>
          <w:noProof/>
          <w:color w:val="auto"/>
        </w:rPr>
        <w:t xml:space="preserve">excludes installations, generally defined as those with total rated thermal capacity below 20MW. Articles 27 and 27a of the ETS Directive provide additional options to exclude some installations. </w:t>
      </w:r>
    </w:p>
    <w:p w14:paraId="067111EA" w14:textId="77777777" w:rsidR="00D679AB" w:rsidRPr="000653A9" w:rsidRDefault="00D679AB" w:rsidP="00F73B5B">
      <w:pPr>
        <w:rPr>
          <w:noProof/>
          <w:color w:val="auto"/>
        </w:rPr>
      </w:pPr>
      <w:r w:rsidRPr="000653A9">
        <w:rPr>
          <w:noProof/>
          <w:color w:val="auto"/>
        </w:rPr>
        <w:t>Since all emitters in the EU need to contribute to the EU’s climate goals and ideally face the same carbon price, it is therefore worthwhile to explore the option of expanding the system to smaller installations which are currently excluded. Furthermore, the Commission is required to consider the feasibility of lowering the 20MW thermal capacity threshold as per Article 30(5)(b) of the ETS Directive.</w:t>
      </w:r>
    </w:p>
    <w:p w14:paraId="3AC8E81E" w14:textId="77777777" w:rsidR="00D679AB" w:rsidRPr="000653A9" w:rsidRDefault="00D679AB" w:rsidP="00794BC8">
      <w:pPr>
        <w:pStyle w:val="Heading2COM"/>
        <w:ind w:left="788" w:hanging="431"/>
        <w:outlineLvl w:val="2"/>
        <w15:collapsed w:val="0"/>
        <w:rPr>
          <w:noProof/>
        </w:rPr>
      </w:pPr>
      <w:bookmarkStart w:id="537" w:name="_Toc215676741"/>
      <w:bookmarkStart w:id="538" w:name="_Toc212621543"/>
      <w:bookmarkStart w:id="539" w:name="_Toc212621610"/>
      <w:bookmarkStart w:id="540" w:name="_Toc212621769"/>
      <w:bookmarkStart w:id="541" w:name="_Toc212709098"/>
      <w:bookmarkStart w:id="542" w:name="_Toc204154721"/>
      <w:bookmarkStart w:id="543" w:name="_Toc211518744"/>
      <w:bookmarkStart w:id="544" w:name="_Toc212049726"/>
      <w:bookmarkStart w:id="545" w:name="_Toc230857929"/>
      <w:bookmarkStart w:id="546" w:name="_Toc232751120"/>
      <w:bookmarkEnd w:id="537"/>
      <w:bookmarkEnd w:id="538"/>
      <w:bookmarkEnd w:id="539"/>
      <w:bookmarkEnd w:id="540"/>
      <w:bookmarkEnd w:id="541"/>
      <w:r w:rsidRPr="000653A9">
        <w:rPr>
          <w:noProof/>
        </w:rPr>
        <w:t>Scoping exercises</w:t>
      </w:r>
      <w:bookmarkEnd w:id="542"/>
      <w:bookmarkEnd w:id="543"/>
      <w:bookmarkEnd w:id="544"/>
      <w:bookmarkEnd w:id="545"/>
      <w:bookmarkEnd w:id="546"/>
    </w:p>
    <w:p w14:paraId="487DA3E2" w14:textId="67E729CD" w:rsidR="00D679AB" w:rsidRPr="000653A9" w:rsidRDefault="00797743" w:rsidP="00F73B5B">
      <w:pPr>
        <w:rPr>
          <w:noProof/>
          <w:color w:val="auto"/>
        </w:rPr>
      </w:pPr>
      <w:r w:rsidRPr="000653A9">
        <w:rPr>
          <w:noProof/>
          <w:color w:val="auto"/>
        </w:rPr>
        <w:t>A</w:t>
      </w:r>
      <w:r w:rsidR="00D679AB" w:rsidRPr="000653A9">
        <w:rPr>
          <w:noProof/>
          <w:color w:val="auto"/>
        </w:rPr>
        <w:t xml:space="preserve"> scoping exercise</w:t>
      </w:r>
      <w:r w:rsidRPr="000653A9">
        <w:rPr>
          <w:noProof/>
          <w:color w:val="auto"/>
        </w:rPr>
        <w:t xml:space="preserve"> was conducted </w:t>
      </w:r>
      <w:r w:rsidR="00B35210" w:rsidRPr="000653A9">
        <w:rPr>
          <w:noProof/>
          <w:color w:val="auto"/>
        </w:rPr>
        <w:t xml:space="preserve">to identify which emissions could in principle be added to </w:t>
      </w:r>
      <w:r w:rsidR="00190900" w:rsidRPr="000653A9">
        <w:rPr>
          <w:noProof/>
          <w:color w:val="auto"/>
        </w:rPr>
        <w:t xml:space="preserve">the EU ETS </w:t>
      </w:r>
      <w:r w:rsidR="00B35210" w:rsidRPr="000653A9">
        <w:rPr>
          <w:noProof/>
          <w:color w:val="auto"/>
        </w:rPr>
        <w:t>if the 20MW capacity threshold were to be lowered.</w:t>
      </w:r>
    </w:p>
    <w:p w14:paraId="35B3A9AD" w14:textId="77271673" w:rsidR="00D679AB" w:rsidRPr="000653A9" w:rsidRDefault="00D679AB" w:rsidP="00F73B5B">
      <w:pPr>
        <w:rPr>
          <w:noProof/>
          <w:color w:val="auto"/>
        </w:rPr>
      </w:pPr>
      <w:r w:rsidRPr="000653A9">
        <w:rPr>
          <w:noProof/>
          <w:color w:val="auto"/>
        </w:rPr>
        <w:t>This identifi</w:t>
      </w:r>
      <w:r w:rsidR="0048073D" w:rsidRPr="000653A9">
        <w:rPr>
          <w:noProof/>
          <w:color w:val="auto"/>
        </w:rPr>
        <w:t>ed</w:t>
      </w:r>
      <w:r w:rsidRPr="000653A9">
        <w:rPr>
          <w:noProof/>
          <w:color w:val="auto"/>
        </w:rPr>
        <w:t xml:space="preserve"> emissions that are:</w:t>
      </w:r>
    </w:p>
    <w:p w14:paraId="48812FCF" w14:textId="5BA5A5AF" w:rsidR="00D679AB" w:rsidRPr="000653A9" w:rsidRDefault="00D679AB" w:rsidP="00CD163F">
      <w:pPr>
        <w:pStyle w:val="ListParagraph"/>
        <w:numPr>
          <w:ilvl w:val="0"/>
          <w:numId w:val="5"/>
        </w:numPr>
        <w:rPr>
          <w:noProof/>
          <w:color w:val="auto"/>
        </w:rPr>
      </w:pPr>
      <w:r w:rsidRPr="000653A9">
        <w:rPr>
          <w:noProof/>
          <w:color w:val="auto"/>
        </w:rPr>
        <w:t xml:space="preserve">not currently covered by </w:t>
      </w:r>
      <w:r w:rsidR="00190900" w:rsidRPr="000653A9">
        <w:rPr>
          <w:noProof/>
          <w:color w:val="auto"/>
        </w:rPr>
        <w:t>EU ETS</w:t>
      </w:r>
      <w:r w:rsidRPr="000653A9">
        <w:rPr>
          <w:noProof/>
          <w:color w:val="auto"/>
        </w:rPr>
        <w:t xml:space="preserve">, but arise from activities that are within its sectoral scope; and </w:t>
      </w:r>
    </w:p>
    <w:p w14:paraId="1F13E980" w14:textId="77777777" w:rsidR="00D679AB" w:rsidRPr="000653A9" w:rsidRDefault="00D679AB" w:rsidP="00CD163F">
      <w:pPr>
        <w:pStyle w:val="ListParagraph"/>
        <w:numPr>
          <w:ilvl w:val="0"/>
          <w:numId w:val="5"/>
        </w:numPr>
        <w:rPr>
          <w:noProof/>
          <w:color w:val="auto"/>
        </w:rPr>
      </w:pPr>
      <w:r w:rsidRPr="000653A9">
        <w:rPr>
          <w:noProof/>
          <w:color w:val="auto"/>
        </w:rPr>
        <w:t>are outside the scope of ETS2: (the emissions trading system for buildings, road transport and additional sectors.</w:t>
      </w:r>
    </w:p>
    <w:p w14:paraId="445F352D" w14:textId="47E94795" w:rsidR="00095DB2" w:rsidRPr="000653A9" w:rsidRDefault="002D0A2A" w:rsidP="2B7FB05A">
      <w:pPr>
        <w:rPr>
          <w:noProof/>
          <w:color w:val="auto"/>
        </w:rPr>
      </w:pPr>
      <w:r w:rsidRPr="000653A9">
        <w:rPr>
          <w:noProof/>
          <w:color w:val="auto"/>
        </w:rPr>
        <w:t xml:space="preserve">These emissions were estimated in a two-step process. </w:t>
      </w:r>
      <w:r w:rsidR="009421E6" w:rsidRPr="000653A9">
        <w:rPr>
          <w:noProof/>
          <w:color w:val="auto"/>
        </w:rPr>
        <w:t xml:space="preserve">Firstly, </w:t>
      </w:r>
      <w:r w:rsidR="00A236B6" w:rsidRPr="000653A9">
        <w:rPr>
          <w:noProof/>
          <w:color w:val="auto"/>
        </w:rPr>
        <w:t>the relevant GHG emissions beneath the 20 MW threshold were estimated using a combination of</w:t>
      </w:r>
      <w:r w:rsidR="00095DB2" w:rsidRPr="000653A9">
        <w:rPr>
          <w:noProof/>
          <w:color w:val="auto"/>
        </w:rPr>
        <w:t>:</w:t>
      </w:r>
    </w:p>
    <w:p w14:paraId="7B401545" w14:textId="77777777" w:rsidR="00095DB2" w:rsidRPr="000653A9" w:rsidRDefault="00D679AB" w:rsidP="004A1C30">
      <w:pPr>
        <w:pStyle w:val="ListParagraph"/>
        <w:numPr>
          <w:ilvl w:val="0"/>
          <w:numId w:val="30"/>
        </w:numPr>
        <w:rPr>
          <w:noProof/>
          <w:color w:val="auto"/>
        </w:rPr>
      </w:pPr>
      <w:r w:rsidRPr="000653A9">
        <w:rPr>
          <w:noProof/>
          <w:color w:val="auto"/>
        </w:rPr>
        <w:t>UNFCCC (CRF) inventories</w:t>
      </w:r>
      <w:r w:rsidRPr="000653A9">
        <w:rPr>
          <w:rStyle w:val="FootnoteReference"/>
          <w:noProof/>
          <w:color w:val="auto"/>
          <w:szCs w:val="28"/>
        </w:rPr>
        <w:footnoteReference w:id="31"/>
      </w:r>
      <w:r w:rsidR="00722ECA" w:rsidRPr="000653A9">
        <w:rPr>
          <w:noProof/>
          <w:color w:val="auto"/>
        </w:rPr>
        <w:t xml:space="preserve">, </w:t>
      </w:r>
    </w:p>
    <w:p w14:paraId="5257DEFC" w14:textId="77777777" w:rsidR="00095DB2" w:rsidRPr="000653A9" w:rsidRDefault="00D679AB" w:rsidP="004A1C30">
      <w:pPr>
        <w:pStyle w:val="ListParagraph"/>
        <w:numPr>
          <w:ilvl w:val="0"/>
          <w:numId w:val="30"/>
        </w:numPr>
        <w:rPr>
          <w:noProof/>
          <w:color w:val="auto"/>
        </w:rPr>
      </w:pPr>
      <w:r w:rsidRPr="000653A9">
        <w:rPr>
          <w:noProof/>
          <w:color w:val="auto"/>
        </w:rPr>
        <w:t>EU ETS verified emissions</w:t>
      </w:r>
      <w:r w:rsidRPr="000653A9">
        <w:rPr>
          <w:rStyle w:val="FootnoteReference"/>
          <w:noProof/>
          <w:color w:val="auto"/>
          <w:szCs w:val="28"/>
        </w:rPr>
        <w:footnoteReference w:id="32"/>
      </w:r>
      <w:r w:rsidR="00600F65" w:rsidRPr="000653A9">
        <w:rPr>
          <w:noProof/>
          <w:color w:val="auto"/>
        </w:rPr>
        <w:t xml:space="preserve">, </w:t>
      </w:r>
    </w:p>
    <w:p w14:paraId="2F002376" w14:textId="77777777" w:rsidR="00095DB2" w:rsidRPr="000653A9" w:rsidRDefault="00D679AB" w:rsidP="004A1C30">
      <w:pPr>
        <w:pStyle w:val="ListParagraph"/>
        <w:numPr>
          <w:ilvl w:val="0"/>
          <w:numId w:val="30"/>
        </w:numPr>
        <w:rPr>
          <w:noProof/>
          <w:color w:val="auto"/>
        </w:rPr>
      </w:pPr>
      <w:r w:rsidRPr="000653A9">
        <w:rPr>
          <w:noProof/>
          <w:color w:val="auto"/>
        </w:rPr>
        <w:t>Article 14 (Governance Regulation) reports which map EU ETS verified emissions to Common Reporting Format (CRF) categories</w:t>
      </w:r>
      <w:r w:rsidR="00600F65" w:rsidRPr="000653A9">
        <w:rPr>
          <w:noProof/>
          <w:color w:val="auto"/>
        </w:rPr>
        <w:t>, and</w:t>
      </w:r>
      <w:r w:rsidR="00247394" w:rsidRPr="000653A9">
        <w:rPr>
          <w:noProof/>
          <w:color w:val="auto"/>
        </w:rPr>
        <w:t xml:space="preserve"> </w:t>
      </w:r>
    </w:p>
    <w:p w14:paraId="4FEA17C3" w14:textId="4A8A8395" w:rsidR="00D679AB" w:rsidRPr="000653A9" w:rsidRDefault="000A1398" w:rsidP="004A1C30">
      <w:pPr>
        <w:pStyle w:val="ListParagraph"/>
        <w:numPr>
          <w:ilvl w:val="0"/>
          <w:numId w:val="30"/>
        </w:numPr>
        <w:rPr>
          <w:noProof/>
          <w:color w:val="auto"/>
        </w:rPr>
      </w:pPr>
      <w:r w:rsidRPr="000653A9">
        <w:rPr>
          <w:noProof/>
          <w:color w:val="auto"/>
        </w:rPr>
        <w:t>D</w:t>
      </w:r>
      <w:r w:rsidR="00D679AB" w:rsidRPr="000653A9">
        <w:rPr>
          <w:noProof/>
          <w:color w:val="auto"/>
        </w:rPr>
        <w:t>ata on Article 27/27a exclusions by Member States, which allow some small installations to be excluded from EU ETS, subject to certain conditions.</w:t>
      </w:r>
    </w:p>
    <w:p w14:paraId="350D1842" w14:textId="3FEA0D8F" w:rsidR="00421233" w:rsidRDefault="00D679AB" w:rsidP="00041134">
      <w:pPr>
        <w:rPr>
          <w:noProof/>
          <w:color w:val="auto"/>
        </w:rPr>
      </w:pPr>
      <w:r w:rsidRPr="000653A9">
        <w:rPr>
          <w:noProof/>
          <w:color w:val="auto"/>
        </w:rPr>
        <w:t>As a second step the feasibility of lowering the threshold was assessed using data from individual Member States’ national Medium Combustion Plant (MCP) registries</w:t>
      </w:r>
      <w:r w:rsidR="0049505B" w:rsidRPr="000653A9">
        <w:rPr>
          <w:noProof/>
          <w:color w:val="auto"/>
        </w:rPr>
        <w:t xml:space="preserve"> </w:t>
      </w:r>
      <w:r w:rsidR="006459E1" w:rsidRPr="000653A9">
        <w:rPr>
          <w:noProof/>
          <w:color w:val="auto"/>
        </w:rPr>
        <w:t>to</w:t>
      </w:r>
      <w:r w:rsidR="0049505B" w:rsidRPr="000653A9">
        <w:rPr>
          <w:noProof/>
          <w:color w:val="auto"/>
        </w:rPr>
        <w:t xml:space="preserve"> estimate the capacity distribution in installations below 20 MW</w:t>
      </w:r>
      <w:r w:rsidRPr="000653A9">
        <w:rPr>
          <w:noProof/>
          <w:color w:val="auto"/>
        </w:rPr>
        <w:t>.</w:t>
      </w:r>
      <w:r w:rsidR="00F33B1F" w:rsidRPr="000653A9">
        <w:rPr>
          <w:noProof/>
          <w:color w:val="auto"/>
        </w:rPr>
        <w:t xml:space="preserve"> </w:t>
      </w:r>
      <w:r w:rsidR="00F8087A" w:rsidRPr="000653A9">
        <w:rPr>
          <w:noProof/>
          <w:color w:val="auto"/>
        </w:rPr>
        <w:t>T</w:t>
      </w:r>
      <w:r w:rsidRPr="000653A9">
        <w:rPr>
          <w:noProof/>
          <w:color w:val="auto"/>
        </w:rPr>
        <w:t xml:space="preserve">he French and Polish MCP registries were identified to be most suitable for further analysis. </w:t>
      </w:r>
      <w:r w:rsidR="00F8087A" w:rsidRPr="000653A9">
        <w:rPr>
          <w:noProof/>
          <w:color w:val="auto"/>
        </w:rPr>
        <w:t>D</w:t>
      </w:r>
      <w:r w:rsidRPr="000653A9">
        <w:rPr>
          <w:noProof/>
          <w:color w:val="auto"/>
        </w:rPr>
        <w:t xml:space="preserve">ata </w:t>
      </w:r>
      <w:r w:rsidR="00F8087A" w:rsidRPr="000653A9">
        <w:rPr>
          <w:noProof/>
          <w:color w:val="auto"/>
        </w:rPr>
        <w:t>on</w:t>
      </w:r>
      <w:r w:rsidRPr="000653A9">
        <w:rPr>
          <w:noProof/>
          <w:color w:val="auto"/>
        </w:rPr>
        <w:t xml:space="preserve"> individual capacities per installation</w:t>
      </w:r>
      <w:r w:rsidR="00057C9F" w:rsidRPr="000653A9">
        <w:rPr>
          <w:noProof/>
          <w:color w:val="auto"/>
        </w:rPr>
        <w:t xml:space="preserve"> was converted into estimated </w:t>
      </w:r>
      <w:r w:rsidRPr="000653A9">
        <w:rPr>
          <w:noProof/>
          <w:color w:val="auto"/>
        </w:rPr>
        <w:t>CO</w:t>
      </w:r>
      <w:r w:rsidRPr="000653A9">
        <w:rPr>
          <w:noProof/>
          <w:color w:val="auto"/>
          <w:vertAlign w:val="subscript"/>
        </w:rPr>
        <w:t>2</w:t>
      </w:r>
      <w:r w:rsidRPr="000653A9">
        <w:rPr>
          <w:noProof/>
          <w:color w:val="auto"/>
        </w:rPr>
        <w:t xml:space="preserve"> emissions using energy input and primary fuel values, and the resulting distribution of emissions by capacity was applied as a representative curve for the entire EU</w:t>
      </w:r>
      <w:r w:rsidR="00DF7251" w:rsidRPr="000653A9">
        <w:rPr>
          <w:noProof/>
          <w:color w:val="auto"/>
        </w:rPr>
        <w:t xml:space="preserve"> (see </w:t>
      </w:r>
      <w:r w:rsidR="00BC36A9" w:rsidRPr="000653A9">
        <w:rPr>
          <w:noProof/>
        </w:rPr>
        <w:t xml:space="preserve">Figure </w:t>
      </w:r>
      <w:r w:rsidR="000F5A95" w:rsidRPr="000653A9">
        <w:rPr>
          <w:noProof/>
        </w:rPr>
        <w:t>1</w:t>
      </w:r>
      <w:r w:rsidR="004D02DF" w:rsidRPr="000653A9">
        <w:rPr>
          <w:noProof/>
        </w:rPr>
        <w:t>4</w:t>
      </w:r>
      <w:r w:rsidR="000F5A95" w:rsidRPr="000653A9">
        <w:rPr>
          <w:noProof/>
        </w:rPr>
        <w:t xml:space="preserve"> </w:t>
      </w:r>
      <w:r w:rsidR="00DF7251" w:rsidRPr="000653A9">
        <w:rPr>
          <w:noProof/>
          <w:color w:val="auto"/>
        </w:rPr>
        <w:t>below)</w:t>
      </w:r>
      <w:r w:rsidRPr="000653A9">
        <w:rPr>
          <w:noProof/>
          <w:color w:val="auto"/>
        </w:rPr>
        <w:t>.</w:t>
      </w:r>
    </w:p>
    <w:p w14:paraId="1116F554" w14:textId="77777777" w:rsidR="00421233" w:rsidRDefault="00421233">
      <w:pPr>
        <w:spacing w:before="0" w:line="259" w:lineRule="auto"/>
        <w:rPr>
          <w:noProof/>
          <w:color w:val="auto"/>
        </w:rPr>
      </w:pPr>
      <w:r>
        <w:rPr>
          <w:noProof/>
          <w:color w:val="auto"/>
        </w:rPr>
        <w:br w:type="page"/>
      </w:r>
    </w:p>
    <w:p w14:paraId="3F2AF0FD" w14:textId="7B31FE33" w:rsidR="00A7782E" w:rsidRPr="000653A9" w:rsidRDefault="00A7782E" w:rsidP="00C92FA9">
      <w:pPr>
        <w:pStyle w:val="Figuretitle"/>
        <w:rPr>
          <w:noProof/>
        </w:rPr>
      </w:pPr>
      <w:bookmarkStart w:id="547" w:name="_Toc224659148"/>
      <w:r w:rsidRPr="000653A9">
        <w:rPr>
          <w:noProof/>
        </w:rPr>
        <w:t>Proxy curve of emissions by capacity</w:t>
      </w:r>
      <w:bookmarkEnd w:id="547"/>
    </w:p>
    <w:p w14:paraId="2A00B725" w14:textId="767EA3D9" w:rsidR="000F5A95" w:rsidRPr="000653A9" w:rsidRDefault="00A7782E" w:rsidP="0072490E">
      <w:pPr>
        <w:jc w:val="center"/>
        <w:rPr>
          <w:noProof/>
          <w:color w:val="auto"/>
        </w:rPr>
      </w:pPr>
      <w:r w:rsidRPr="000653A9">
        <w:rPr>
          <w:noProof/>
          <w:color w:val="auto"/>
          <w:lang w:eastAsia="en-GB"/>
        </w:rPr>
        <w:drawing>
          <wp:inline distT="0" distB="0" distL="0" distR="0" wp14:anchorId="60D7A567" wp14:editId="74A479EB">
            <wp:extent cx="5201107" cy="2596705"/>
            <wp:effectExtent l="0" t="0" r="0" b="0"/>
            <wp:docPr id="905290617" name="Picture 1" descr="A blue bars with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290617" name="Picture 1" descr="A blue bars with black background&#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40211" cy="2616228"/>
                    </a:xfrm>
                    <a:prstGeom prst="rect">
                      <a:avLst/>
                    </a:prstGeom>
                    <a:noFill/>
                  </pic:spPr>
                </pic:pic>
              </a:graphicData>
            </a:graphic>
          </wp:inline>
        </w:drawing>
      </w:r>
    </w:p>
    <w:p w14:paraId="0D94525E" w14:textId="615D4BE7" w:rsidR="000F5A95" w:rsidRPr="000653A9" w:rsidRDefault="000F5A95" w:rsidP="000F5A95">
      <w:pPr>
        <w:rPr>
          <w:i/>
          <w:iCs/>
          <w:noProof/>
          <w:sz w:val="20"/>
          <w:szCs w:val="20"/>
        </w:rPr>
      </w:pPr>
      <w:bookmarkStart w:id="548" w:name="_Toc215676743"/>
      <w:bookmarkStart w:id="549" w:name="_Toc204154722"/>
      <w:bookmarkStart w:id="550" w:name="_Toc211518745"/>
      <w:bookmarkStart w:id="551" w:name="_Toc212049727"/>
      <w:bookmarkEnd w:id="548"/>
      <w:r w:rsidRPr="000653A9">
        <w:rPr>
          <w:i/>
          <w:iCs/>
          <w:noProof/>
          <w:sz w:val="20"/>
          <w:szCs w:val="20"/>
        </w:rPr>
        <w:t xml:space="preserve">Source: </w:t>
      </w:r>
      <w:r w:rsidR="00CF1E03" w:rsidRPr="000653A9">
        <w:rPr>
          <w:i/>
          <w:iCs/>
          <w:noProof/>
          <w:sz w:val="20"/>
          <w:szCs w:val="20"/>
        </w:rPr>
        <w:t>Own calculation</w:t>
      </w:r>
      <w:r w:rsidR="000606E6" w:rsidRPr="000653A9">
        <w:rPr>
          <w:i/>
          <w:iCs/>
          <w:noProof/>
          <w:sz w:val="20"/>
          <w:szCs w:val="20"/>
        </w:rPr>
        <w:t xml:space="preserve"> </w:t>
      </w:r>
      <w:r w:rsidR="00714599" w:rsidRPr="000653A9">
        <w:rPr>
          <w:i/>
          <w:iCs/>
          <w:noProof/>
          <w:sz w:val="20"/>
          <w:szCs w:val="20"/>
        </w:rPr>
        <w:t>based</w:t>
      </w:r>
      <w:r w:rsidR="00705D4E" w:rsidRPr="000653A9">
        <w:rPr>
          <w:i/>
          <w:iCs/>
          <w:noProof/>
          <w:sz w:val="20"/>
          <w:szCs w:val="20"/>
        </w:rPr>
        <w:t xml:space="preserve"> on MCP registries for France and Poland</w:t>
      </w:r>
    </w:p>
    <w:p w14:paraId="543B711B" w14:textId="2C352334" w:rsidR="00D679AB" w:rsidRPr="000653A9" w:rsidRDefault="00D679AB" w:rsidP="00794BC8">
      <w:pPr>
        <w:pStyle w:val="Heading2COM"/>
        <w:ind w:left="788" w:hanging="431"/>
        <w:outlineLvl w:val="2"/>
        <w15:collapsed w:val="0"/>
        <w:rPr>
          <w:noProof/>
        </w:rPr>
      </w:pPr>
      <w:bookmarkStart w:id="552" w:name="_Toc230857930"/>
      <w:bookmarkStart w:id="553" w:name="_Toc232751121"/>
      <w:r w:rsidRPr="000653A9">
        <w:rPr>
          <w:noProof/>
        </w:rPr>
        <w:t>Policy measures</w:t>
      </w:r>
      <w:bookmarkEnd w:id="549"/>
      <w:bookmarkEnd w:id="550"/>
      <w:bookmarkEnd w:id="551"/>
      <w:bookmarkEnd w:id="552"/>
      <w:bookmarkEnd w:id="553"/>
    </w:p>
    <w:p w14:paraId="076F0A2E" w14:textId="77777777" w:rsidR="00D679AB" w:rsidRPr="000653A9" w:rsidRDefault="00D679AB" w:rsidP="00794BC8">
      <w:pPr>
        <w:pStyle w:val="Heading3COM"/>
        <w:outlineLvl w:val="3"/>
        <w:rPr>
          <w:noProof/>
        </w:rPr>
      </w:pPr>
      <w:bookmarkStart w:id="554" w:name="_Toc204154723"/>
      <w:bookmarkStart w:id="555" w:name="_Toc211518746"/>
      <w:bookmarkStart w:id="556" w:name="_Toc212049728"/>
      <w:bookmarkStart w:id="557" w:name="_Toc230857931"/>
      <w:bookmarkStart w:id="558" w:name="_Toc232751122"/>
      <w:r w:rsidRPr="000653A9">
        <w:rPr>
          <w:noProof/>
        </w:rPr>
        <w:t>Description</w:t>
      </w:r>
      <w:bookmarkEnd w:id="554"/>
      <w:bookmarkEnd w:id="555"/>
      <w:bookmarkEnd w:id="556"/>
      <w:bookmarkEnd w:id="557"/>
      <w:bookmarkEnd w:id="558"/>
    </w:p>
    <w:p w14:paraId="49E6335E" w14:textId="77777777" w:rsidR="00D679AB" w:rsidRPr="000653A9" w:rsidRDefault="00D679AB" w:rsidP="00F73B5B">
      <w:pPr>
        <w:pStyle w:val="ListParagraph"/>
        <w:rPr>
          <w:noProof/>
          <w:color w:val="auto"/>
        </w:rPr>
      </w:pPr>
      <w:r w:rsidRPr="000653A9">
        <w:rPr>
          <w:noProof/>
          <w:color w:val="auto"/>
        </w:rPr>
        <w:t>The measures under consideration are the maintenance of the current 20MW threshold and the lowering of the 20MW threshold.</w:t>
      </w:r>
    </w:p>
    <w:p w14:paraId="1F4D80E1" w14:textId="77777777" w:rsidR="00D679AB" w:rsidRPr="000653A9" w:rsidRDefault="00D679AB" w:rsidP="00CD163F">
      <w:pPr>
        <w:pStyle w:val="ListParagraph"/>
        <w:numPr>
          <w:ilvl w:val="0"/>
          <w:numId w:val="7"/>
        </w:numPr>
        <w:rPr>
          <w:noProof/>
          <w:color w:val="auto"/>
        </w:rPr>
      </w:pPr>
      <w:r w:rsidRPr="000653A9">
        <w:rPr>
          <w:b/>
          <w:bCs/>
          <w:noProof/>
          <w:color w:val="auto"/>
        </w:rPr>
        <w:t>T1</w:t>
      </w:r>
      <w:r w:rsidRPr="000653A9">
        <w:rPr>
          <w:noProof/>
          <w:color w:val="auto"/>
        </w:rPr>
        <w:t>: Maintain current 20 MW threshold (PO1, PO2, PO3)</w:t>
      </w:r>
    </w:p>
    <w:p w14:paraId="7B560882" w14:textId="77777777" w:rsidR="00D679AB" w:rsidRPr="000653A9" w:rsidRDefault="00D679AB" w:rsidP="00CD163F">
      <w:pPr>
        <w:pStyle w:val="ListParagraph"/>
        <w:numPr>
          <w:ilvl w:val="1"/>
          <w:numId w:val="7"/>
        </w:numPr>
        <w:rPr>
          <w:noProof/>
          <w:color w:val="auto"/>
        </w:rPr>
      </w:pPr>
      <w:r w:rsidRPr="000653A9">
        <w:rPr>
          <w:noProof/>
          <w:color w:val="auto"/>
        </w:rPr>
        <w:t>In this measure, no additional installations &lt; 20MW in capacity would be included in the ETS, avoiding any potential additional administrative and transaction fees associated with having to be in compliance with the ETS.</w:t>
      </w:r>
    </w:p>
    <w:p w14:paraId="2E915C16" w14:textId="77777777" w:rsidR="00D679AB" w:rsidRPr="000653A9" w:rsidRDefault="00D679AB" w:rsidP="00CD163F">
      <w:pPr>
        <w:pStyle w:val="ListParagraph"/>
        <w:numPr>
          <w:ilvl w:val="0"/>
          <w:numId w:val="7"/>
        </w:numPr>
        <w:rPr>
          <w:noProof/>
          <w:color w:val="auto"/>
        </w:rPr>
      </w:pPr>
      <w:r w:rsidRPr="000653A9">
        <w:rPr>
          <w:b/>
          <w:bCs/>
          <w:noProof/>
          <w:color w:val="auto"/>
        </w:rPr>
        <w:t>T2</w:t>
      </w:r>
      <w:r w:rsidRPr="000653A9">
        <w:rPr>
          <w:noProof/>
          <w:color w:val="auto"/>
        </w:rPr>
        <w:t>: Lower the 20 MW threshold (e.g. 0, 5, 15, 20 MW)</w:t>
      </w:r>
    </w:p>
    <w:p w14:paraId="19869162" w14:textId="1B33787C" w:rsidR="00D679AB" w:rsidRPr="000653A9" w:rsidRDefault="00D679AB" w:rsidP="00CD163F">
      <w:pPr>
        <w:pStyle w:val="ListParagraph"/>
        <w:numPr>
          <w:ilvl w:val="1"/>
          <w:numId w:val="7"/>
        </w:numPr>
        <w:rPr>
          <w:noProof/>
          <w:color w:val="auto"/>
        </w:rPr>
      </w:pPr>
      <w:r w:rsidRPr="000653A9">
        <w:rPr>
          <w:noProof/>
          <w:color w:val="auto"/>
        </w:rPr>
        <w:t>The threshold can be reduced by 20MW, 15MW, 10MW, or 5MW. In each instance, operators of installations that are less than 20MW in capacity would need to submit registration permits to have new entrant installations incorporated into the ETS.</w:t>
      </w:r>
      <w:r w:rsidRPr="000653A9">
        <w:rPr>
          <w:rStyle w:val="FootnoteReference"/>
          <w:rFonts w:cs="Times New Roman"/>
          <w:noProof/>
          <w:color w:val="auto"/>
          <w:szCs w:val="28"/>
        </w:rPr>
        <w:footnoteReference w:id="33"/>
      </w:r>
      <w:r w:rsidRPr="000653A9">
        <w:rPr>
          <w:noProof/>
          <w:color w:val="auto"/>
        </w:rPr>
        <w:t xml:space="preserve"> Following the incorporation of these new installations, operators and competent authorities would incur additional administrative and transaction costs to ensure the new entrants remain in compliance with the ETS</w:t>
      </w:r>
      <w:bookmarkStart w:id="559" w:name="_Toc204154724"/>
      <w:r w:rsidR="00D47022" w:rsidRPr="000653A9">
        <w:rPr>
          <w:noProof/>
          <w:color w:val="auto"/>
        </w:rPr>
        <w:t xml:space="preserve"> and receive free allocation. </w:t>
      </w:r>
    </w:p>
    <w:p w14:paraId="5A842AD3" w14:textId="77777777" w:rsidR="00D679AB" w:rsidRPr="000653A9" w:rsidRDefault="00D679AB" w:rsidP="00794BC8">
      <w:pPr>
        <w:pStyle w:val="Heading2COM"/>
        <w:ind w:left="788" w:hanging="431"/>
        <w:outlineLvl w:val="2"/>
        <w15:collapsed w:val="0"/>
        <w:rPr>
          <w:noProof/>
        </w:rPr>
      </w:pPr>
      <w:bookmarkStart w:id="560" w:name="_Toc211518747"/>
      <w:bookmarkStart w:id="561" w:name="_Toc212049729"/>
      <w:bookmarkStart w:id="562" w:name="_Toc230857932"/>
      <w:bookmarkStart w:id="563" w:name="_Toc232751123"/>
      <w:r w:rsidRPr="000653A9">
        <w:rPr>
          <w:noProof/>
        </w:rPr>
        <w:t>Assessment of the measures</w:t>
      </w:r>
      <w:bookmarkEnd w:id="559"/>
      <w:bookmarkEnd w:id="560"/>
      <w:bookmarkEnd w:id="561"/>
      <w:bookmarkEnd w:id="562"/>
      <w:bookmarkEnd w:id="563"/>
    </w:p>
    <w:p w14:paraId="12819B8C" w14:textId="5319B23C" w:rsidR="00D679AB" w:rsidRPr="000653A9" w:rsidRDefault="00D679AB" w:rsidP="00794BC8">
      <w:pPr>
        <w:pStyle w:val="Heading3COM"/>
        <w:outlineLvl w:val="3"/>
        <w:rPr>
          <w:noProof/>
        </w:rPr>
      </w:pPr>
      <w:bookmarkStart w:id="564" w:name="_Toc211518748"/>
      <w:bookmarkStart w:id="565" w:name="_Toc212049730"/>
      <w:bookmarkStart w:id="566" w:name="_Toc230857933"/>
      <w:bookmarkStart w:id="567" w:name="_Toc232751124"/>
      <w:r w:rsidRPr="000653A9">
        <w:rPr>
          <w:noProof/>
        </w:rPr>
        <w:t>Economic Impacts</w:t>
      </w:r>
      <w:bookmarkStart w:id="568" w:name="_Toc211518749"/>
      <w:bookmarkEnd w:id="564"/>
      <w:bookmarkEnd w:id="565"/>
      <w:bookmarkEnd w:id="566"/>
      <w:bookmarkEnd w:id="567"/>
      <w:bookmarkEnd w:id="568"/>
    </w:p>
    <w:p w14:paraId="11390462" w14:textId="77777777" w:rsidR="00D679AB" w:rsidRPr="000653A9" w:rsidRDefault="00D679AB" w:rsidP="00794BC8">
      <w:pPr>
        <w:pStyle w:val="Heading4COM"/>
        <w:outlineLvl w:val="4"/>
        <w:rPr>
          <w:noProof/>
          <w:lang w:eastAsia="en-GB"/>
        </w:rPr>
      </w:pPr>
      <w:bookmarkStart w:id="569" w:name="_Toc212049731"/>
      <w:bookmarkStart w:id="570" w:name="_Toc230857934"/>
      <w:bookmarkStart w:id="571" w:name="_Toc232751125"/>
      <w:r w:rsidRPr="000653A9">
        <w:rPr>
          <w:noProof/>
          <w:lang w:eastAsia="en-GB"/>
        </w:rPr>
        <w:t>SMEs</w:t>
      </w:r>
      <w:bookmarkEnd w:id="569"/>
      <w:bookmarkEnd w:id="570"/>
      <w:bookmarkEnd w:id="571"/>
    </w:p>
    <w:p w14:paraId="5369D1C2" w14:textId="041FBD0B" w:rsidR="00D679AB" w:rsidRPr="000653A9" w:rsidRDefault="00D679AB" w:rsidP="00F73B5B">
      <w:pPr>
        <w:rPr>
          <w:noProof/>
          <w:color w:val="auto"/>
        </w:rPr>
      </w:pPr>
      <w:r w:rsidRPr="000653A9">
        <w:rPr>
          <w:noProof/>
          <w:color w:val="auto"/>
        </w:rPr>
        <w:t xml:space="preserve">Based on results of </w:t>
      </w:r>
      <w:r w:rsidR="0604A688" w:rsidRPr="000653A9">
        <w:rPr>
          <w:noProof/>
          <w:color w:val="auto"/>
        </w:rPr>
        <w:t>the open public consultation (OPC)</w:t>
      </w:r>
      <w:r w:rsidRPr="000653A9">
        <w:rPr>
          <w:noProof/>
          <w:color w:val="auto"/>
        </w:rPr>
        <w:t xml:space="preserve">, </w:t>
      </w:r>
      <w:bookmarkStart w:id="572" w:name="_Int_HVCccagv"/>
      <w:r w:rsidR="62590B89" w:rsidRPr="000653A9">
        <w:rPr>
          <w:noProof/>
          <w:color w:val="auto"/>
        </w:rPr>
        <w:t>a</w:t>
      </w:r>
      <w:r w:rsidRPr="000653A9">
        <w:rPr>
          <w:noProof/>
          <w:color w:val="auto"/>
        </w:rPr>
        <w:t xml:space="preserve"> majority of</w:t>
      </w:r>
      <w:bookmarkEnd w:id="572"/>
      <w:r w:rsidRPr="000653A9">
        <w:rPr>
          <w:noProof/>
          <w:color w:val="auto"/>
        </w:rPr>
        <w:t xml:space="preserve"> respondents opposed lowering the installation capacity threshold to expand the pool of installations covered by the EU ETS</w:t>
      </w:r>
      <w:r w:rsidR="0D752737" w:rsidRPr="000653A9">
        <w:rPr>
          <w:noProof/>
          <w:color w:val="auto"/>
        </w:rPr>
        <w:t xml:space="preserve">. Those respondents were mainly </w:t>
      </w:r>
      <w:r w:rsidRPr="000653A9">
        <w:rPr>
          <w:noProof/>
          <w:color w:val="auto"/>
        </w:rPr>
        <w:t xml:space="preserve">companies and business associations </w:t>
      </w:r>
      <w:r w:rsidR="76679107" w:rsidRPr="000653A9">
        <w:rPr>
          <w:noProof/>
          <w:color w:val="auto"/>
        </w:rPr>
        <w:t>from across different sectors</w:t>
      </w:r>
      <w:r w:rsidRPr="000653A9">
        <w:rPr>
          <w:noProof/>
          <w:color w:val="auto"/>
        </w:rPr>
        <w:t xml:space="preserve">. In contrast, NGOs and environmental organizations </w:t>
      </w:r>
      <w:r w:rsidR="2B27911D" w:rsidRPr="000653A9">
        <w:rPr>
          <w:noProof/>
          <w:color w:val="auto"/>
        </w:rPr>
        <w:t xml:space="preserve">were </w:t>
      </w:r>
      <w:r w:rsidRPr="000653A9">
        <w:rPr>
          <w:noProof/>
          <w:color w:val="auto"/>
        </w:rPr>
        <w:t>largely support</w:t>
      </w:r>
      <w:r w:rsidR="7FA4AA1C" w:rsidRPr="000653A9">
        <w:rPr>
          <w:noProof/>
          <w:color w:val="auto"/>
        </w:rPr>
        <w:t>ive of a potential</w:t>
      </w:r>
      <w:r w:rsidRPr="000653A9">
        <w:rPr>
          <w:noProof/>
          <w:color w:val="auto"/>
        </w:rPr>
        <w:t xml:space="preserve"> change</w:t>
      </w:r>
      <w:r w:rsidR="38A684EA" w:rsidRPr="000653A9">
        <w:rPr>
          <w:noProof/>
          <w:color w:val="auto"/>
        </w:rPr>
        <w:t>.</w:t>
      </w:r>
      <w:r w:rsidR="573707CE" w:rsidRPr="000653A9">
        <w:rPr>
          <w:noProof/>
          <w:color w:val="auto"/>
        </w:rPr>
        <w:t xml:space="preserve"> Overall, a substantial share of respondents (almost three out of ten) remained neutral or uncertain.</w:t>
      </w:r>
      <w:r w:rsidR="38A684EA" w:rsidRPr="000653A9">
        <w:rPr>
          <w:noProof/>
          <w:color w:val="auto"/>
        </w:rPr>
        <w:t xml:space="preserve"> </w:t>
      </w:r>
    </w:p>
    <w:p w14:paraId="1DA0D51F" w14:textId="6425BD5E" w:rsidR="00D679AB" w:rsidRPr="000653A9" w:rsidRDefault="00275E75" w:rsidP="00F73B5B">
      <w:pPr>
        <w:rPr>
          <w:noProof/>
          <w:color w:val="auto"/>
        </w:rPr>
      </w:pPr>
      <w:r w:rsidRPr="000653A9">
        <w:rPr>
          <w:noProof/>
          <w:color w:val="auto"/>
        </w:rPr>
        <w:t>Some s</w:t>
      </w:r>
      <w:r w:rsidR="00D679AB" w:rsidRPr="000653A9">
        <w:rPr>
          <w:noProof/>
          <w:color w:val="auto"/>
        </w:rPr>
        <w:t>takeholders</w:t>
      </w:r>
      <w:r w:rsidR="009D3745" w:rsidRPr="000653A9">
        <w:rPr>
          <w:noProof/>
          <w:color w:val="auto"/>
        </w:rPr>
        <w:t xml:space="preserve"> who provided specific comments</w:t>
      </w:r>
      <w:r w:rsidR="00D679AB" w:rsidRPr="000653A9">
        <w:rPr>
          <w:noProof/>
          <w:color w:val="auto"/>
        </w:rPr>
        <w:t xml:space="preserve"> consider</w:t>
      </w:r>
      <w:r w:rsidR="1C626545" w:rsidRPr="000653A9">
        <w:rPr>
          <w:noProof/>
          <w:color w:val="auto"/>
        </w:rPr>
        <w:t>ed</w:t>
      </w:r>
      <w:r w:rsidR="00D679AB" w:rsidRPr="000653A9">
        <w:rPr>
          <w:noProof/>
          <w:color w:val="auto"/>
        </w:rPr>
        <w:t xml:space="preserve"> that the administrative burden would outweigh the potential climate benefits. </w:t>
      </w:r>
      <w:r w:rsidR="005B737B" w:rsidRPr="000653A9">
        <w:rPr>
          <w:noProof/>
          <w:color w:val="auto"/>
        </w:rPr>
        <w:t xml:space="preserve">Others expressed concerns regarding the ability of SMEs to maintain their competitiveness within their respective industries. </w:t>
      </w:r>
      <w:r w:rsidR="16EEB86F" w:rsidRPr="000653A9">
        <w:rPr>
          <w:noProof/>
          <w:color w:val="auto"/>
        </w:rPr>
        <w:t xml:space="preserve">Several </w:t>
      </w:r>
      <w:r w:rsidR="00D679AB" w:rsidRPr="000653A9">
        <w:rPr>
          <w:noProof/>
          <w:color w:val="auto"/>
        </w:rPr>
        <w:t>also suggested that ETS2, which covers smaller installations with a lighter approach, is a sufficient incentive for fuel mix changes and decarbonisation efforts</w:t>
      </w:r>
      <w:r w:rsidR="0063513D" w:rsidRPr="000653A9">
        <w:rPr>
          <w:noProof/>
          <w:color w:val="auto"/>
        </w:rPr>
        <w:t>, but this would not cover process emissions</w:t>
      </w:r>
      <w:r w:rsidR="00D679AB" w:rsidRPr="000653A9">
        <w:rPr>
          <w:noProof/>
          <w:color w:val="auto"/>
        </w:rPr>
        <w:t xml:space="preserve">. </w:t>
      </w:r>
    </w:p>
    <w:p w14:paraId="5A8BFE3B" w14:textId="77777777" w:rsidR="00D679AB" w:rsidRPr="000653A9" w:rsidRDefault="00D679AB" w:rsidP="00794BC8">
      <w:pPr>
        <w:pStyle w:val="Heading4COM"/>
        <w:outlineLvl w:val="4"/>
        <w:rPr>
          <w:noProof/>
          <w:lang w:eastAsia="en-GB"/>
        </w:rPr>
      </w:pPr>
      <w:bookmarkStart w:id="573" w:name="_Toc215676749"/>
      <w:bookmarkStart w:id="574" w:name="_Toc212049732"/>
      <w:bookmarkStart w:id="575" w:name="_Toc230857935"/>
      <w:bookmarkStart w:id="576" w:name="_Toc232751126"/>
      <w:bookmarkEnd w:id="573"/>
      <w:r w:rsidRPr="000653A9">
        <w:rPr>
          <w:noProof/>
          <w:lang w:eastAsia="en-GB"/>
        </w:rPr>
        <w:t>Administrative costs on business</w:t>
      </w:r>
      <w:bookmarkEnd w:id="574"/>
      <w:bookmarkEnd w:id="575"/>
      <w:bookmarkEnd w:id="576"/>
    </w:p>
    <w:p w14:paraId="5FBF69E1" w14:textId="4496FC78" w:rsidR="007154E9" w:rsidRPr="000653A9" w:rsidRDefault="00D679AB" w:rsidP="007154E9">
      <w:pPr>
        <w:rPr>
          <w:noProof/>
          <w:color w:val="auto"/>
          <w:lang w:eastAsia="en-GB"/>
        </w:rPr>
      </w:pPr>
      <w:r w:rsidRPr="000653A9">
        <w:rPr>
          <w:noProof/>
          <w:color w:val="auto"/>
        </w:rPr>
        <w:t>There are several additional requirements that operators will have to comply with when integrating additional installations into the ETS, including setting and/or expanding the scope of the monitoring plan and verification</w:t>
      </w:r>
      <w:r w:rsidRPr="000653A9">
        <w:rPr>
          <w:rStyle w:val="FootnoteReference"/>
          <w:noProof/>
          <w:color w:val="auto"/>
        </w:rPr>
        <w:footnoteReference w:id="34"/>
      </w:r>
      <w:r w:rsidRPr="000653A9">
        <w:rPr>
          <w:noProof/>
          <w:color w:val="auto"/>
        </w:rPr>
        <w:t xml:space="preserve">. </w:t>
      </w:r>
    </w:p>
    <w:p w14:paraId="7E0431E9" w14:textId="7133E278" w:rsidR="00D679AB" w:rsidRPr="000653A9" w:rsidRDefault="007154E9" w:rsidP="2B7FB05A">
      <w:pPr>
        <w:rPr>
          <w:i/>
          <w:iCs/>
          <w:noProof/>
          <w:color w:val="auto"/>
        </w:rPr>
      </w:pPr>
      <w:r w:rsidRPr="000653A9">
        <w:rPr>
          <w:i/>
          <w:iCs/>
          <w:noProof/>
          <w:color w:val="auto"/>
        </w:rPr>
        <w:t xml:space="preserve">T1 </w:t>
      </w:r>
      <w:r w:rsidR="00D679AB" w:rsidRPr="000653A9">
        <w:rPr>
          <w:i/>
          <w:iCs/>
          <w:noProof/>
          <w:color w:val="auto"/>
        </w:rPr>
        <w:t xml:space="preserve">Maintain current 20 MW threshold </w:t>
      </w:r>
    </w:p>
    <w:p w14:paraId="01FBC650" w14:textId="073D9576" w:rsidR="00D679AB" w:rsidRPr="000653A9" w:rsidRDefault="00D679AB" w:rsidP="00F73B5B">
      <w:pPr>
        <w:rPr>
          <w:noProof/>
          <w:color w:val="auto"/>
        </w:rPr>
      </w:pPr>
      <w:r w:rsidRPr="000653A9">
        <w:rPr>
          <w:noProof/>
          <w:color w:val="auto"/>
        </w:rPr>
        <w:t xml:space="preserve">Maintaining the threshold at 20MW will have no additional financial implications for operators and competent authorities. However, a considerable number of installations and their emissions will continue to operate outside the scope of the EU ETS. </w:t>
      </w:r>
      <w:r w:rsidR="007C488C" w:rsidRPr="000653A9">
        <w:rPr>
          <w:noProof/>
          <w:color w:val="auto"/>
        </w:rPr>
        <w:t>This impact assessment</w:t>
      </w:r>
      <w:r w:rsidRPr="000653A9">
        <w:rPr>
          <w:noProof/>
          <w:color w:val="auto"/>
        </w:rPr>
        <w:t xml:space="preserve"> estimates that up to 28 MtCO2e of emissions could remain out of scope of the EU ETS as can be seen in </w:t>
      </w:r>
      <w:r w:rsidR="00CA6371" w:rsidRPr="000653A9">
        <w:rPr>
          <w:noProof/>
          <w:color w:val="auto"/>
        </w:rPr>
        <w:t>Section 2.3.3</w:t>
      </w:r>
      <w:r w:rsidRPr="000653A9">
        <w:rPr>
          <w:noProof/>
          <w:color w:val="auto"/>
        </w:rPr>
        <w:t>.</w:t>
      </w:r>
    </w:p>
    <w:p w14:paraId="462FF027" w14:textId="1E957F72" w:rsidR="00D679AB" w:rsidRPr="000653A9" w:rsidRDefault="007154E9" w:rsidP="2B7FB05A">
      <w:pPr>
        <w:rPr>
          <w:i/>
          <w:iCs/>
          <w:noProof/>
          <w:color w:val="auto"/>
        </w:rPr>
      </w:pPr>
      <w:r w:rsidRPr="000653A9">
        <w:rPr>
          <w:i/>
          <w:iCs/>
          <w:noProof/>
          <w:color w:val="auto"/>
        </w:rPr>
        <w:t xml:space="preserve">T2 </w:t>
      </w:r>
      <w:r w:rsidR="00D679AB" w:rsidRPr="000653A9">
        <w:rPr>
          <w:i/>
          <w:iCs/>
          <w:noProof/>
          <w:color w:val="auto"/>
        </w:rPr>
        <w:t>Lower the 20 MW threshold (e.g. 0, 5, 15, 20 MW)</w:t>
      </w:r>
    </w:p>
    <w:p w14:paraId="4620F2B2" w14:textId="42E15C65" w:rsidR="00421233" w:rsidRDefault="00D679AB" w:rsidP="00F73B5B">
      <w:pPr>
        <w:rPr>
          <w:noProof/>
          <w:color w:val="auto"/>
        </w:rPr>
      </w:pPr>
      <w:r w:rsidRPr="000653A9">
        <w:rPr>
          <w:noProof/>
          <w:color w:val="auto"/>
        </w:rPr>
        <w:t>Lowering the threshold carries various financial and environmental implications. Operators of new entrant installations will face additional administrative costs</w:t>
      </w:r>
      <w:r w:rsidRPr="000653A9">
        <w:rPr>
          <w:rStyle w:val="FootnoteReference"/>
          <w:noProof/>
          <w:color w:val="auto"/>
        </w:rPr>
        <w:footnoteReference w:id="35"/>
      </w:r>
      <w:r w:rsidR="00F93D2B" w:rsidRPr="000653A9">
        <w:rPr>
          <w:noProof/>
          <w:color w:val="auto"/>
        </w:rPr>
        <w:t xml:space="preserve">. These are estimated in </w:t>
      </w:r>
      <w:r w:rsidR="00CB3AB8" w:rsidRPr="000653A9">
        <w:rPr>
          <w:noProof/>
          <w:color w:val="auto"/>
        </w:rPr>
        <w:t xml:space="preserve">Table </w:t>
      </w:r>
      <w:r w:rsidR="00DB3CB9">
        <w:rPr>
          <w:noProof/>
          <w:color w:val="auto"/>
        </w:rPr>
        <w:t>30</w:t>
      </w:r>
      <w:r w:rsidR="00087564" w:rsidRPr="000653A9">
        <w:rPr>
          <w:noProof/>
          <w:color w:val="auto"/>
        </w:rPr>
        <w:t xml:space="preserve"> </w:t>
      </w:r>
      <w:r w:rsidR="00F93D2B" w:rsidRPr="000653A9">
        <w:rPr>
          <w:noProof/>
          <w:color w:val="auto"/>
        </w:rPr>
        <w:t>below.</w:t>
      </w:r>
    </w:p>
    <w:p w14:paraId="5AA27292" w14:textId="77777777" w:rsidR="00421233" w:rsidRDefault="00421233">
      <w:pPr>
        <w:spacing w:before="0" w:line="259" w:lineRule="auto"/>
        <w:rPr>
          <w:noProof/>
          <w:color w:val="auto"/>
        </w:rPr>
      </w:pPr>
      <w:r>
        <w:rPr>
          <w:noProof/>
          <w:color w:val="auto"/>
        </w:rPr>
        <w:br w:type="page"/>
      </w:r>
    </w:p>
    <w:p w14:paraId="790B77B1" w14:textId="20891DB2" w:rsidR="00D679AB" w:rsidRPr="000653A9" w:rsidRDefault="00D679AB" w:rsidP="00C92FA9">
      <w:pPr>
        <w:pStyle w:val="Tabletitle"/>
        <w:rPr>
          <w:noProof/>
        </w:rPr>
      </w:pPr>
      <w:bookmarkStart w:id="577" w:name="_Toc234435133"/>
      <w:bookmarkStart w:id="578" w:name="_Toc232003603"/>
      <w:r w:rsidRPr="000653A9">
        <w:rPr>
          <w:noProof/>
        </w:rPr>
        <w:t>Administrative costs paid per operator in the EU</w:t>
      </w:r>
      <w:r w:rsidRPr="000653A9">
        <w:rPr>
          <w:noProof/>
          <w:vertAlign w:val="superscript"/>
        </w:rPr>
        <w:footnoteReference w:id="36"/>
      </w:r>
      <w:bookmarkEnd w:id="577"/>
      <w:bookmarkEnd w:id="578"/>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5"/>
        <w:gridCol w:w="2140"/>
        <w:gridCol w:w="1934"/>
        <w:gridCol w:w="1057"/>
      </w:tblGrid>
      <w:tr w:rsidR="00C600D7" w:rsidRPr="000653A9" w14:paraId="39318FDB" w14:textId="77777777" w:rsidTr="00193408">
        <w:tc>
          <w:tcPr>
            <w:tcW w:w="4225" w:type="dxa"/>
          </w:tcPr>
          <w:p w14:paraId="47FBCA1F" w14:textId="77777777" w:rsidR="00D679AB" w:rsidRPr="000653A9" w:rsidRDefault="00D679AB" w:rsidP="00196FB7">
            <w:pPr>
              <w:jc w:val="left"/>
              <w:rPr>
                <w:b/>
                <w:noProof/>
                <w:color w:val="auto"/>
              </w:rPr>
            </w:pPr>
            <w:r w:rsidRPr="000653A9">
              <w:rPr>
                <w:b/>
                <w:noProof/>
                <w:color w:val="auto"/>
              </w:rPr>
              <w:t>Cost</w:t>
            </w:r>
          </w:p>
        </w:tc>
        <w:tc>
          <w:tcPr>
            <w:tcW w:w="2250" w:type="dxa"/>
          </w:tcPr>
          <w:p w14:paraId="2185D4D1" w14:textId="77777777" w:rsidR="00D679AB" w:rsidRPr="000653A9" w:rsidRDefault="00D679AB" w:rsidP="00196FB7">
            <w:pPr>
              <w:jc w:val="center"/>
              <w:rPr>
                <w:b/>
                <w:noProof/>
                <w:color w:val="auto"/>
              </w:rPr>
            </w:pPr>
            <w:r w:rsidRPr="000653A9">
              <w:rPr>
                <w:b/>
                <w:noProof/>
                <w:color w:val="auto"/>
              </w:rPr>
              <w:t>Type of cost</w:t>
            </w:r>
          </w:p>
        </w:tc>
        <w:tc>
          <w:tcPr>
            <w:tcW w:w="1957" w:type="dxa"/>
          </w:tcPr>
          <w:p w14:paraId="26420954" w14:textId="77777777" w:rsidR="00D679AB" w:rsidRPr="000653A9" w:rsidRDefault="00D679AB" w:rsidP="00196FB7">
            <w:pPr>
              <w:jc w:val="center"/>
              <w:rPr>
                <w:b/>
                <w:noProof/>
                <w:color w:val="auto"/>
              </w:rPr>
            </w:pPr>
            <w:r w:rsidRPr="000653A9">
              <w:rPr>
                <w:b/>
                <w:noProof/>
                <w:color w:val="auto"/>
              </w:rPr>
              <w:t>Used in quantification?</w:t>
            </w:r>
          </w:p>
        </w:tc>
        <w:tc>
          <w:tcPr>
            <w:tcW w:w="0" w:type="auto"/>
          </w:tcPr>
          <w:p w14:paraId="4E6CA638" w14:textId="18C48A4B" w:rsidR="00D679AB" w:rsidRPr="000653A9" w:rsidRDefault="00D679AB" w:rsidP="00196FB7">
            <w:pPr>
              <w:jc w:val="center"/>
              <w:rPr>
                <w:b/>
                <w:noProof/>
                <w:color w:val="auto"/>
              </w:rPr>
            </w:pPr>
            <w:r w:rsidRPr="000653A9">
              <w:rPr>
                <w:b/>
                <w:noProof/>
                <w:color w:val="auto"/>
              </w:rPr>
              <w:t xml:space="preserve">Amount </w:t>
            </w:r>
            <w:r>
              <w:rPr>
                <w:b/>
                <w:noProof/>
                <w:color w:val="auto"/>
              </w:rPr>
              <w:t>(EUR)</w:t>
            </w:r>
          </w:p>
        </w:tc>
      </w:tr>
      <w:tr w:rsidR="00C600D7" w:rsidRPr="000653A9" w14:paraId="45B4EECD" w14:textId="77777777" w:rsidTr="00193408">
        <w:tc>
          <w:tcPr>
            <w:tcW w:w="4225" w:type="dxa"/>
            <w:vAlign w:val="bottom"/>
          </w:tcPr>
          <w:p w14:paraId="3D689269" w14:textId="77777777" w:rsidR="00D679AB" w:rsidRPr="000653A9" w:rsidRDefault="00D679AB" w:rsidP="00196FB7">
            <w:pPr>
              <w:jc w:val="left"/>
              <w:rPr>
                <w:noProof/>
                <w:color w:val="auto"/>
              </w:rPr>
            </w:pPr>
            <w:r w:rsidRPr="000653A9">
              <w:rPr>
                <w:noProof/>
                <w:color w:val="auto"/>
              </w:rPr>
              <w:t>Permit application fee</w:t>
            </w:r>
          </w:p>
        </w:tc>
        <w:tc>
          <w:tcPr>
            <w:tcW w:w="2250" w:type="dxa"/>
            <w:vAlign w:val="center"/>
          </w:tcPr>
          <w:p w14:paraId="6FC5956B" w14:textId="77777777" w:rsidR="00D679AB" w:rsidRPr="000653A9" w:rsidRDefault="00D679AB" w:rsidP="00A67984">
            <w:pPr>
              <w:jc w:val="center"/>
              <w:rPr>
                <w:noProof/>
                <w:color w:val="auto"/>
              </w:rPr>
            </w:pPr>
            <w:r w:rsidRPr="000653A9">
              <w:rPr>
                <w:noProof/>
                <w:color w:val="auto"/>
              </w:rPr>
              <w:t>Non-MRV charges</w:t>
            </w:r>
          </w:p>
        </w:tc>
        <w:tc>
          <w:tcPr>
            <w:tcW w:w="1957" w:type="dxa"/>
            <w:vAlign w:val="center"/>
          </w:tcPr>
          <w:p w14:paraId="0A020A75" w14:textId="77777777" w:rsidR="00D679AB" w:rsidRPr="000653A9" w:rsidRDefault="00D679AB" w:rsidP="00A67984">
            <w:pPr>
              <w:jc w:val="center"/>
              <w:rPr>
                <w:noProof/>
                <w:color w:val="auto"/>
              </w:rPr>
            </w:pPr>
            <w:r w:rsidRPr="000653A9">
              <w:rPr>
                <w:noProof/>
                <w:color w:val="auto"/>
              </w:rPr>
              <w:t>No</w:t>
            </w:r>
          </w:p>
        </w:tc>
        <w:tc>
          <w:tcPr>
            <w:tcW w:w="0" w:type="auto"/>
            <w:vAlign w:val="center"/>
          </w:tcPr>
          <w:p w14:paraId="0B57E33A" w14:textId="77777777" w:rsidR="00D679AB" w:rsidRPr="000653A9" w:rsidRDefault="00D679AB" w:rsidP="00A67984">
            <w:pPr>
              <w:jc w:val="center"/>
              <w:rPr>
                <w:noProof/>
                <w:color w:val="auto"/>
              </w:rPr>
            </w:pPr>
            <w:r w:rsidRPr="000653A9">
              <w:rPr>
                <w:noProof/>
                <w:color w:val="auto"/>
              </w:rPr>
              <w:t>2,164</w:t>
            </w:r>
          </w:p>
        </w:tc>
      </w:tr>
      <w:tr w:rsidR="00C600D7" w:rsidRPr="000653A9" w14:paraId="2AD73092" w14:textId="77777777" w:rsidTr="00193408">
        <w:tc>
          <w:tcPr>
            <w:tcW w:w="4225" w:type="dxa"/>
            <w:vAlign w:val="bottom"/>
          </w:tcPr>
          <w:p w14:paraId="493A1A4B" w14:textId="77777777" w:rsidR="00D679AB" w:rsidRPr="000653A9" w:rsidRDefault="00D679AB" w:rsidP="00196FB7">
            <w:pPr>
              <w:jc w:val="left"/>
              <w:rPr>
                <w:noProof/>
                <w:color w:val="auto"/>
              </w:rPr>
            </w:pPr>
            <w:r w:rsidRPr="000653A9">
              <w:rPr>
                <w:noProof/>
                <w:color w:val="auto"/>
              </w:rPr>
              <w:t>Annual subsistence (renewal) fee</w:t>
            </w:r>
          </w:p>
        </w:tc>
        <w:tc>
          <w:tcPr>
            <w:tcW w:w="2250" w:type="dxa"/>
            <w:vAlign w:val="center"/>
          </w:tcPr>
          <w:p w14:paraId="550F97B2" w14:textId="77777777" w:rsidR="00D679AB" w:rsidRPr="000653A9" w:rsidRDefault="00D679AB" w:rsidP="00A67984">
            <w:pPr>
              <w:jc w:val="center"/>
              <w:rPr>
                <w:noProof/>
                <w:color w:val="auto"/>
              </w:rPr>
            </w:pPr>
            <w:r w:rsidRPr="000653A9">
              <w:rPr>
                <w:noProof/>
                <w:color w:val="auto"/>
              </w:rPr>
              <w:t>Non-MRV charges</w:t>
            </w:r>
          </w:p>
        </w:tc>
        <w:tc>
          <w:tcPr>
            <w:tcW w:w="1957" w:type="dxa"/>
            <w:vAlign w:val="center"/>
          </w:tcPr>
          <w:p w14:paraId="523B6972" w14:textId="77777777" w:rsidR="00D679AB" w:rsidRPr="000653A9" w:rsidRDefault="00D679AB" w:rsidP="00A67984">
            <w:pPr>
              <w:jc w:val="center"/>
              <w:rPr>
                <w:noProof/>
                <w:color w:val="auto"/>
              </w:rPr>
            </w:pPr>
            <w:r w:rsidRPr="000653A9">
              <w:rPr>
                <w:noProof/>
                <w:color w:val="auto"/>
              </w:rPr>
              <w:t>No</w:t>
            </w:r>
          </w:p>
        </w:tc>
        <w:tc>
          <w:tcPr>
            <w:tcW w:w="0" w:type="auto"/>
            <w:vAlign w:val="center"/>
          </w:tcPr>
          <w:p w14:paraId="4C4915D3" w14:textId="77777777" w:rsidR="00D679AB" w:rsidRPr="000653A9" w:rsidRDefault="00D679AB" w:rsidP="00A67984">
            <w:pPr>
              <w:jc w:val="center"/>
              <w:rPr>
                <w:noProof/>
                <w:color w:val="auto"/>
              </w:rPr>
            </w:pPr>
            <w:r w:rsidRPr="000653A9">
              <w:rPr>
                <w:noProof/>
                <w:color w:val="auto"/>
              </w:rPr>
              <w:t>4,130</w:t>
            </w:r>
          </w:p>
        </w:tc>
      </w:tr>
      <w:tr w:rsidR="00C600D7" w:rsidRPr="000653A9" w14:paraId="69E395D6" w14:textId="77777777" w:rsidTr="00193408">
        <w:tc>
          <w:tcPr>
            <w:tcW w:w="4225" w:type="dxa"/>
            <w:vAlign w:val="bottom"/>
          </w:tcPr>
          <w:p w14:paraId="1C6F209E" w14:textId="77777777" w:rsidR="00D679AB" w:rsidRPr="000653A9" w:rsidRDefault="00D679AB" w:rsidP="00196FB7">
            <w:pPr>
              <w:jc w:val="left"/>
              <w:rPr>
                <w:noProof/>
                <w:color w:val="auto"/>
              </w:rPr>
            </w:pPr>
            <w:r w:rsidRPr="000653A9">
              <w:rPr>
                <w:noProof/>
                <w:color w:val="auto"/>
              </w:rPr>
              <w:t>Variation fee</w:t>
            </w:r>
          </w:p>
        </w:tc>
        <w:tc>
          <w:tcPr>
            <w:tcW w:w="2250" w:type="dxa"/>
            <w:vAlign w:val="center"/>
          </w:tcPr>
          <w:p w14:paraId="6E42FD20" w14:textId="77777777" w:rsidR="00D679AB" w:rsidRPr="000653A9" w:rsidRDefault="00D679AB" w:rsidP="00A67984">
            <w:pPr>
              <w:jc w:val="center"/>
              <w:rPr>
                <w:noProof/>
                <w:color w:val="auto"/>
              </w:rPr>
            </w:pPr>
            <w:r w:rsidRPr="000653A9">
              <w:rPr>
                <w:noProof/>
                <w:color w:val="auto"/>
              </w:rPr>
              <w:t>Non-MRV charges</w:t>
            </w:r>
          </w:p>
        </w:tc>
        <w:tc>
          <w:tcPr>
            <w:tcW w:w="1957" w:type="dxa"/>
            <w:vAlign w:val="center"/>
          </w:tcPr>
          <w:p w14:paraId="1AF5A984" w14:textId="77777777" w:rsidR="00D679AB" w:rsidRPr="000653A9" w:rsidRDefault="00D679AB" w:rsidP="00A67984">
            <w:pPr>
              <w:jc w:val="center"/>
              <w:rPr>
                <w:noProof/>
                <w:color w:val="auto"/>
              </w:rPr>
            </w:pPr>
            <w:r w:rsidRPr="000653A9">
              <w:rPr>
                <w:noProof/>
                <w:color w:val="auto"/>
              </w:rPr>
              <w:t>No</w:t>
            </w:r>
          </w:p>
        </w:tc>
        <w:tc>
          <w:tcPr>
            <w:tcW w:w="0" w:type="auto"/>
            <w:vAlign w:val="center"/>
          </w:tcPr>
          <w:p w14:paraId="5D74EE37" w14:textId="77777777" w:rsidR="00D679AB" w:rsidRPr="000653A9" w:rsidRDefault="00D679AB" w:rsidP="00A67984">
            <w:pPr>
              <w:jc w:val="center"/>
              <w:rPr>
                <w:noProof/>
                <w:color w:val="auto"/>
              </w:rPr>
            </w:pPr>
            <w:r w:rsidRPr="000653A9">
              <w:rPr>
                <w:noProof/>
                <w:color w:val="auto"/>
              </w:rPr>
              <w:t>684</w:t>
            </w:r>
          </w:p>
        </w:tc>
      </w:tr>
      <w:tr w:rsidR="00C600D7" w:rsidRPr="000653A9" w14:paraId="7AA94F46" w14:textId="77777777" w:rsidTr="00193408">
        <w:tc>
          <w:tcPr>
            <w:tcW w:w="4225" w:type="dxa"/>
            <w:vAlign w:val="bottom"/>
          </w:tcPr>
          <w:p w14:paraId="5AF8151F" w14:textId="77777777" w:rsidR="00D679AB" w:rsidRPr="000653A9" w:rsidRDefault="00D679AB" w:rsidP="00196FB7">
            <w:pPr>
              <w:jc w:val="left"/>
              <w:rPr>
                <w:noProof/>
                <w:color w:val="auto"/>
              </w:rPr>
            </w:pPr>
            <w:r w:rsidRPr="000653A9">
              <w:rPr>
                <w:noProof/>
                <w:color w:val="auto"/>
              </w:rPr>
              <w:t>Permit transfer</w:t>
            </w:r>
          </w:p>
        </w:tc>
        <w:tc>
          <w:tcPr>
            <w:tcW w:w="2250" w:type="dxa"/>
            <w:vAlign w:val="center"/>
          </w:tcPr>
          <w:p w14:paraId="7A4F330E" w14:textId="77777777" w:rsidR="00D679AB" w:rsidRPr="000653A9" w:rsidRDefault="00D679AB" w:rsidP="00A67984">
            <w:pPr>
              <w:jc w:val="center"/>
              <w:rPr>
                <w:noProof/>
                <w:color w:val="auto"/>
              </w:rPr>
            </w:pPr>
            <w:r w:rsidRPr="000653A9">
              <w:rPr>
                <w:noProof/>
                <w:color w:val="auto"/>
              </w:rPr>
              <w:t>Non-MRV charges</w:t>
            </w:r>
          </w:p>
        </w:tc>
        <w:tc>
          <w:tcPr>
            <w:tcW w:w="1957" w:type="dxa"/>
            <w:vAlign w:val="center"/>
          </w:tcPr>
          <w:p w14:paraId="4B669666" w14:textId="77777777" w:rsidR="00D679AB" w:rsidRPr="000653A9" w:rsidRDefault="00D679AB" w:rsidP="00A67984">
            <w:pPr>
              <w:jc w:val="center"/>
              <w:rPr>
                <w:noProof/>
                <w:color w:val="auto"/>
              </w:rPr>
            </w:pPr>
            <w:r w:rsidRPr="000653A9">
              <w:rPr>
                <w:noProof/>
                <w:color w:val="auto"/>
              </w:rPr>
              <w:t>No</w:t>
            </w:r>
          </w:p>
        </w:tc>
        <w:tc>
          <w:tcPr>
            <w:tcW w:w="0" w:type="auto"/>
            <w:vAlign w:val="center"/>
          </w:tcPr>
          <w:p w14:paraId="39A499B4" w14:textId="77777777" w:rsidR="00D679AB" w:rsidRPr="000653A9" w:rsidRDefault="00D679AB" w:rsidP="00A67984">
            <w:pPr>
              <w:jc w:val="center"/>
              <w:rPr>
                <w:noProof/>
                <w:color w:val="auto"/>
              </w:rPr>
            </w:pPr>
            <w:r w:rsidRPr="000653A9">
              <w:rPr>
                <w:noProof/>
                <w:color w:val="auto"/>
              </w:rPr>
              <w:t>684</w:t>
            </w:r>
          </w:p>
        </w:tc>
      </w:tr>
      <w:tr w:rsidR="00C600D7" w:rsidRPr="000653A9" w14:paraId="7E1E100E" w14:textId="77777777" w:rsidTr="00193408">
        <w:tc>
          <w:tcPr>
            <w:tcW w:w="4225" w:type="dxa"/>
            <w:vAlign w:val="bottom"/>
          </w:tcPr>
          <w:p w14:paraId="4C533C2C" w14:textId="77777777" w:rsidR="00D679AB" w:rsidRPr="000653A9" w:rsidRDefault="00D679AB" w:rsidP="00196FB7">
            <w:pPr>
              <w:jc w:val="left"/>
              <w:rPr>
                <w:noProof/>
                <w:color w:val="auto"/>
              </w:rPr>
            </w:pPr>
            <w:r w:rsidRPr="000653A9">
              <w:rPr>
                <w:noProof/>
                <w:color w:val="auto"/>
              </w:rPr>
              <w:t>Revocation</w:t>
            </w:r>
          </w:p>
        </w:tc>
        <w:tc>
          <w:tcPr>
            <w:tcW w:w="2250" w:type="dxa"/>
            <w:vAlign w:val="center"/>
          </w:tcPr>
          <w:p w14:paraId="303834AF" w14:textId="77777777" w:rsidR="00D679AB" w:rsidRPr="000653A9" w:rsidRDefault="00D679AB" w:rsidP="00A67984">
            <w:pPr>
              <w:jc w:val="center"/>
              <w:rPr>
                <w:noProof/>
                <w:color w:val="auto"/>
              </w:rPr>
            </w:pPr>
            <w:r w:rsidRPr="000653A9">
              <w:rPr>
                <w:noProof/>
                <w:color w:val="auto"/>
              </w:rPr>
              <w:t>Non-MRV charges</w:t>
            </w:r>
          </w:p>
        </w:tc>
        <w:tc>
          <w:tcPr>
            <w:tcW w:w="1957" w:type="dxa"/>
            <w:vAlign w:val="center"/>
          </w:tcPr>
          <w:p w14:paraId="7749E919" w14:textId="77777777" w:rsidR="00D679AB" w:rsidRPr="000653A9" w:rsidRDefault="00D679AB" w:rsidP="00A67984">
            <w:pPr>
              <w:jc w:val="center"/>
              <w:rPr>
                <w:noProof/>
                <w:color w:val="auto"/>
              </w:rPr>
            </w:pPr>
            <w:r w:rsidRPr="000653A9">
              <w:rPr>
                <w:noProof/>
                <w:color w:val="auto"/>
              </w:rPr>
              <w:t>No</w:t>
            </w:r>
          </w:p>
        </w:tc>
        <w:tc>
          <w:tcPr>
            <w:tcW w:w="0" w:type="auto"/>
            <w:vAlign w:val="center"/>
          </w:tcPr>
          <w:p w14:paraId="698067E1" w14:textId="51752A83" w:rsidR="00D679AB" w:rsidRPr="000653A9" w:rsidRDefault="00D679AB" w:rsidP="00A67984">
            <w:pPr>
              <w:jc w:val="center"/>
              <w:rPr>
                <w:noProof/>
                <w:color w:val="auto"/>
              </w:rPr>
            </w:pPr>
            <w:r w:rsidRPr="000653A9">
              <w:rPr>
                <w:noProof/>
                <w:color w:val="auto"/>
              </w:rPr>
              <w:t>1,090</w:t>
            </w:r>
          </w:p>
        </w:tc>
      </w:tr>
      <w:tr w:rsidR="00C600D7" w:rsidRPr="000653A9" w14:paraId="73A80E19" w14:textId="77777777" w:rsidTr="00193408">
        <w:tc>
          <w:tcPr>
            <w:tcW w:w="4225" w:type="dxa"/>
            <w:vAlign w:val="bottom"/>
          </w:tcPr>
          <w:p w14:paraId="625AE9D0" w14:textId="77777777" w:rsidR="00D679AB" w:rsidRPr="000653A9" w:rsidRDefault="00D679AB" w:rsidP="00196FB7">
            <w:pPr>
              <w:jc w:val="left"/>
              <w:rPr>
                <w:noProof/>
                <w:color w:val="auto"/>
              </w:rPr>
            </w:pPr>
            <w:r w:rsidRPr="000653A9">
              <w:rPr>
                <w:noProof/>
                <w:color w:val="auto"/>
              </w:rPr>
              <w:t>Surrender</w:t>
            </w:r>
          </w:p>
        </w:tc>
        <w:tc>
          <w:tcPr>
            <w:tcW w:w="2250" w:type="dxa"/>
            <w:vAlign w:val="center"/>
          </w:tcPr>
          <w:p w14:paraId="54C8ACCC" w14:textId="77777777" w:rsidR="00D679AB" w:rsidRPr="000653A9" w:rsidRDefault="00D679AB" w:rsidP="00A67984">
            <w:pPr>
              <w:jc w:val="center"/>
              <w:rPr>
                <w:noProof/>
                <w:color w:val="auto"/>
              </w:rPr>
            </w:pPr>
            <w:r w:rsidRPr="000653A9">
              <w:rPr>
                <w:noProof/>
                <w:color w:val="auto"/>
              </w:rPr>
              <w:t>Non-MRV charges</w:t>
            </w:r>
          </w:p>
        </w:tc>
        <w:tc>
          <w:tcPr>
            <w:tcW w:w="1957" w:type="dxa"/>
            <w:vAlign w:val="center"/>
          </w:tcPr>
          <w:p w14:paraId="3199FEF4" w14:textId="77777777" w:rsidR="00D679AB" w:rsidRPr="000653A9" w:rsidRDefault="00D679AB" w:rsidP="00A67984">
            <w:pPr>
              <w:jc w:val="center"/>
              <w:rPr>
                <w:noProof/>
                <w:color w:val="auto"/>
              </w:rPr>
            </w:pPr>
            <w:r w:rsidRPr="000653A9">
              <w:rPr>
                <w:noProof/>
                <w:color w:val="auto"/>
              </w:rPr>
              <w:t>No</w:t>
            </w:r>
          </w:p>
        </w:tc>
        <w:tc>
          <w:tcPr>
            <w:tcW w:w="0" w:type="auto"/>
            <w:vAlign w:val="center"/>
          </w:tcPr>
          <w:p w14:paraId="7BD69F3E" w14:textId="16ECC96C" w:rsidR="00D679AB" w:rsidRPr="000653A9" w:rsidRDefault="00D679AB" w:rsidP="00A67984">
            <w:pPr>
              <w:jc w:val="center"/>
              <w:rPr>
                <w:noProof/>
                <w:color w:val="auto"/>
              </w:rPr>
            </w:pPr>
            <w:r w:rsidRPr="000653A9">
              <w:rPr>
                <w:noProof/>
                <w:color w:val="auto"/>
              </w:rPr>
              <w:t>1,090</w:t>
            </w:r>
          </w:p>
        </w:tc>
      </w:tr>
      <w:tr w:rsidR="00C600D7" w:rsidRPr="000653A9" w14:paraId="55BCE102" w14:textId="77777777" w:rsidTr="00193408">
        <w:tc>
          <w:tcPr>
            <w:tcW w:w="4225" w:type="dxa"/>
            <w:vAlign w:val="bottom"/>
          </w:tcPr>
          <w:p w14:paraId="1131C999" w14:textId="77777777" w:rsidR="00D679AB" w:rsidRPr="000653A9" w:rsidRDefault="00D679AB" w:rsidP="00196FB7">
            <w:pPr>
              <w:jc w:val="left"/>
              <w:rPr>
                <w:noProof/>
                <w:color w:val="auto"/>
              </w:rPr>
            </w:pPr>
            <w:r w:rsidRPr="000653A9">
              <w:rPr>
                <w:noProof/>
                <w:color w:val="auto"/>
              </w:rPr>
              <w:t>Allocation from new entrant reserve</w:t>
            </w:r>
          </w:p>
        </w:tc>
        <w:tc>
          <w:tcPr>
            <w:tcW w:w="2250" w:type="dxa"/>
            <w:vAlign w:val="center"/>
          </w:tcPr>
          <w:p w14:paraId="3E0FB771" w14:textId="77777777" w:rsidR="00D679AB" w:rsidRPr="000653A9" w:rsidRDefault="00D679AB" w:rsidP="00A67984">
            <w:pPr>
              <w:jc w:val="center"/>
              <w:rPr>
                <w:noProof/>
                <w:color w:val="auto"/>
              </w:rPr>
            </w:pPr>
            <w:r w:rsidRPr="000653A9">
              <w:rPr>
                <w:noProof/>
                <w:color w:val="auto"/>
              </w:rPr>
              <w:t>Non-MRV charges</w:t>
            </w:r>
          </w:p>
        </w:tc>
        <w:tc>
          <w:tcPr>
            <w:tcW w:w="1957" w:type="dxa"/>
            <w:vAlign w:val="center"/>
          </w:tcPr>
          <w:p w14:paraId="7BFD411D" w14:textId="77777777" w:rsidR="00D679AB" w:rsidRPr="000653A9" w:rsidRDefault="00D679AB" w:rsidP="00A67984">
            <w:pPr>
              <w:jc w:val="center"/>
              <w:rPr>
                <w:noProof/>
                <w:color w:val="auto"/>
              </w:rPr>
            </w:pPr>
            <w:r w:rsidRPr="000653A9">
              <w:rPr>
                <w:noProof/>
                <w:color w:val="auto"/>
              </w:rPr>
              <w:t>No</w:t>
            </w:r>
          </w:p>
        </w:tc>
        <w:tc>
          <w:tcPr>
            <w:tcW w:w="0" w:type="auto"/>
            <w:vAlign w:val="center"/>
          </w:tcPr>
          <w:p w14:paraId="3DB7F849" w14:textId="77777777" w:rsidR="00D679AB" w:rsidRPr="000653A9" w:rsidRDefault="00D679AB" w:rsidP="00A67984">
            <w:pPr>
              <w:jc w:val="center"/>
              <w:rPr>
                <w:noProof/>
                <w:color w:val="auto"/>
              </w:rPr>
            </w:pPr>
            <w:r w:rsidRPr="000653A9">
              <w:rPr>
                <w:noProof/>
                <w:color w:val="auto"/>
              </w:rPr>
              <w:t>1,815</w:t>
            </w:r>
          </w:p>
        </w:tc>
      </w:tr>
      <w:tr w:rsidR="00C600D7" w:rsidRPr="000653A9" w14:paraId="12CC5FDD" w14:textId="77777777" w:rsidTr="00193408">
        <w:tc>
          <w:tcPr>
            <w:tcW w:w="4225" w:type="dxa"/>
            <w:vAlign w:val="bottom"/>
          </w:tcPr>
          <w:p w14:paraId="4A10F76C" w14:textId="77777777" w:rsidR="00D679AB" w:rsidRPr="000653A9" w:rsidRDefault="00D679AB" w:rsidP="00196FB7">
            <w:pPr>
              <w:jc w:val="left"/>
              <w:rPr>
                <w:noProof/>
                <w:color w:val="auto"/>
              </w:rPr>
            </w:pPr>
            <w:r w:rsidRPr="000653A9">
              <w:rPr>
                <w:noProof/>
                <w:color w:val="auto"/>
              </w:rPr>
              <w:t>Preparing significant modifications to your monitoring plan</w:t>
            </w:r>
          </w:p>
        </w:tc>
        <w:tc>
          <w:tcPr>
            <w:tcW w:w="2250" w:type="dxa"/>
            <w:vAlign w:val="center"/>
          </w:tcPr>
          <w:p w14:paraId="07F0C114" w14:textId="77777777" w:rsidR="00D679AB" w:rsidRPr="000653A9" w:rsidRDefault="00D679AB" w:rsidP="00A67984">
            <w:pPr>
              <w:jc w:val="center"/>
              <w:rPr>
                <w:noProof/>
                <w:color w:val="auto"/>
              </w:rPr>
            </w:pPr>
            <w:r w:rsidRPr="000653A9">
              <w:rPr>
                <w:noProof/>
                <w:color w:val="auto"/>
              </w:rPr>
              <w:t>Monitoring</w:t>
            </w:r>
          </w:p>
        </w:tc>
        <w:tc>
          <w:tcPr>
            <w:tcW w:w="1957" w:type="dxa"/>
            <w:vAlign w:val="center"/>
          </w:tcPr>
          <w:p w14:paraId="3A2BE3BF" w14:textId="77777777" w:rsidR="00D679AB" w:rsidRPr="000653A9" w:rsidRDefault="00D679AB" w:rsidP="00A67984">
            <w:pPr>
              <w:jc w:val="center"/>
              <w:rPr>
                <w:noProof/>
                <w:color w:val="auto"/>
              </w:rPr>
            </w:pPr>
            <w:r w:rsidRPr="000653A9">
              <w:rPr>
                <w:noProof/>
                <w:color w:val="auto"/>
              </w:rPr>
              <w:t>Yes</w:t>
            </w:r>
          </w:p>
        </w:tc>
        <w:tc>
          <w:tcPr>
            <w:tcW w:w="0" w:type="auto"/>
            <w:vAlign w:val="center"/>
          </w:tcPr>
          <w:p w14:paraId="40CCFB2A" w14:textId="14F7E1F2" w:rsidR="00D679AB" w:rsidRPr="000653A9" w:rsidRDefault="00D679AB" w:rsidP="00A67984">
            <w:pPr>
              <w:jc w:val="center"/>
              <w:rPr>
                <w:noProof/>
                <w:color w:val="auto"/>
              </w:rPr>
            </w:pPr>
            <w:r w:rsidRPr="000653A9">
              <w:rPr>
                <w:noProof/>
                <w:color w:val="auto"/>
              </w:rPr>
              <w:t>7,212</w:t>
            </w:r>
          </w:p>
        </w:tc>
      </w:tr>
      <w:tr w:rsidR="00C600D7" w:rsidRPr="000653A9" w14:paraId="3AFD3476" w14:textId="77777777" w:rsidTr="00193408">
        <w:tc>
          <w:tcPr>
            <w:tcW w:w="4225" w:type="dxa"/>
            <w:vAlign w:val="bottom"/>
          </w:tcPr>
          <w:p w14:paraId="45866073" w14:textId="77777777" w:rsidR="00D679AB" w:rsidRPr="000653A9" w:rsidRDefault="00D679AB" w:rsidP="00196FB7">
            <w:pPr>
              <w:jc w:val="left"/>
              <w:rPr>
                <w:noProof/>
                <w:color w:val="auto"/>
              </w:rPr>
            </w:pPr>
            <w:r w:rsidRPr="000653A9">
              <w:rPr>
                <w:noProof/>
                <w:color w:val="auto"/>
              </w:rPr>
              <w:t>Monitoring in accordance with the approved monitoring plan</w:t>
            </w:r>
          </w:p>
        </w:tc>
        <w:tc>
          <w:tcPr>
            <w:tcW w:w="2250" w:type="dxa"/>
            <w:vAlign w:val="center"/>
          </w:tcPr>
          <w:p w14:paraId="4F2EFA56" w14:textId="77777777" w:rsidR="00D679AB" w:rsidRPr="000653A9" w:rsidRDefault="00D679AB" w:rsidP="00A67984">
            <w:pPr>
              <w:jc w:val="center"/>
              <w:rPr>
                <w:noProof/>
                <w:color w:val="auto"/>
              </w:rPr>
            </w:pPr>
            <w:r w:rsidRPr="000653A9">
              <w:rPr>
                <w:noProof/>
                <w:color w:val="auto"/>
              </w:rPr>
              <w:t>Monitoring</w:t>
            </w:r>
          </w:p>
        </w:tc>
        <w:tc>
          <w:tcPr>
            <w:tcW w:w="1957" w:type="dxa"/>
            <w:vAlign w:val="center"/>
          </w:tcPr>
          <w:p w14:paraId="584697EC" w14:textId="77777777" w:rsidR="00D679AB" w:rsidRPr="000653A9" w:rsidRDefault="00D679AB" w:rsidP="00A67984">
            <w:pPr>
              <w:jc w:val="center"/>
              <w:rPr>
                <w:noProof/>
                <w:color w:val="auto"/>
              </w:rPr>
            </w:pPr>
            <w:r w:rsidRPr="000653A9">
              <w:rPr>
                <w:noProof/>
                <w:color w:val="auto"/>
              </w:rPr>
              <w:t>Yes</w:t>
            </w:r>
          </w:p>
        </w:tc>
        <w:tc>
          <w:tcPr>
            <w:tcW w:w="0" w:type="auto"/>
            <w:vAlign w:val="center"/>
          </w:tcPr>
          <w:p w14:paraId="273F1B0B" w14:textId="04A3ACC0" w:rsidR="00D679AB" w:rsidRPr="000653A9" w:rsidRDefault="00D679AB" w:rsidP="00A67984">
            <w:pPr>
              <w:jc w:val="center"/>
              <w:rPr>
                <w:noProof/>
                <w:color w:val="auto"/>
              </w:rPr>
            </w:pPr>
            <w:r w:rsidRPr="000653A9">
              <w:rPr>
                <w:noProof/>
                <w:color w:val="auto"/>
              </w:rPr>
              <w:t>15,671</w:t>
            </w:r>
          </w:p>
        </w:tc>
      </w:tr>
      <w:tr w:rsidR="00C600D7" w:rsidRPr="000653A9" w14:paraId="5E9B1A0E" w14:textId="77777777" w:rsidTr="00193408">
        <w:tc>
          <w:tcPr>
            <w:tcW w:w="4225" w:type="dxa"/>
            <w:vAlign w:val="bottom"/>
          </w:tcPr>
          <w:p w14:paraId="1ED266F0" w14:textId="77777777" w:rsidR="00D679AB" w:rsidRPr="000653A9" w:rsidRDefault="00D679AB" w:rsidP="00196FB7">
            <w:pPr>
              <w:jc w:val="left"/>
              <w:rPr>
                <w:noProof/>
                <w:color w:val="auto"/>
              </w:rPr>
            </w:pPr>
            <w:r w:rsidRPr="000653A9">
              <w:rPr>
                <w:noProof/>
                <w:color w:val="auto"/>
              </w:rPr>
              <w:t>Quality assurance and quality control procedures</w:t>
            </w:r>
          </w:p>
        </w:tc>
        <w:tc>
          <w:tcPr>
            <w:tcW w:w="2250" w:type="dxa"/>
            <w:vAlign w:val="center"/>
          </w:tcPr>
          <w:p w14:paraId="08C3D763" w14:textId="77777777" w:rsidR="00D679AB" w:rsidRPr="000653A9" w:rsidRDefault="00D679AB" w:rsidP="00A67984">
            <w:pPr>
              <w:jc w:val="center"/>
              <w:rPr>
                <w:noProof/>
                <w:color w:val="auto"/>
              </w:rPr>
            </w:pPr>
            <w:r w:rsidRPr="000653A9">
              <w:rPr>
                <w:noProof/>
                <w:color w:val="auto"/>
              </w:rPr>
              <w:t>Monitoring</w:t>
            </w:r>
          </w:p>
        </w:tc>
        <w:tc>
          <w:tcPr>
            <w:tcW w:w="1957" w:type="dxa"/>
            <w:vAlign w:val="center"/>
          </w:tcPr>
          <w:p w14:paraId="5C2AAE68" w14:textId="77777777" w:rsidR="00D679AB" w:rsidRPr="000653A9" w:rsidRDefault="00D679AB" w:rsidP="00A67984">
            <w:pPr>
              <w:jc w:val="center"/>
              <w:rPr>
                <w:noProof/>
                <w:color w:val="auto"/>
              </w:rPr>
            </w:pPr>
            <w:r w:rsidRPr="000653A9">
              <w:rPr>
                <w:noProof/>
                <w:color w:val="auto"/>
              </w:rPr>
              <w:t>Yes</w:t>
            </w:r>
          </w:p>
        </w:tc>
        <w:tc>
          <w:tcPr>
            <w:tcW w:w="0" w:type="auto"/>
            <w:vAlign w:val="center"/>
          </w:tcPr>
          <w:p w14:paraId="6C71A385" w14:textId="1626FF32" w:rsidR="00D679AB" w:rsidRPr="000653A9" w:rsidRDefault="00D679AB" w:rsidP="00A67984">
            <w:pPr>
              <w:jc w:val="center"/>
              <w:rPr>
                <w:noProof/>
                <w:color w:val="auto"/>
              </w:rPr>
            </w:pPr>
            <w:r w:rsidRPr="000653A9">
              <w:rPr>
                <w:noProof/>
                <w:color w:val="auto"/>
              </w:rPr>
              <w:t>12,021</w:t>
            </w:r>
          </w:p>
        </w:tc>
      </w:tr>
      <w:tr w:rsidR="00C600D7" w:rsidRPr="000653A9" w14:paraId="4CA1E31E" w14:textId="77777777" w:rsidTr="00193408">
        <w:tc>
          <w:tcPr>
            <w:tcW w:w="4225" w:type="dxa"/>
            <w:vAlign w:val="bottom"/>
          </w:tcPr>
          <w:p w14:paraId="7F4364EC" w14:textId="77777777" w:rsidR="00D679AB" w:rsidRPr="000653A9" w:rsidRDefault="00D679AB" w:rsidP="00196FB7">
            <w:pPr>
              <w:jc w:val="left"/>
              <w:rPr>
                <w:noProof/>
                <w:color w:val="auto"/>
              </w:rPr>
            </w:pPr>
            <w:r w:rsidRPr="000653A9">
              <w:rPr>
                <w:noProof/>
                <w:color w:val="auto"/>
              </w:rPr>
              <w:t>Preparing improvement reports</w:t>
            </w:r>
          </w:p>
        </w:tc>
        <w:tc>
          <w:tcPr>
            <w:tcW w:w="2250" w:type="dxa"/>
            <w:vAlign w:val="center"/>
          </w:tcPr>
          <w:p w14:paraId="5783A9C5" w14:textId="77777777" w:rsidR="00D679AB" w:rsidRPr="000653A9" w:rsidRDefault="00D679AB" w:rsidP="00A67984">
            <w:pPr>
              <w:jc w:val="center"/>
              <w:rPr>
                <w:noProof/>
                <w:color w:val="auto"/>
              </w:rPr>
            </w:pPr>
            <w:r w:rsidRPr="000653A9">
              <w:rPr>
                <w:noProof/>
                <w:color w:val="auto"/>
              </w:rPr>
              <w:t>Monitoring</w:t>
            </w:r>
          </w:p>
        </w:tc>
        <w:tc>
          <w:tcPr>
            <w:tcW w:w="1957" w:type="dxa"/>
            <w:vAlign w:val="center"/>
          </w:tcPr>
          <w:p w14:paraId="7114C41A" w14:textId="77777777" w:rsidR="00D679AB" w:rsidRPr="000653A9" w:rsidRDefault="00D679AB" w:rsidP="00A67984">
            <w:pPr>
              <w:jc w:val="center"/>
              <w:rPr>
                <w:noProof/>
                <w:color w:val="auto"/>
              </w:rPr>
            </w:pPr>
            <w:r w:rsidRPr="000653A9">
              <w:rPr>
                <w:noProof/>
                <w:color w:val="auto"/>
              </w:rPr>
              <w:t>Yes</w:t>
            </w:r>
          </w:p>
        </w:tc>
        <w:tc>
          <w:tcPr>
            <w:tcW w:w="0" w:type="auto"/>
            <w:vAlign w:val="center"/>
          </w:tcPr>
          <w:p w14:paraId="44B41BF8" w14:textId="7118D28A" w:rsidR="00D679AB" w:rsidRPr="000653A9" w:rsidRDefault="00D679AB" w:rsidP="00A67984">
            <w:pPr>
              <w:jc w:val="center"/>
              <w:rPr>
                <w:noProof/>
                <w:color w:val="auto"/>
              </w:rPr>
            </w:pPr>
            <w:r w:rsidRPr="000653A9">
              <w:rPr>
                <w:noProof/>
                <w:color w:val="auto"/>
              </w:rPr>
              <w:t>4,109</w:t>
            </w:r>
          </w:p>
        </w:tc>
      </w:tr>
      <w:tr w:rsidR="00C600D7" w:rsidRPr="000653A9" w14:paraId="38149DF3" w14:textId="77777777" w:rsidTr="00193408">
        <w:tc>
          <w:tcPr>
            <w:tcW w:w="4225" w:type="dxa"/>
            <w:vAlign w:val="bottom"/>
          </w:tcPr>
          <w:p w14:paraId="7992D08F" w14:textId="77777777" w:rsidR="00D679AB" w:rsidRPr="000653A9" w:rsidRDefault="00D679AB" w:rsidP="00196FB7">
            <w:pPr>
              <w:jc w:val="left"/>
              <w:rPr>
                <w:noProof/>
                <w:color w:val="auto"/>
              </w:rPr>
            </w:pPr>
            <w:r w:rsidRPr="000653A9">
              <w:rPr>
                <w:noProof/>
                <w:color w:val="auto"/>
              </w:rPr>
              <w:t>Preparing an annual emissions report and submitting it to your competent authority</w:t>
            </w:r>
          </w:p>
        </w:tc>
        <w:tc>
          <w:tcPr>
            <w:tcW w:w="2250" w:type="dxa"/>
            <w:vAlign w:val="center"/>
          </w:tcPr>
          <w:p w14:paraId="1057F5EA" w14:textId="77777777" w:rsidR="00D679AB" w:rsidRPr="000653A9" w:rsidRDefault="00D679AB" w:rsidP="00A67984">
            <w:pPr>
              <w:jc w:val="center"/>
              <w:rPr>
                <w:noProof/>
                <w:color w:val="auto"/>
              </w:rPr>
            </w:pPr>
            <w:r w:rsidRPr="000653A9">
              <w:rPr>
                <w:noProof/>
                <w:color w:val="auto"/>
              </w:rPr>
              <w:t>Reporting</w:t>
            </w:r>
          </w:p>
        </w:tc>
        <w:tc>
          <w:tcPr>
            <w:tcW w:w="1957" w:type="dxa"/>
            <w:vAlign w:val="center"/>
          </w:tcPr>
          <w:p w14:paraId="1981BE25" w14:textId="77777777" w:rsidR="00D679AB" w:rsidRPr="000653A9" w:rsidRDefault="00D679AB" w:rsidP="00A67984">
            <w:pPr>
              <w:jc w:val="center"/>
              <w:rPr>
                <w:noProof/>
                <w:color w:val="auto"/>
              </w:rPr>
            </w:pPr>
            <w:r w:rsidRPr="000653A9">
              <w:rPr>
                <w:noProof/>
                <w:color w:val="auto"/>
              </w:rPr>
              <w:t>Yes</w:t>
            </w:r>
          </w:p>
        </w:tc>
        <w:tc>
          <w:tcPr>
            <w:tcW w:w="0" w:type="auto"/>
            <w:vAlign w:val="center"/>
          </w:tcPr>
          <w:p w14:paraId="21684465" w14:textId="6051ECDF" w:rsidR="00D679AB" w:rsidRPr="000653A9" w:rsidRDefault="00D679AB" w:rsidP="00A67984">
            <w:pPr>
              <w:jc w:val="center"/>
              <w:rPr>
                <w:noProof/>
                <w:color w:val="auto"/>
              </w:rPr>
            </w:pPr>
            <w:r w:rsidRPr="000653A9">
              <w:rPr>
                <w:noProof/>
                <w:color w:val="auto"/>
              </w:rPr>
              <w:t>4,335</w:t>
            </w:r>
          </w:p>
        </w:tc>
      </w:tr>
      <w:tr w:rsidR="00C600D7" w:rsidRPr="000653A9" w14:paraId="5B86721D" w14:textId="77777777" w:rsidTr="00193408">
        <w:tc>
          <w:tcPr>
            <w:tcW w:w="4225" w:type="dxa"/>
            <w:vAlign w:val="bottom"/>
          </w:tcPr>
          <w:p w14:paraId="09FC4328" w14:textId="77777777" w:rsidR="00D679AB" w:rsidRPr="000653A9" w:rsidRDefault="00D679AB" w:rsidP="00196FB7">
            <w:pPr>
              <w:jc w:val="left"/>
              <w:rPr>
                <w:noProof/>
                <w:color w:val="auto"/>
              </w:rPr>
            </w:pPr>
            <w:r w:rsidRPr="000653A9">
              <w:rPr>
                <w:noProof/>
                <w:color w:val="auto"/>
              </w:rPr>
              <w:t>Verification</w:t>
            </w:r>
          </w:p>
        </w:tc>
        <w:tc>
          <w:tcPr>
            <w:tcW w:w="2250" w:type="dxa"/>
            <w:vAlign w:val="center"/>
          </w:tcPr>
          <w:p w14:paraId="2DA8FAC6" w14:textId="77777777" w:rsidR="00D679AB" w:rsidRPr="000653A9" w:rsidRDefault="00D679AB" w:rsidP="00A67984">
            <w:pPr>
              <w:jc w:val="center"/>
              <w:rPr>
                <w:noProof/>
                <w:color w:val="auto"/>
              </w:rPr>
            </w:pPr>
            <w:r w:rsidRPr="000653A9">
              <w:rPr>
                <w:noProof/>
                <w:color w:val="auto"/>
              </w:rPr>
              <w:t>Verification</w:t>
            </w:r>
          </w:p>
        </w:tc>
        <w:tc>
          <w:tcPr>
            <w:tcW w:w="1957" w:type="dxa"/>
            <w:vAlign w:val="center"/>
          </w:tcPr>
          <w:p w14:paraId="46A93BF8" w14:textId="77777777" w:rsidR="00D679AB" w:rsidRPr="000653A9" w:rsidRDefault="00D679AB" w:rsidP="00A67984">
            <w:pPr>
              <w:jc w:val="center"/>
              <w:rPr>
                <w:noProof/>
                <w:color w:val="auto"/>
              </w:rPr>
            </w:pPr>
            <w:r w:rsidRPr="000653A9">
              <w:rPr>
                <w:noProof/>
                <w:color w:val="auto"/>
              </w:rPr>
              <w:t>Yes</w:t>
            </w:r>
          </w:p>
        </w:tc>
        <w:tc>
          <w:tcPr>
            <w:tcW w:w="0" w:type="auto"/>
            <w:vAlign w:val="center"/>
          </w:tcPr>
          <w:p w14:paraId="656E8237" w14:textId="41F900DA" w:rsidR="00D679AB" w:rsidRPr="000653A9" w:rsidRDefault="00D679AB" w:rsidP="00A67984">
            <w:pPr>
              <w:jc w:val="center"/>
              <w:rPr>
                <w:noProof/>
                <w:color w:val="auto"/>
              </w:rPr>
            </w:pPr>
            <w:r w:rsidRPr="000653A9">
              <w:rPr>
                <w:noProof/>
                <w:color w:val="auto"/>
              </w:rPr>
              <w:t>6,789</w:t>
            </w:r>
          </w:p>
        </w:tc>
      </w:tr>
      <w:tr w:rsidR="00D679AB" w:rsidRPr="000653A9" w14:paraId="0FB29119" w14:textId="77777777" w:rsidTr="00193408">
        <w:trPr>
          <w:trHeight w:val="66"/>
        </w:trPr>
        <w:tc>
          <w:tcPr>
            <w:tcW w:w="4225" w:type="dxa"/>
            <w:vAlign w:val="bottom"/>
          </w:tcPr>
          <w:p w14:paraId="4FD49F39" w14:textId="77777777" w:rsidR="00D679AB" w:rsidRPr="000653A9" w:rsidRDefault="00D679AB" w:rsidP="00196FB7">
            <w:pPr>
              <w:jc w:val="left"/>
              <w:rPr>
                <w:noProof/>
                <w:color w:val="auto"/>
              </w:rPr>
            </w:pPr>
            <w:r w:rsidRPr="000653A9">
              <w:rPr>
                <w:noProof/>
                <w:color w:val="auto"/>
              </w:rPr>
              <w:t>Any other costs</w:t>
            </w:r>
          </w:p>
        </w:tc>
        <w:tc>
          <w:tcPr>
            <w:tcW w:w="2250" w:type="dxa"/>
            <w:vAlign w:val="center"/>
          </w:tcPr>
          <w:p w14:paraId="2AED1BA2" w14:textId="77777777" w:rsidR="00D679AB" w:rsidRPr="000653A9" w:rsidRDefault="00D679AB" w:rsidP="00A67984">
            <w:pPr>
              <w:jc w:val="center"/>
              <w:rPr>
                <w:noProof/>
                <w:color w:val="auto"/>
              </w:rPr>
            </w:pPr>
            <w:r w:rsidRPr="000653A9">
              <w:rPr>
                <w:noProof/>
                <w:color w:val="auto"/>
              </w:rPr>
              <w:t>Other</w:t>
            </w:r>
          </w:p>
        </w:tc>
        <w:tc>
          <w:tcPr>
            <w:tcW w:w="1957" w:type="dxa"/>
            <w:vAlign w:val="center"/>
          </w:tcPr>
          <w:p w14:paraId="6549EC18" w14:textId="77777777" w:rsidR="00D679AB" w:rsidRPr="000653A9" w:rsidRDefault="00D679AB" w:rsidP="00A67984">
            <w:pPr>
              <w:jc w:val="center"/>
              <w:rPr>
                <w:noProof/>
                <w:color w:val="auto"/>
              </w:rPr>
            </w:pPr>
            <w:r w:rsidRPr="000653A9">
              <w:rPr>
                <w:noProof/>
                <w:color w:val="auto"/>
              </w:rPr>
              <w:t>Yes</w:t>
            </w:r>
          </w:p>
        </w:tc>
        <w:tc>
          <w:tcPr>
            <w:tcW w:w="0" w:type="auto"/>
            <w:vAlign w:val="center"/>
          </w:tcPr>
          <w:p w14:paraId="5FF3312E" w14:textId="08A27CDF" w:rsidR="00D679AB" w:rsidRPr="000653A9" w:rsidRDefault="00D679AB" w:rsidP="00A67984">
            <w:pPr>
              <w:jc w:val="center"/>
              <w:rPr>
                <w:noProof/>
                <w:color w:val="auto"/>
              </w:rPr>
            </w:pPr>
            <w:r w:rsidRPr="000653A9">
              <w:rPr>
                <w:noProof/>
                <w:color w:val="auto"/>
              </w:rPr>
              <w:t>9,052</w:t>
            </w:r>
          </w:p>
        </w:tc>
      </w:tr>
    </w:tbl>
    <w:p w14:paraId="3E50D6D3" w14:textId="61176B84" w:rsidR="00B453FA" w:rsidRPr="000653A9" w:rsidRDefault="00B453FA" w:rsidP="00B453FA">
      <w:pPr>
        <w:rPr>
          <w:i/>
          <w:iCs/>
          <w:noProof/>
          <w:sz w:val="20"/>
          <w:szCs w:val="20"/>
        </w:rPr>
      </w:pPr>
      <w:r w:rsidRPr="000653A9">
        <w:rPr>
          <w:i/>
          <w:iCs/>
          <w:noProof/>
          <w:sz w:val="20"/>
          <w:szCs w:val="20"/>
        </w:rPr>
        <w:t>Source:</w:t>
      </w:r>
      <w:r w:rsidR="00AE329B" w:rsidRPr="000653A9">
        <w:rPr>
          <w:i/>
          <w:iCs/>
          <w:noProof/>
          <w:sz w:val="20"/>
          <w:szCs w:val="20"/>
        </w:rPr>
        <w:t xml:space="preserve"> </w:t>
      </w:r>
      <w:r w:rsidR="0097700C" w:rsidRPr="000653A9">
        <w:rPr>
          <w:i/>
          <w:iCs/>
          <w:noProof/>
          <w:sz w:val="20"/>
          <w:szCs w:val="20"/>
        </w:rPr>
        <w:t>B</w:t>
      </w:r>
      <w:r w:rsidR="00AE329B" w:rsidRPr="000653A9">
        <w:rPr>
          <w:i/>
          <w:iCs/>
          <w:noProof/>
          <w:sz w:val="20"/>
          <w:szCs w:val="20"/>
        </w:rPr>
        <w:t>ased on</w:t>
      </w:r>
      <w:r w:rsidRPr="000653A9">
        <w:rPr>
          <w:i/>
          <w:iCs/>
          <w:noProof/>
          <w:sz w:val="20"/>
          <w:szCs w:val="20"/>
        </w:rPr>
        <w:t xml:space="preserve"> </w:t>
      </w:r>
      <w:r w:rsidR="00DE43FF" w:rsidRPr="000653A9">
        <w:rPr>
          <w:i/>
          <w:iCs/>
          <w:noProof/>
          <w:sz w:val="20"/>
          <w:szCs w:val="20"/>
        </w:rPr>
        <w:t>Schleich</w:t>
      </w:r>
      <w:r w:rsidR="008C0FBC" w:rsidRPr="000653A9">
        <w:rPr>
          <w:i/>
          <w:iCs/>
          <w:noProof/>
          <w:sz w:val="20"/>
          <w:szCs w:val="20"/>
        </w:rPr>
        <w:t xml:space="preserve"> </w:t>
      </w:r>
      <w:r w:rsidR="00AE329B" w:rsidRPr="000653A9">
        <w:rPr>
          <w:i/>
          <w:iCs/>
          <w:noProof/>
          <w:sz w:val="20"/>
          <w:szCs w:val="20"/>
        </w:rPr>
        <w:t xml:space="preserve">&amp; Betz (2004) and </w:t>
      </w:r>
      <w:r w:rsidR="00A71849" w:rsidRPr="000653A9">
        <w:rPr>
          <w:i/>
          <w:iCs/>
          <w:noProof/>
          <w:sz w:val="20"/>
          <w:szCs w:val="20"/>
        </w:rPr>
        <w:t>DAERA</w:t>
      </w:r>
    </w:p>
    <w:p w14:paraId="35E5C472" w14:textId="3BF27DD6" w:rsidR="00D679AB" w:rsidRPr="000653A9" w:rsidRDefault="001F41F0" w:rsidP="00F73B5B">
      <w:pPr>
        <w:rPr>
          <w:noProof/>
          <w:color w:val="auto"/>
        </w:rPr>
      </w:pPr>
      <w:r w:rsidRPr="000653A9">
        <w:rPr>
          <w:noProof/>
          <w:color w:val="auto"/>
        </w:rPr>
        <w:t>According to the distribution derived from t</w:t>
      </w:r>
      <w:r w:rsidR="00D679AB" w:rsidRPr="000653A9">
        <w:rPr>
          <w:noProof/>
          <w:color w:val="auto"/>
        </w:rPr>
        <w:t xml:space="preserve">he French and Polish MCP registry datasets, </w:t>
      </w:r>
      <w:r w:rsidRPr="000653A9">
        <w:rPr>
          <w:noProof/>
          <w:color w:val="auto"/>
        </w:rPr>
        <w:t>m</w:t>
      </w:r>
      <w:r w:rsidR="00D679AB" w:rsidRPr="000653A9">
        <w:rPr>
          <w:noProof/>
          <w:color w:val="auto"/>
        </w:rPr>
        <w:t>ore than 70% of installations are &lt;=5 MW</w:t>
      </w:r>
      <w:r w:rsidR="00134443" w:rsidRPr="000653A9">
        <w:rPr>
          <w:noProof/>
          <w:color w:val="auto"/>
        </w:rPr>
        <w:t xml:space="preserve"> (see </w:t>
      </w:r>
      <w:r w:rsidR="00BC36A9" w:rsidRPr="000653A9">
        <w:rPr>
          <w:noProof/>
        </w:rPr>
        <w:t xml:space="preserve">Figure </w:t>
      </w:r>
      <w:r w:rsidR="00A96CAD" w:rsidRPr="000653A9">
        <w:rPr>
          <w:noProof/>
        </w:rPr>
        <w:t>1</w:t>
      </w:r>
      <w:r w:rsidR="004D02DF" w:rsidRPr="000653A9">
        <w:rPr>
          <w:noProof/>
        </w:rPr>
        <w:t>5</w:t>
      </w:r>
      <w:r w:rsidR="00B738DE" w:rsidRPr="000653A9">
        <w:rPr>
          <w:noProof/>
        </w:rPr>
        <w:t xml:space="preserve"> </w:t>
      </w:r>
      <w:r w:rsidR="00134443" w:rsidRPr="000653A9">
        <w:rPr>
          <w:noProof/>
          <w:color w:val="auto"/>
        </w:rPr>
        <w:t>below)</w:t>
      </w:r>
      <w:r w:rsidR="00D679AB" w:rsidRPr="000653A9">
        <w:rPr>
          <w:noProof/>
          <w:color w:val="auto"/>
        </w:rPr>
        <w:t>. The number of installations increases as installation size reduces</w:t>
      </w:r>
      <w:r w:rsidR="009207B8" w:rsidRPr="000653A9">
        <w:rPr>
          <w:noProof/>
          <w:color w:val="auto"/>
        </w:rPr>
        <w:t xml:space="preserve"> (see also Figure </w:t>
      </w:r>
      <w:r w:rsidR="009A115F" w:rsidRPr="000653A9">
        <w:rPr>
          <w:noProof/>
          <w:color w:val="auto"/>
        </w:rPr>
        <w:t>1</w:t>
      </w:r>
      <w:r w:rsidR="004D02DF" w:rsidRPr="000653A9">
        <w:rPr>
          <w:noProof/>
          <w:color w:val="auto"/>
        </w:rPr>
        <w:t>4</w:t>
      </w:r>
      <w:r w:rsidR="009207B8" w:rsidRPr="000653A9">
        <w:rPr>
          <w:noProof/>
          <w:color w:val="auto"/>
        </w:rPr>
        <w:t xml:space="preserve"> above for distribution of emissions)</w:t>
      </w:r>
      <w:r w:rsidR="00D679AB" w:rsidRPr="000653A9">
        <w:rPr>
          <w:noProof/>
          <w:color w:val="auto"/>
        </w:rPr>
        <w:t>.</w:t>
      </w:r>
    </w:p>
    <w:p w14:paraId="4AAE1F48" w14:textId="215978F4" w:rsidR="00D679AB" w:rsidRPr="000653A9" w:rsidRDefault="00D679AB" w:rsidP="00C92FA9">
      <w:pPr>
        <w:pStyle w:val="Figuretitle"/>
        <w:rPr>
          <w:noProof/>
        </w:rPr>
      </w:pPr>
      <w:bookmarkStart w:id="579" w:name="_Ref210384804"/>
      <w:bookmarkStart w:id="580" w:name="_Toc224659149"/>
      <w:r w:rsidRPr="000653A9">
        <w:rPr>
          <w:noProof/>
        </w:rPr>
        <w:t>Distribution of installations by capacity</w:t>
      </w:r>
      <w:bookmarkEnd w:id="579"/>
      <w:bookmarkEnd w:id="580"/>
    </w:p>
    <w:p w14:paraId="14F2ED24" w14:textId="1A5F4A04" w:rsidR="00D679AB" w:rsidRPr="000653A9" w:rsidRDefault="00D679AB" w:rsidP="00F73B5B">
      <w:pPr>
        <w:rPr>
          <w:noProof/>
          <w:color w:val="auto"/>
        </w:rPr>
      </w:pPr>
      <w:r w:rsidRPr="000653A9">
        <w:rPr>
          <w:noProof/>
          <w:color w:val="auto"/>
          <w:lang w:eastAsia="en-GB"/>
        </w:rPr>
        <w:drawing>
          <wp:inline distT="0" distB="0" distL="0" distR="0" wp14:anchorId="25470A5B" wp14:editId="31651CCD">
            <wp:extent cx="5719580" cy="3147323"/>
            <wp:effectExtent l="0" t="0" r="0" b="0"/>
            <wp:docPr id="812151891"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5090" name="Picture 1" descr="A graph of a number of people&#10;&#10;AI-generated content may be incorrect."/>
                    <pic:cNvPicPr/>
                  </pic:nvPicPr>
                  <pic:blipFill>
                    <a:blip r:embed="rId30"/>
                    <a:stretch>
                      <a:fillRect/>
                    </a:stretch>
                  </pic:blipFill>
                  <pic:spPr>
                    <a:xfrm>
                      <a:off x="0" y="0"/>
                      <a:ext cx="5759856" cy="3169486"/>
                    </a:xfrm>
                    <a:prstGeom prst="rect">
                      <a:avLst/>
                    </a:prstGeom>
                  </pic:spPr>
                </pic:pic>
              </a:graphicData>
            </a:graphic>
          </wp:inline>
        </w:drawing>
      </w:r>
    </w:p>
    <w:p w14:paraId="46804BB4" w14:textId="2515C398" w:rsidR="00D679AB" w:rsidRPr="000653A9" w:rsidRDefault="00F61B87" w:rsidP="00F73B5B">
      <w:pPr>
        <w:rPr>
          <w:i/>
          <w:iCs/>
          <w:noProof/>
          <w:color w:val="auto"/>
          <w:sz w:val="20"/>
          <w:szCs w:val="20"/>
        </w:rPr>
      </w:pPr>
      <w:r w:rsidRPr="000653A9">
        <w:rPr>
          <w:i/>
          <w:iCs/>
          <w:noProof/>
          <w:sz w:val="20"/>
          <w:szCs w:val="20"/>
        </w:rPr>
        <w:t>Source: Own calculation based on MCP registries for France and Poland</w:t>
      </w:r>
    </w:p>
    <w:p w14:paraId="42E51920" w14:textId="3883C2C0" w:rsidR="00D679AB" w:rsidRPr="000653A9" w:rsidRDefault="00FD7A94" w:rsidP="0052443A">
      <w:pPr>
        <w:pStyle w:val="BodyText"/>
        <w:rPr>
          <w:noProof/>
          <w:color w:val="auto"/>
        </w:rPr>
      </w:pPr>
      <w:r w:rsidRPr="000653A9">
        <w:rPr>
          <w:noProof/>
          <w:color w:val="auto"/>
          <w:lang w:eastAsia="en-GB"/>
        </w:rPr>
        <w:t>The estimated total number of &lt;</w:t>
      </w:r>
      <w:r w:rsidRPr="000653A9">
        <w:rPr>
          <w:noProof/>
          <w:color w:val="auto"/>
        </w:rPr>
        <w:t xml:space="preserve">20MW </w:t>
      </w:r>
      <w:r w:rsidRPr="000653A9">
        <w:rPr>
          <w:noProof/>
          <w:color w:val="auto"/>
          <w:lang w:eastAsia="en-GB"/>
        </w:rPr>
        <w:t>installations EU-wide (94,428)</w:t>
      </w:r>
      <w:r w:rsidRPr="000653A9">
        <w:rPr>
          <w:rStyle w:val="FootnoteReference"/>
          <w:rFonts w:cs="Times New Roman"/>
          <w:noProof/>
          <w:color w:val="auto"/>
          <w:lang w:eastAsia="en-GB"/>
        </w:rPr>
        <w:footnoteReference w:id="37"/>
      </w:r>
      <w:r w:rsidR="00603D54" w:rsidRPr="000653A9">
        <w:rPr>
          <w:noProof/>
          <w:color w:val="auto"/>
          <w:lang w:eastAsia="en-GB"/>
        </w:rPr>
        <w:t>,</w:t>
      </w:r>
      <w:r w:rsidR="00BC36A9" w:rsidRPr="000653A9">
        <w:rPr>
          <w:noProof/>
        </w:rPr>
        <w:t xml:space="preserve"> </w:t>
      </w:r>
      <w:r w:rsidR="0052443A" w:rsidRPr="000653A9">
        <w:rPr>
          <w:noProof/>
          <w:color w:val="auto"/>
        </w:rPr>
        <w:t>combine</w:t>
      </w:r>
      <w:r w:rsidR="00603D54" w:rsidRPr="000653A9">
        <w:rPr>
          <w:noProof/>
          <w:color w:val="auto"/>
        </w:rPr>
        <w:t>d</w:t>
      </w:r>
      <w:r w:rsidR="0052443A" w:rsidRPr="000653A9">
        <w:rPr>
          <w:noProof/>
          <w:color w:val="auto"/>
        </w:rPr>
        <w:t xml:space="preserve"> </w:t>
      </w:r>
      <w:r w:rsidR="00603D54" w:rsidRPr="000653A9">
        <w:rPr>
          <w:noProof/>
          <w:color w:val="auto"/>
        </w:rPr>
        <w:t>with</w:t>
      </w:r>
      <w:r w:rsidR="0052443A" w:rsidRPr="000653A9">
        <w:rPr>
          <w:noProof/>
          <w:color w:val="auto"/>
        </w:rPr>
        <w:t xml:space="preserve"> the distribution above </w:t>
      </w:r>
      <w:r w:rsidR="00D679AB" w:rsidRPr="000653A9">
        <w:rPr>
          <w:noProof/>
          <w:color w:val="auto"/>
        </w:rPr>
        <w:t xml:space="preserve">indicates that most of the additional administration fees stem from installations that are less than or equal to 5MW, which is attributable to the greater number of smaller installations. </w:t>
      </w:r>
      <w:bookmarkStart w:id="581" w:name="_Ref206697501"/>
      <w:r w:rsidR="00D679AB" w:rsidRPr="000653A9">
        <w:rPr>
          <w:noProof/>
          <w:color w:val="auto"/>
        </w:rPr>
        <w:t>Research by Peter Heindl also indicates that average transaction costs are elevated for smaller installations; these are calculated as total transaction costs divided by annual emissions</w:t>
      </w:r>
      <w:r w:rsidR="00D679AB" w:rsidRPr="000653A9">
        <w:rPr>
          <w:rStyle w:val="FootnoteReference"/>
          <w:noProof/>
          <w:color w:val="auto"/>
        </w:rPr>
        <w:footnoteReference w:id="38"/>
      </w:r>
      <w:bookmarkEnd w:id="581"/>
      <w:r w:rsidR="00D679AB" w:rsidRPr="000653A9">
        <w:rPr>
          <w:noProof/>
          <w:color w:val="auto"/>
        </w:rPr>
        <w:t>. While this analysis centres on MRV costs, Heindl’s findings suggest that when further costs are included, smaller installations typically have higher transaction costs than larger installations.</w:t>
      </w:r>
      <w:r w:rsidR="00D679AB" w:rsidRPr="000653A9">
        <w:rPr>
          <w:noProof/>
          <w:color w:val="auto"/>
        </w:rPr>
        <w:fldChar w:fldCharType="begin"/>
      </w:r>
      <w:r w:rsidR="00D679AB" w:rsidRPr="000653A9">
        <w:rPr>
          <w:noProof/>
          <w:color w:val="auto"/>
        </w:rPr>
        <w:instrText xml:space="preserve"> NOTEREF _Ref206697501 \f \h </w:instrText>
      </w:r>
      <w:r w:rsidR="00BD672B" w:rsidRPr="000653A9">
        <w:rPr>
          <w:noProof/>
          <w:color w:val="auto"/>
        </w:rPr>
        <w:instrText xml:space="preserve"> \* MERGEFORMAT </w:instrText>
      </w:r>
      <w:r w:rsidR="00D679AB" w:rsidRPr="000653A9">
        <w:rPr>
          <w:noProof/>
          <w:color w:val="auto"/>
        </w:rPr>
      </w:r>
      <w:r w:rsidR="00D679AB" w:rsidRPr="000653A9">
        <w:rPr>
          <w:noProof/>
          <w:color w:val="auto"/>
        </w:rPr>
        <w:fldChar w:fldCharType="separate"/>
      </w:r>
      <w:r w:rsidR="00CC0ED0" w:rsidRPr="000653A9">
        <w:rPr>
          <w:rStyle w:val="FootnoteReference"/>
          <w:noProof/>
          <w:color w:val="auto"/>
        </w:rPr>
        <w:t>40</w:t>
      </w:r>
      <w:r w:rsidR="00D679AB" w:rsidRPr="000653A9">
        <w:rPr>
          <w:noProof/>
          <w:color w:val="auto"/>
        </w:rPr>
        <w:fldChar w:fldCharType="end"/>
      </w:r>
      <w:r w:rsidR="00D679AB" w:rsidRPr="000653A9">
        <w:rPr>
          <w:noProof/>
          <w:color w:val="auto"/>
        </w:rPr>
        <w:t xml:space="preserve"> </w:t>
      </w:r>
    </w:p>
    <w:p w14:paraId="0B1DCE39" w14:textId="025C9881" w:rsidR="00421233" w:rsidRDefault="00D679AB" w:rsidP="0097700C">
      <w:pPr>
        <w:rPr>
          <w:noProof/>
          <w:color w:val="auto"/>
        </w:rPr>
      </w:pPr>
      <w:r w:rsidRPr="000653A9">
        <w:rPr>
          <w:noProof/>
          <w:color w:val="auto"/>
        </w:rPr>
        <w:t xml:space="preserve">Lowering the 20MW threshold will also have significant financial implications on competent authorities. Like operator costs, competent authority costs will be greatest among the smaller installations (&lt;=5MW). Among public authorities in Germany, there is an awareness around transactions costs being higher for smaller emitters and efforts have been made to reduce to these costs which may in effect increase the shift </w:t>
      </w:r>
      <w:r w:rsidR="00D47022" w:rsidRPr="000653A9">
        <w:rPr>
          <w:noProof/>
          <w:color w:val="auto"/>
        </w:rPr>
        <w:t xml:space="preserve">of </w:t>
      </w:r>
      <w:r w:rsidRPr="000653A9">
        <w:rPr>
          <w:noProof/>
          <w:color w:val="auto"/>
        </w:rPr>
        <w:t>the costs from operators to authorities</w:t>
      </w:r>
      <w:r w:rsidR="00BD4FCB" w:rsidRPr="000653A9">
        <w:rPr>
          <w:rStyle w:val="FootnoteReference"/>
          <w:noProof/>
          <w:color w:val="auto"/>
        </w:rPr>
        <w:footnoteReference w:id="39"/>
      </w:r>
      <w:r w:rsidRPr="000653A9">
        <w:rPr>
          <w:noProof/>
          <w:color w:val="auto"/>
        </w:rPr>
        <w:t xml:space="preserve">. Overall, competent authorities across the EU may incur costs of around </w:t>
      </w:r>
      <w:r>
        <w:rPr>
          <w:noProof/>
          <w:color w:val="auto"/>
        </w:rPr>
        <w:t xml:space="preserve">EUR </w:t>
      </w:r>
      <w:r w:rsidRPr="000653A9">
        <w:rPr>
          <w:noProof/>
          <w:color w:val="auto"/>
        </w:rPr>
        <w:t xml:space="preserve">2.2 million if the threshold were to be lowered to 10 MW, and up to </w:t>
      </w:r>
      <w:r>
        <w:rPr>
          <w:noProof/>
          <w:color w:val="auto"/>
        </w:rPr>
        <w:t xml:space="preserve">EUR </w:t>
      </w:r>
      <w:r w:rsidRPr="000653A9">
        <w:rPr>
          <w:noProof/>
          <w:color w:val="auto"/>
        </w:rPr>
        <w:t>16.7 million if it were eliminated entirely.</w:t>
      </w:r>
    </w:p>
    <w:p w14:paraId="6BFF61F7" w14:textId="77777777" w:rsidR="00421233" w:rsidRDefault="00421233">
      <w:pPr>
        <w:spacing w:before="0" w:line="259" w:lineRule="auto"/>
        <w:rPr>
          <w:noProof/>
          <w:color w:val="auto"/>
        </w:rPr>
      </w:pPr>
      <w:r>
        <w:rPr>
          <w:noProof/>
          <w:color w:val="auto"/>
        </w:rPr>
        <w:br w:type="page"/>
      </w:r>
    </w:p>
    <w:p w14:paraId="117D062D" w14:textId="625E2C60" w:rsidR="00D679AB" w:rsidRPr="000653A9" w:rsidRDefault="00D679AB" w:rsidP="00C92FA9">
      <w:pPr>
        <w:pStyle w:val="Figuretitle"/>
        <w:rPr>
          <w:noProof/>
        </w:rPr>
      </w:pPr>
      <w:bookmarkStart w:id="582" w:name="_Toc224659150"/>
      <w:r w:rsidRPr="000653A9">
        <w:rPr>
          <w:noProof/>
        </w:rPr>
        <w:t>Administration fees for operators and competent authorities by installation capacity</w:t>
      </w:r>
      <w:bookmarkEnd w:id="582"/>
    </w:p>
    <w:p w14:paraId="35534031" w14:textId="77777777" w:rsidR="00CC4F87" w:rsidRDefault="00D679AB" w:rsidP="00875C27">
      <w:pPr>
        <w:jc w:val="center"/>
        <w:rPr>
          <w:noProof/>
          <w:color w:val="auto"/>
        </w:rPr>
      </w:pPr>
      <w:r>
        <w:rPr>
          <w:noProof/>
          <w:color w:val="auto"/>
          <w:lang w:eastAsia="en-GB"/>
        </w:rPr>
        <w:drawing>
          <wp:inline distT="0" distB="0" distL="0" distR="0" wp14:anchorId="0F0EB2DA" wp14:editId="68A930FC">
            <wp:extent cx="5518754" cy="3218507"/>
            <wp:effectExtent l="0" t="0" r="0" b="0"/>
            <wp:docPr id="2110969129" name="Chart 1">
              <a:extLst xmlns:a="http://schemas.openxmlformats.org/drawingml/2006/main">
                <a:ext uri="{FF2B5EF4-FFF2-40B4-BE49-F238E27FC236}">
                  <a16:creationId xmlns:a16="http://schemas.microsoft.com/office/drawing/2014/main" id="{F3933661-95FD-A6EC-7F35-5ED152C35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B374BD5" w14:textId="1A42079F" w:rsidR="00E72143" w:rsidRPr="000653A9" w:rsidRDefault="00E72143" w:rsidP="00E72143">
      <w:pPr>
        <w:rPr>
          <w:i/>
          <w:iCs/>
          <w:noProof/>
          <w:color w:val="auto"/>
          <w:sz w:val="20"/>
          <w:szCs w:val="20"/>
        </w:rPr>
      </w:pPr>
      <w:r w:rsidRPr="000653A9">
        <w:rPr>
          <w:i/>
          <w:iCs/>
          <w:noProof/>
          <w:color w:val="auto"/>
          <w:sz w:val="20"/>
          <w:szCs w:val="20"/>
        </w:rPr>
        <w:t xml:space="preserve">Source: </w:t>
      </w:r>
      <w:r w:rsidR="00D638E4" w:rsidRPr="000653A9">
        <w:rPr>
          <w:i/>
          <w:iCs/>
          <w:noProof/>
          <w:color w:val="auto"/>
          <w:sz w:val="20"/>
          <w:szCs w:val="20"/>
        </w:rPr>
        <w:t>Based on Heindl (2012)</w:t>
      </w:r>
    </w:p>
    <w:p w14:paraId="5591BF39" w14:textId="77777777" w:rsidR="00D679AB" w:rsidRPr="000653A9" w:rsidRDefault="00D679AB" w:rsidP="00794BC8">
      <w:pPr>
        <w:pStyle w:val="Heading3COM"/>
        <w:outlineLvl w:val="3"/>
        <w:rPr>
          <w:noProof/>
        </w:rPr>
      </w:pPr>
      <w:bookmarkStart w:id="583" w:name="_Toc204154726"/>
      <w:bookmarkStart w:id="584" w:name="_Toc211518750"/>
      <w:bookmarkStart w:id="585" w:name="_Toc212049733"/>
      <w:bookmarkStart w:id="586" w:name="_Toc230857936"/>
      <w:bookmarkStart w:id="587" w:name="_Toc232751127"/>
      <w:r w:rsidRPr="000653A9">
        <w:rPr>
          <w:noProof/>
        </w:rPr>
        <w:t>Social impacts</w:t>
      </w:r>
      <w:bookmarkEnd w:id="583"/>
      <w:bookmarkEnd w:id="584"/>
      <w:bookmarkEnd w:id="585"/>
      <w:bookmarkEnd w:id="586"/>
      <w:bookmarkEnd w:id="587"/>
    </w:p>
    <w:p w14:paraId="2212C885" w14:textId="07A6C8C5" w:rsidR="006B4F10" w:rsidRPr="000653A9" w:rsidRDefault="00FB7CFD" w:rsidP="00287EB1">
      <w:pPr>
        <w:rPr>
          <w:noProof/>
          <w:color w:val="auto"/>
        </w:rPr>
      </w:pPr>
      <w:bookmarkStart w:id="588" w:name="_Toc212049734"/>
      <w:r w:rsidRPr="000653A9">
        <w:rPr>
          <w:noProof/>
          <w:color w:val="auto"/>
        </w:rPr>
        <w:t>Maintaining the 20 MW threshold i</w:t>
      </w:r>
      <w:r w:rsidR="00906D8F" w:rsidRPr="000653A9">
        <w:rPr>
          <w:noProof/>
          <w:color w:val="auto"/>
        </w:rPr>
        <w:t>mplies zero impact on employment, income dis</w:t>
      </w:r>
      <w:r w:rsidR="00783FDA" w:rsidRPr="000653A9">
        <w:rPr>
          <w:noProof/>
          <w:color w:val="auto"/>
        </w:rPr>
        <w:t>tribution, social protection, social inclusion.</w:t>
      </w:r>
      <w:r w:rsidR="004C05F0" w:rsidRPr="000653A9">
        <w:rPr>
          <w:noProof/>
          <w:color w:val="auto"/>
        </w:rPr>
        <w:t xml:space="preserve"> </w:t>
      </w:r>
      <w:r w:rsidR="00C44557" w:rsidRPr="000653A9">
        <w:rPr>
          <w:noProof/>
          <w:color w:val="auto"/>
        </w:rPr>
        <w:t xml:space="preserve">Lowering the </w:t>
      </w:r>
      <w:r w:rsidR="004C05F0" w:rsidRPr="000653A9">
        <w:rPr>
          <w:noProof/>
          <w:color w:val="auto"/>
        </w:rPr>
        <w:t xml:space="preserve">threshold may have a small negative impact on employment since participation </w:t>
      </w:r>
      <w:r w:rsidR="00190900" w:rsidRPr="000653A9">
        <w:rPr>
          <w:noProof/>
          <w:color w:val="auto"/>
        </w:rPr>
        <w:t xml:space="preserve">in the EU ETS </w:t>
      </w:r>
      <w:r w:rsidR="004C05F0" w:rsidRPr="000653A9">
        <w:rPr>
          <w:noProof/>
          <w:color w:val="auto"/>
        </w:rPr>
        <w:t xml:space="preserve">would represent an additional cost for firms. </w:t>
      </w:r>
      <w:r w:rsidR="00B77AB4" w:rsidRPr="000653A9">
        <w:rPr>
          <w:noProof/>
          <w:color w:val="auto"/>
        </w:rPr>
        <w:t xml:space="preserve">However, the overall cost would be small given the low amount of emissions that would be covered </w:t>
      </w:r>
      <w:r w:rsidR="002E5881" w:rsidRPr="000653A9">
        <w:rPr>
          <w:noProof/>
          <w:color w:val="auto"/>
        </w:rPr>
        <w:t xml:space="preserve">at the margin (See Section 2.3.3). </w:t>
      </w:r>
    </w:p>
    <w:p w14:paraId="7A420EF6" w14:textId="5C94EB09" w:rsidR="00783FDA" w:rsidRPr="000653A9" w:rsidRDefault="00B32214" w:rsidP="00287EB1">
      <w:pPr>
        <w:rPr>
          <w:noProof/>
          <w:color w:val="auto"/>
        </w:rPr>
      </w:pPr>
      <w:r w:rsidRPr="000653A9">
        <w:rPr>
          <w:noProof/>
          <w:color w:val="auto"/>
        </w:rPr>
        <w:t xml:space="preserve">Lowering the 20 MW threshold would ensure broader participation </w:t>
      </w:r>
      <w:r w:rsidR="006B4F10" w:rsidRPr="000653A9">
        <w:rPr>
          <w:noProof/>
          <w:color w:val="auto"/>
        </w:rPr>
        <w:t>in environmental protection and therefore contribute positively</w:t>
      </w:r>
      <w:r w:rsidR="00FC515D" w:rsidRPr="000653A9">
        <w:rPr>
          <w:noProof/>
          <w:color w:val="auto"/>
        </w:rPr>
        <w:t xml:space="preserve"> </w:t>
      </w:r>
      <w:r w:rsidR="005038D7" w:rsidRPr="000653A9">
        <w:rPr>
          <w:noProof/>
          <w:color w:val="auto"/>
        </w:rPr>
        <w:t>to Article 37 of the Charter on Fundamental Rights</w:t>
      </w:r>
      <w:r w:rsidR="009F1235" w:rsidRPr="000653A9">
        <w:rPr>
          <w:noProof/>
          <w:color w:val="auto"/>
        </w:rPr>
        <w:t xml:space="preserve"> of the European Union</w:t>
      </w:r>
      <w:r w:rsidR="009F1235" w:rsidRPr="000653A9">
        <w:rPr>
          <w:rStyle w:val="FootnoteReference"/>
          <w:noProof/>
          <w:color w:val="auto"/>
        </w:rPr>
        <w:footnoteReference w:id="40"/>
      </w:r>
      <w:r w:rsidR="005038D7" w:rsidRPr="000653A9">
        <w:rPr>
          <w:noProof/>
          <w:color w:val="auto"/>
        </w:rPr>
        <w:t>.</w:t>
      </w:r>
      <w:r w:rsidR="00287EB1" w:rsidRPr="000653A9">
        <w:rPr>
          <w:noProof/>
          <w:color w:val="auto"/>
        </w:rPr>
        <w:t xml:space="preserve"> Apart from this,</w:t>
      </w:r>
      <w:r w:rsidR="006B4F10" w:rsidRPr="000653A9">
        <w:rPr>
          <w:noProof/>
          <w:color w:val="auto"/>
        </w:rPr>
        <w:t xml:space="preserve"> </w:t>
      </w:r>
      <w:r w:rsidR="00287EB1" w:rsidRPr="000653A9">
        <w:rPr>
          <w:noProof/>
          <w:color w:val="auto"/>
        </w:rPr>
        <w:t>n</w:t>
      </w:r>
      <w:r w:rsidR="007D012C" w:rsidRPr="000653A9">
        <w:rPr>
          <w:noProof/>
          <w:color w:val="auto"/>
        </w:rPr>
        <w:t>one of the options are expected to have an impact on fundamental rights.</w:t>
      </w:r>
      <w:r w:rsidR="002E5881" w:rsidRPr="000653A9">
        <w:rPr>
          <w:noProof/>
          <w:color w:val="auto"/>
        </w:rPr>
        <w:t xml:space="preserve"> </w:t>
      </w:r>
    </w:p>
    <w:p w14:paraId="1CB12CA9" w14:textId="77777777" w:rsidR="00D679AB" w:rsidRPr="000653A9" w:rsidRDefault="00D679AB" w:rsidP="00794BC8">
      <w:pPr>
        <w:pStyle w:val="Heading3COM"/>
        <w:outlineLvl w:val="3"/>
        <w:rPr>
          <w:noProof/>
        </w:rPr>
      </w:pPr>
      <w:bookmarkStart w:id="589" w:name="_Toc204154727"/>
      <w:bookmarkStart w:id="590" w:name="_Toc211518751"/>
      <w:bookmarkStart w:id="591" w:name="_Toc212049737"/>
      <w:bookmarkStart w:id="592" w:name="_Toc230857937"/>
      <w:bookmarkStart w:id="593" w:name="_Toc232751128"/>
      <w:bookmarkEnd w:id="588"/>
      <w:r w:rsidRPr="000653A9">
        <w:rPr>
          <w:noProof/>
        </w:rPr>
        <w:t>Environmental impacts</w:t>
      </w:r>
      <w:bookmarkEnd w:id="589"/>
      <w:bookmarkEnd w:id="590"/>
      <w:bookmarkEnd w:id="591"/>
      <w:bookmarkEnd w:id="592"/>
      <w:bookmarkEnd w:id="593"/>
    </w:p>
    <w:p w14:paraId="540B14DA" w14:textId="77777777" w:rsidR="00D679AB" w:rsidRPr="000653A9" w:rsidRDefault="00D679AB" w:rsidP="00794BC8">
      <w:pPr>
        <w:pStyle w:val="Heading4COM"/>
        <w:outlineLvl w:val="4"/>
        <w:rPr>
          <w:noProof/>
        </w:rPr>
      </w:pPr>
      <w:bookmarkStart w:id="594" w:name="_Toc212049738"/>
      <w:bookmarkStart w:id="595" w:name="_Toc230857938"/>
      <w:bookmarkStart w:id="596" w:name="_Toc232751129"/>
      <w:r w:rsidRPr="000653A9">
        <w:rPr>
          <w:noProof/>
        </w:rPr>
        <w:t>Estimating emissions that could be affected by lowering the 20 MW threshold</w:t>
      </w:r>
      <w:bookmarkEnd w:id="594"/>
      <w:bookmarkEnd w:id="595"/>
      <w:bookmarkEnd w:id="596"/>
    </w:p>
    <w:p w14:paraId="64D05AF2" w14:textId="7B54A35C" w:rsidR="0072784D" w:rsidRPr="000653A9" w:rsidRDefault="00541BDB" w:rsidP="00F73B5B">
      <w:pPr>
        <w:rPr>
          <w:noProof/>
          <w:color w:val="auto"/>
        </w:rPr>
      </w:pPr>
      <w:r w:rsidRPr="000653A9">
        <w:rPr>
          <w:noProof/>
          <w:color w:val="auto"/>
        </w:rPr>
        <w:t>Using the average of data from the period 2021-2023, t</w:t>
      </w:r>
      <w:r w:rsidR="00C57146" w:rsidRPr="000653A9">
        <w:rPr>
          <w:noProof/>
          <w:color w:val="auto"/>
        </w:rPr>
        <w:t>he scoping exercise</w:t>
      </w:r>
      <w:r w:rsidR="00D679AB" w:rsidRPr="000653A9">
        <w:rPr>
          <w:noProof/>
          <w:color w:val="auto"/>
        </w:rPr>
        <w:t xml:space="preserve"> </w:t>
      </w:r>
      <w:r w:rsidR="00C57146" w:rsidRPr="000653A9">
        <w:rPr>
          <w:noProof/>
          <w:color w:val="auto"/>
        </w:rPr>
        <w:t>i</w:t>
      </w:r>
      <w:r w:rsidR="00DD4391" w:rsidRPr="000653A9">
        <w:rPr>
          <w:noProof/>
          <w:color w:val="auto"/>
        </w:rPr>
        <w:t>dentified</w:t>
      </w:r>
      <w:r w:rsidR="00C57146" w:rsidRPr="000653A9">
        <w:rPr>
          <w:noProof/>
          <w:color w:val="auto"/>
        </w:rPr>
        <w:t xml:space="preserve"> that </w:t>
      </w:r>
      <w:r w:rsidR="00D679AB" w:rsidRPr="000653A9">
        <w:rPr>
          <w:noProof/>
          <w:color w:val="auto"/>
        </w:rPr>
        <w:t>226.5 Mt CO</w:t>
      </w:r>
      <w:r w:rsidR="00D679AB" w:rsidRPr="000653A9">
        <w:rPr>
          <w:noProof/>
          <w:color w:val="auto"/>
          <w:vertAlign w:val="subscript"/>
        </w:rPr>
        <w:t>2</w:t>
      </w:r>
      <w:r w:rsidR="00D679AB" w:rsidRPr="000653A9">
        <w:rPr>
          <w:noProof/>
          <w:color w:val="auto"/>
        </w:rPr>
        <w:t xml:space="preserve">e </w:t>
      </w:r>
      <w:r w:rsidR="008F1F78" w:rsidRPr="000653A9">
        <w:rPr>
          <w:noProof/>
          <w:color w:val="auto"/>
        </w:rPr>
        <w:t xml:space="preserve">of emissions from activities and gases that </w:t>
      </w:r>
      <w:r w:rsidR="00D679AB" w:rsidRPr="000653A9">
        <w:rPr>
          <w:noProof/>
          <w:color w:val="auto"/>
        </w:rPr>
        <w:t xml:space="preserve">are </w:t>
      </w:r>
      <w:r w:rsidR="008F1F78" w:rsidRPr="000653A9">
        <w:rPr>
          <w:noProof/>
          <w:color w:val="auto"/>
        </w:rPr>
        <w:t xml:space="preserve">not currently </w:t>
      </w:r>
      <w:r w:rsidR="00D531AE" w:rsidRPr="000653A9">
        <w:rPr>
          <w:noProof/>
          <w:color w:val="auto"/>
        </w:rPr>
        <w:t xml:space="preserve">covered by </w:t>
      </w:r>
      <w:r w:rsidR="00190900" w:rsidRPr="000653A9">
        <w:rPr>
          <w:noProof/>
          <w:color w:val="auto"/>
        </w:rPr>
        <w:t>the EU ETS</w:t>
      </w:r>
      <w:r w:rsidR="00D531AE" w:rsidRPr="000653A9">
        <w:rPr>
          <w:noProof/>
          <w:color w:val="auto"/>
        </w:rPr>
        <w:t xml:space="preserve"> but would fall within its scope if the threshold were set to zero</w:t>
      </w:r>
      <w:r w:rsidR="00D679AB" w:rsidRPr="000653A9">
        <w:rPr>
          <w:noProof/>
          <w:color w:val="auto"/>
        </w:rPr>
        <w:t xml:space="preserve">. </w:t>
      </w:r>
    </w:p>
    <w:p w14:paraId="6E4E7A59" w14:textId="0F3CB774" w:rsidR="00D679AB" w:rsidRPr="000653A9" w:rsidRDefault="0072784D" w:rsidP="00F73B5B">
      <w:pPr>
        <w:rPr>
          <w:noProof/>
          <w:color w:val="auto"/>
        </w:rPr>
      </w:pPr>
      <w:r w:rsidRPr="000653A9">
        <w:rPr>
          <w:noProof/>
          <w:color w:val="auto"/>
        </w:rPr>
        <w:t>However, o</w:t>
      </w:r>
      <w:r w:rsidR="00553BEC" w:rsidRPr="000653A9">
        <w:rPr>
          <w:noProof/>
          <w:color w:val="auto"/>
        </w:rPr>
        <w:t>nce potential ETS2 emissions are removed, t</w:t>
      </w:r>
      <w:r w:rsidR="00D679AB" w:rsidRPr="000653A9">
        <w:rPr>
          <w:noProof/>
          <w:color w:val="auto"/>
        </w:rPr>
        <w:t xml:space="preserve">he </w:t>
      </w:r>
      <w:r w:rsidR="00553BEC" w:rsidRPr="000653A9">
        <w:rPr>
          <w:noProof/>
          <w:color w:val="auto"/>
        </w:rPr>
        <w:t xml:space="preserve">remaining </w:t>
      </w:r>
      <w:r w:rsidR="00D679AB" w:rsidRPr="000653A9">
        <w:rPr>
          <w:noProof/>
          <w:color w:val="auto"/>
        </w:rPr>
        <w:t xml:space="preserve">emissions that could be covered by lowering the 20 MW threshold amount to 33 MtCO2e. </w:t>
      </w:r>
      <w:r w:rsidRPr="000653A9">
        <w:rPr>
          <w:noProof/>
          <w:color w:val="auto"/>
        </w:rPr>
        <w:t>Furthermore,</w:t>
      </w:r>
      <w:r w:rsidR="00D679AB" w:rsidRPr="000653A9">
        <w:rPr>
          <w:noProof/>
          <w:color w:val="auto"/>
        </w:rPr>
        <w:t xml:space="preserve"> 4.6 MtCO2e is subtracted to account for emissions excluded from </w:t>
      </w:r>
      <w:r w:rsidRPr="000653A9">
        <w:rPr>
          <w:noProof/>
          <w:color w:val="auto"/>
        </w:rPr>
        <w:t xml:space="preserve">EU </w:t>
      </w:r>
      <w:r w:rsidR="00D679AB" w:rsidRPr="000653A9">
        <w:rPr>
          <w:noProof/>
          <w:color w:val="auto"/>
        </w:rPr>
        <w:t>ETS under Article 27, since these emissions would not be impacted by lowering the 20 MW threshold.</w:t>
      </w:r>
      <w:r w:rsidR="00D679AB" w:rsidRPr="000653A9">
        <w:rPr>
          <w:rStyle w:val="FootnoteReference"/>
          <w:noProof/>
          <w:color w:val="auto"/>
        </w:rPr>
        <w:footnoteReference w:id="41"/>
      </w:r>
      <w:r w:rsidR="00D679AB" w:rsidRPr="000653A9">
        <w:rPr>
          <w:noProof/>
          <w:color w:val="auto"/>
        </w:rPr>
        <w:t xml:space="preserve"> As a result, we can estimate that relevant emissions from &lt;20MW installations are approximately 28 MtCO</w:t>
      </w:r>
      <w:r w:rsidR="00D679AB" w:rsidRPr="000653A9">
        <w:rPr>
          <w:noProof/>
          <w:color w:val="auto"/>
          <w:vertAlign w:val="subscript"/>
        </w:rPr>
        <w:t>2</w:t>
      </w:r>
      <w:r w:rsidR="00D679AB" w:rsidRPr="000653A9">
        <w:rPr>
          <w:noProof/>
          <w:color w:val="auto"/>
        </w:rPr>
        <w:t>e, consisting mostly of process emissions.</w:t>
      </w:r>
    </w:p>
    <w:p w14:paraId="53B8AD07" w14:textId="012330CE" w:rsidR="00D679AB" w:rsidRPr="000653A9" w:rsidRDefault="00D679AB" w:rsidP="00C92FA9">
      <w:pPr>
        <w:pStyle w:val="Figuretitle"/>
        <w:rPr>
          <w:noProof/>
        </w:rPr>
      </w:pPr>
      <w:bookmarkStart w:id="597" w:name="_Toc224659151"/>
      <w:r w:rsidRPr="000653A9">
        <w:rPr>
          <w:noProof/>
        </w:rPr>
        <w:t>Overview sector activities that make up the EU ETS baseline</w:t>
      </w:r>
      <w:bookmarkEnd w:id="597"/>
    </w:p>
    <w:p w14:paraId="6ED2D9C1" w14:textId="77777777" w:rsidR="00D679AB" w:rsidRPr="000653A9" w:rsidRDefault="00D679AB" w:rsidP="0072490E">
      <w:pPr>
        <w:jc w:val="center"/>
        <w:rPr>
          <w:noProof/>
          <w:color w:val="auto"/>
        </w:rPr>
      </w:pPr>
      <w:r w:rsidRPr="000653A9">
        <w:rPr>
          <w:noProof/>
          <w:color w:val="auto"/>
          <w:lang w:eastAsia="en-GB"/>
        </w:rPr>
        <w:drawing>
          <wp:inline distT="0" distB="0" distL="0" distR="0" wp14:anchorId="3083C06B" wp14:editId="2103B024">
            <wp:extent cx="4710897" cy="3319623"/>
            <wp:effectExtent l="0" t="0" r="0" b="0"/>
            <wp:docPr id="1132352552" name="Picture 4" descr="A graph of numbers and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352552" name="Picture 4" descr="A graph of numbers and percentages&#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41355" cy="3341086"/>
                    </a:xfrm>
                    <a:prstGeom prst="rect">
                      <a:avLst/>
                    </a:prstGeom>
                    <a:noFill/>
                  </pic:spPr>
                </pic:pic>
              </a:graphicData>
            </a:graphic>
          </wp:inline>
        </w:drawing>
      </w:r>
    </w:p>
    <w:p w14:paraId="44CD1B1F" w14:textId="244B4D6D" w:rsidR="004A3C61" w:rsidRPr="000653A9" w:rsidRDefault="004A3C61" w:rsidP="004A3C61">
      <w:pPr>
        <w:rPr>
          <w:i/>
          <w:noProof/>
          <w:color w:val="auto"/>
          <w:sz w:val="20"/>
          <w:szCs w:val="20"/>
        </w:rPr>
      </w:pPr>
      <w:r w:rsidRPr="000653A9">
        <w:rPr>
          <w:i/>
          <w:iCs/>
          <w:noProof/>
          <w:color w:val="auto"/>
          <w:sz w:val="20"/>
          <w:szCs w:val="20"/>
        </w:rPr>
        <w:t xml:space="preserve">Source: </w:t>
      </w:r>
      <w:r w:rsidR="00A23B4B" w:rsidRPr="000653A9">
        <w:rPr>
          <w:i/>
          <w:iCs/>
          <w:noProof/>
          <w:color w:val="auto"/>
          <w:sz w:val="20"/>
          <w:szCs w:val="20"/>
        </w:rPr>
        <w:t xml:space="preserve">Own calculation based on </w:t>
      </w:r>
      <w:r w:rsidR="00C16B48" w:rsidRPr="000653A9">
        <w:rPr>
          <w:i/>
          <w:iCs/>
          <w:noProof/>
          <w:color w:val="auto"/>
          <w:sz w:val="20"/>
          <w:szCs w:val="20"/>
        </w:rPr>
        <w:t>data sources described in this chapter</w:t>
      </w:r>
    </w:p>
    <w:p w14:paraId="4587C47B" w14:textId="77777777" w:rsidR="00D679AB" w:rsidRPr="000653A9" w:rsidRDefault="00D679AB" w:rsidP="00794BC8">
      <w:pPr>
        <w:pStyle w:val="Heading4COM"/>
        <w:outlineLvl w:val="4"/>
        <w:rPr>
          <w:noProof/>
        </w:rPr>
      </w:pPr>
      <w:bookmarkStart w:id="598" w:name="_Toc212049739"/>
      <w:bookmarkStart w:id="599" w:name="_Toc230857939"/>
      <w:bookmarkStart w:id="600" w:name="_Toc232751130"/>
      <w:r w:rsidRPr="000653A9">
        <w:rPr>
          <w:rStyle w:val="Heading5Char"/>
          <w:rFonts w:ascii="Times New Roman" w:hAnsi="Times New Roman" w:cs="Times New Roman"/>
          <w:noProof/>
        </w:rPr>
        <w:t>Estimating the distribution of emissions and installation capacities below 20 MW</w:t>
      </w:r>
      <w:bookmarkEnd w:id="598"/>
      <w:bookmarkEnd w:id="599"/>
      <w:bookmarkEnd w:id="600"/>
    </w:p>
    <w:p w14:paraId="44D3BA34" w14:textId="56C4E293" w:rsidR="00D679AB" w:rsidRPr="000653A9" w:rsidRDefault="009F621E" w:rsidP="00F73B5B">
      <w:pPr>
        <w:rPr>
          <w:noProof/>
          <w:color w:val="auto"/>
        </w:rPr>
      </w:pPr>
      <w:r w:rsidRPr="000653A9">
        <w:rPr>
          <w:noProof/>
          <w:color w:val="auto"/>
        </w:rPr>
        <w:t>Reg</w:t>
      </w:r>
      <w:r w:rsidR="00944574" w:rsidRPr="000653A9">
        <w:rPr>
          <w:noProof/>
          <w:color w:val="auto"/>
        </w:rPr>
        <w:t>arding the distribution of emissions, t</w:t>
      </w:r>
      <w:r w:rsidR="00D679AB" w:rsidRPr="000653A9">
        <w:rPr>
          <w:noProof/>
          <w:color w:val="auto"/>
        </w:rPr>
        <w:t>he proxy curve</w:t>
      </w:r>
      <w:r w:rsidR="00365810" w:rsidRPr="000653A9">
        <w:rPr>
          <w:noProof/>
          <w:color w:val="auto"/>
        </w:rPr>
        <w:t xml:space="preserve"> derived from data on Medium Combustion Plants (MCPs)</w:t>
      </w:r>
      <w:r w:rsidR="00D679AB" w:rsidRPr="000653A9">
        <w:rPr>
          <w:noProof/>
          <w:color w:val="auto"/>
        </w:rPr>
        <w:t xml:space="preserve"> demonstrates that</w:t>
      </w:r>
      <w:r w:rsidR="000B00B4" w:rsidRPr="000653A9">
        <w:rPr>
          <w:noProof/>
          <w:color w:val="auto"/>
        </w:rPr>
        <w:t xml:space="preserve"> across the two countries from which the curve is derived,</w:t>
      </w:r>
      <w:r w:rsidR="00D679AB" w:rsidRPr="000653A9">
        <w:rPr>
          <w:noProof/>
          <w:color w:val="auto"/>
        </w:rPr>
        <w:t xml:space="preserve"> the majority of emissions stem from installations that are less than 10</w:t>
      </w:r>
      <w:r w:rsidR="006202EC" w:rsidRPr="000653A9">
        <w:rPr>
          <w:noProof/>
          <w:color w:val="auto"/>
        </w:rPr>
        <w:t xml:space="preserve"> </w:t>
      </w:r>
      <w:r w:rsidR="00D679AB" w:rsidRPr="000653A9">
        <w:rPr>
          <w:noProof/>
          <w:color w:val="auto"/>
        </w:rPr>
        <w:t xml:space="preserve">MW in capacity. </w:t>
      </w:r>
      <w:r w:rsidR="00A51C97" w:rsidRPr="000653A9">
        <w:rPr>
          <w:noProof/>
          <w:color w:val="auto"/>
        </w:rPr>
        <w:t>However, this trend is drive primarily</w:t>
      </w:r>
      <w:r w:rsidR="00D679AB" w:rsidRPr="000653A9">
        <w:rPr>
          <w:noProof/>
          <w:color w:val="auto"/>
        </w:rPr>
        <w:t xml:space="preserve"> by the Polish dataset</w:t>
      </w:r>
      <w:r w:rsidR="003445BF" w:rsidRPr="000653A9">
        <w:rPr>
          <w:noProof/>
          <w:color w:val="auto"/>
        </w:rPr>
        <w:t>. While both countries have more installations at the lowest capacity levels,</w:t>
      </w:r>
      <w:r w:rsidR="00E260D2" w:rsidRPr="000653A9">
        <w:rPr>
          <w:noProof/>
          <w:color w:val="auto"/>
        </w:rPr>
        <w:t xml:space="preserve"> France has more emissions in the 15-20 MW bracket</w:t>
      </w:r>
      <w:r w:rsidR="00D433AC" w:rsidRPr="000653A9">
        <w:rPr>
          <w:noProof/>
          <w:color w:val="auto"/>
        </w:rPr>
        <w:t xml:space="preserve">, indicating </w:t>
      </w:r>
      <w:r w:rsidR="00246849" w:rsidRPr="000653A9">
        <w:rPr>
          <w:noProof/>
          <w:color w:val="auto"/>
        </w:rPr>
        <w:t xml:space="preserve">that installations </w:t>
      </w:r>
      <w:r w:rsidR="0097720B" w:rsidRPr="000653A9">
        <w:rPr>
          <w:noProof/>
          <w:color w:val="auto"/>
        </w:rPr>
        <w:t>in this capacity bracket</w:t>
      </w:r>
      <w:r w:rsidR="00EA633F" w:rsidRPr="000653A9">
        <w:rPr>
          <w:noProof/>
          <w:color w:val="auto"/>
        </w:rPr>
        <w:t>.</w:t>
      </w:r>
    </w:p>
    <w:p w14:paraId="1B785ED2" w14:textId="03A04D32" w:rsidR="00421233" w:rsidRDefault="00944574" w:rsidP="00F73B5B">
      <w:pPr>
        <w:pStyle w:val="BodyText"/>
        <w:rPr>
          <w:noProof/>
          <w:color w:val="auto"/>
          <w:lang w:eastAsia="en-GB"/>
        </w:rPr>
      </w:pPr>
      <w:r w:rsidRPr="000653A9">
        <w:rPr>
          <w:noProof/>
          <w:color w:val="auto"/>
          <w:lang w:eastAsia="en-GB"/>
        </w:rPr>
        <w:t xml:space="preserve">Regarding the distribution of </w:t>
      </w:r>
      <w:r w:rsidR="00711D79" w:rsidRPr="000653A9">
        <w:rPr>
          <w:noProof/>
          <w:color w:val="auto"/>
          <w:lang w:eastAsia="en-GB"/>
        </w:rPr>
        <w:t xml:space="preserve">installations, </w:t>
      </w:r>
      <w:r w:rsidR="00711D79" w:rsidRPr="000653A9">
        <w:rPr>
          <w:noProof/>
        </w:rPr>
        <w:t>Figure</w:t>
      </w:r>
      <w:r w:rsidR="00BC36A9" w:rsidRPr="000653A9">
        <w:rPr>
          <w:noProof/>
        </w:rPr>
        <w:t xml:space="preserve"> </w:t>
      </w:r>
      <w:r w:rsidR="00711D79" w:rsidRPr="000653A9">
        <w:rPr>
          <w:noProof/>
        </w:rPr>
        <w:t>19</w:t>
      </w:r>
      <w:r w:rsidR="00CB3AB8" w:rsidRPr="000653A9">
        <w:rPr>
          <w:noProof/>
        </w:rPr>
        <w:t xml:space="preserve"> </w:t>
      </w:r>
      <w:r w:rsidR="00D679AB" w:rsidRPr="000653A9">
        <w:rPr>
          <w:noProof/>
          <w:color w:val="auto"/>
          <w:lang w:eastAsia="en-GB"/>
        </w:rPr>
        <w:t>demonstrates the number of installations below and above the 20MW threshold for each Member State</w:t>
      </w:r>
      <w:r w:rsidRPr="000653A9">
        <w:rPr>
          <w:rStyle w:val="FootnoteReference"/>
          <w:rFonts w:cs="Times New Roman"/>
          <w:noProof/>
          <w:color w:val="auto"/>
          <w:lang w:eastAsia="en-GB"/>
        </w:rPr>
        <w:footnoteReference w:id="42"/>
      </w:r>
      <w:r w:rsidR="00D679AB" w:rsidRPr="000653A9">
        <w:rPr>
          <w:noProof/>
          <w:color w:val="auto"/>
          <w:lang w:eastAsia="en-GB"/>
        </w:rPr>
        <w:t>.</w:t>
      </w:r>
    </w:p>
    <w:p w14:paraId="1C739BDD" w14:textId="77777777" w:rsidR="00421233" w:rsidRDefault="00421233">
      <w:pPr>
        <w:spacing w:before="0" w:line="259" w:lineRule="auto"/>
        <w:rPr>
          <w:rFonts w:cs="Arial"/>
          <w:noProof/>
          <w:color w:val="auto"/>
          <w:lang w:eastAsia="en-GB"/>
        </w:rPr>
      </w:pPr>
      <w:r>
        <w:rPr>
          <w:noProof/>
          <w:color w:val="auto"/>
          <w:lang w:eastAsia="en-GB"/>
        </w:rPr>
        <w:br w:type="page"/>
      </w:r>
    </w:p>
    <w:p w14:paraId="2441FDCB" w14:textId="59F64601" w:rsidR="00D679AB" w:rsidRPr="000653A9" w:rsidRDefault="00D679AB" w:rsidP="00C92FA9">
      <w:pPr>
        <w:pStyle w:val="Figuretitle"/>
        <w:rPr>
          <w:noProof/>
        </w:rPr>
      </w:pPr>
      <w:bookmarkStart w:id="601" w:name="_Toc224659152"/>
      <w:r w:rsidRPr="000653A9">
        <w:rPr>
          <w:noProof/>
        </w:rPr>
        <w:t>Number of installations by capacity (2019)</w:t>
      </w:r>
      <w:bookmarkEnd w:id="601"/>
    </w:p>
    <w:p w14:paraId="12B20B26" w14:textId="77777777" w:rsidR="00D679AB" w:rsidRPr="000653A9" w:rsidRDefault="00D679AB" w:rsidP="0072490E">
      <w:pPr>
        <w:jc w:val="center"/>
        <w:rPr>
          <w:noProof/>
          <w:color w:val="auto"/>
        </w:rPr>
      </w:pPr>
      <w:r w:rsidRPr="000653A9">
        <w:rPr>
          <w:noProof/>
          <w:color w:val="auto"/>
          <w:lang w:eastAsia="en-GB"/>
        </w:rPr>
        <w:drawing>
          <wp:inline distT="0" distB="0" distL="0" distR="0" wp14:anchorId="2F0DC66D" wp14:editId="5B6BDDFF">
            <wp:extent cx="5113325" cy="2955605"/>
            <wp:effectExtent l="0" t="0" r="0" b="0"/>
            <wp:docPr id="870227787" name="Picture 6" descr="A graph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227787" name="Picture 6" descr="A graph of a person&#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59991" cy="2982579"/>
                    </a:xfrm>
                    <a:prstGeom prst="rect">
                      <a:avLst/>
                    </a:prstGeom>
                    <a:noFill/>
                  </pic:spPr>
                </pic:pic>
              </a:graphicData>
            </a:graphic>
          </wp:inline>
        </w:drawing>
      </w:r>
    </w:p>
    <w:p w14:paraId="7D4C4DA2" w14:textId="6E241ACE" w:rsidR="00881CB8" w:rsidRPr="000653A9" w:rsidRDefault="00881CB8" w:rsidP="00881CB8">
      <w:pPr>
        <w:rPr>
          <w:i/>
          <w:iCs/>
          <w:noProof/>
          <w:color w:val="auto"/>
          <w:sz w:val="20"/>
          <w:szCs w:val="20"/>
        </w:rPr>
      </w:pPr>
      <w:r w:rsidRPr="000653A9">
        <w:rPr>
          <w:i/>
          <w:iCs/>
          <w:noProof/>
          <w:color w:val="auto"/>
          <w:sz w:val="20"/>
          <w:szCs w:val="20"/>
        </w:rPr>
        <w:t xml:space="preserve">Source: </w:t>
      </w:r>
      <w:r w:rsidR="00711D79" w:rsidRPr="000653A9">
        <w:rPr>
          <w:i/>
          <w:iCs/>
          <w:noProof/>
          <w:color w:val="auto"/>
          <w:sz w:val="20"/>
          <w:szCs w:val="20"/>
        </w:rPr>
        <w:t>European Environment Agency</w:t>
      </w:r>
    </w:p>
    <w:p w14:paraId="031CC3B4" w14:textId="77777777" w:rsidR="00D679AB" w:rsidRPr="000653A9" w:rsidRDefault="00D679AB" w:rsidP="00794BC8">
      <w:pPr>
        <w:pStyle w:val="Heading4COM"/>
        <w:outlineLvl w:val="4"/>
        <w:rPr>
          <w:noProof/>
        </w:rPr>
      </w:pPr>
      <w:bookmarkStart w:id="602" w:name="_Toc212049740"/>
      <w:bookmarkStart w:id="603" w:name="_Toc230857940"/>
      <w:bookmarkStart w:id="604" w:name="_Toc232751131"/>
      <w:r w:rsidRPr="000653A9">
        <w:rPr>
          <w:noProof/>
        </w:rPr>
        <w:t>Comparing policy options</w:t>
      </w:r>
      <w:bookmarkEnd w:id="602"/>
      <w:bookmarkEnd w:id="603"/>
      <w:bookmarkEnd w:id="604"/>
    </w:p>
    <w:p w14:paraId="05F0D5BC" w14:textId="6A62A7C8" w:rsidR="00D679AB" w:rsidRPr="000653A9" w:rsidRDefault="00D34D19" w:rsidP="00F73B5B">
      <w:pPr>
        <w:rPr>
          <w:i/>
          <w:iCs/>
          <w:noProof/>
          <w:color w:val="auto"/>
        </w:rPr>
      </w:pPr>
      <w:r w:rsidRPr="000653A9">
        <w:rPr>
          <w:i/>
          <w:iCs/>
          <w:noProof/>
          <w:color w:val="auto"/>
        </w:rPr>
        <w:t xml:space="preserve">T1: </w:t>
      </w:r>
      <w:r w:rsidR="00D679AB" w:rsidRPr="000653A9">
        <w:rPr>
          <w:i/>
          <w:iCs/>
          <w:noProof/>
          <w:color w:val="auto"/>
        </w:rPr>
        <w:t xml:space="preserve">Maintain current 20 MW threshold </w:t>
      </w:r>
    </w:p>
    <w:p w14:paraId="03443049" w14:textId="41DF81E1" w:rsidR="00D679AB" w:rsidRPr="000653A9" w:rsidRDefault="00D679AB" w:rsidP="00F73B5B">
      <w:pPr>
        <w:rPr>
          <w:noProof/>
          <w:color w:val="auto"/>
        </w:rPr>
      </w:pPr>
      <w:r w:rsidRPr="000653A9">
        <w:rPr>
          <w:noProof/>
          <w:color w:val="auto"/>
        </w:rPr>
        <w:t xml:space="preserve">If the 20 MW threshold is left unchanged, the relevant emissions that are outside the scope of </w:t>
      </w:r>
      <w:r w:rsidR="00B92AB6" w:rsidRPr="000653A9">
        <w:rPr>
          <w:noProof/>
          <w:color w:val="auto"/>
        </w:rPr>
        <w:t xml:space="preserve">the EU ETS </w:t>
      </w:r>
      <w:r w:rsidRPr="000653A9">
        <w:rPr>
          <w:noProof/>
          <w:color w:val="auto"/>
        </w:rPr>
        <w:t>&amp; ETS2 (which are predominantly process emissions) will need to be reduced or offset by other means.</w:t>
      </w:r>
    </w:p>
    <w:p w14:paraId="2ED7219E" w14:textId="72F66EAA" w:rsidR="00D679AB" w:rsidRPr="000653A9" w:rsidRDefault="00D679AB" w:rsidP="00F73B5B">
      <w:pPr>
        <w:rPr>
          <w:noProof/>
          <w:color w:val="auto"/>
        </w:rPr>
      </w:pPr>
      <w:r w:rsidRPr="000653A9">
        <w:rPr>
          <w:noProof/>
          <w:color w:val="auto"/>
        </w:rPr>
        <w:t xml:space="preserve">Despite not being included in the EU ETS, emissions from &lt;20 MW installations have been decreasing year over year as observed in </w:t>
      </w:r>
      <w:r w:rsidR="00BC36A9" w:rsidRPr="000653A9">
        <w:rPr>
          <w:noProof/>
          <w:color w:val="auto"/>
        </w:rPr>
        <w:t xml:space="preserve">Figure </w:t>
      </w:r>
      <w:r w:rsidR="006202EC" w:rsidRPr="000653A9">
        <w:rPr>
          <w:noProof/>
          <w:color w:val="auto"/>
        </w:rPr>
        <w:t>19</w:t>
      </w:r>
      <w:r w:rsidR="00E42822" w:rsidRPr="000653A9">
        <w:rPr>
          <w:noProof/>
          <w:color w:val="auto"/>
        </w:rPr>
        <w:t>, indicating that</w:t>
      </w:r>
      <w:r w:rsidRPr="000653A9">
        <w:rPr>
          <w:noProof/>
          <w:color w:val="auto"/>
        </w:rPr>
        <w:t xml:space="preserve"> </w:t>
      </w:r>
      <w:r w:rsidR="00E42822" w:rsidRPr="000653A9">
        <w:rPr>
          <w:noProof/>
          <w:color w:val="auto"/>
        </w:rPr>
        <w:t>o</w:t>
      </w:r>
      <w:r w:rsidRPr="000653A9">
        <w:rPr>
          <w:noProof/>
          <w:color w:val="auto"/>
        </w:rPr>
        <w:t>ther energy and climate policies at EU-level and in Member States may have influenced industries and businesses to reduce emissions.</w:t>
      </w:r>
    </w:p>
    <w:p w14:paraId="1B9F95DD" w14:textId="68F4822D" w:rsidR="00D679AB" w:rsidRPr="000653A9" w:rsidRDefault="00D679AB" w:rsidP="00C92FA9">
      <w:pPr>
        <w:pStyle w:val="Figuretitle"/>
        <w:rPr>
          <w:noProof/>
        </w:rPr>
      </w:pPr>
      <w:bookmarkStart w:id="605" w:name="_Ref206713397"/>
      <w:bookmarkStart w:id="606" w:name="_Toc224659153"/>
      <w:r w:rsidRPr="000653A9">
        <w:rPr>
          <w:noProof/>
        </w:rPr>
        <w:t>Annual emissions from &lt;20 MW installations</w:t>
      </w:r>
      <w:bookmarkEnd w:id="605"/>
      <w:bookmarkEnd w:id="606"/>
    </w:p>
    <w:p w14:paraId="5444F1F0" w14:textId="77777777" w:rsidR="00D679AB" w:rsidRPr="000653A9" w:rsidRDefault="00D679AB" w:rsidP="00C6301C">
      <w:pPr>
        <w:keepNext/>
        <w:jc w:val="center"/>
        <w:rPr>
          <w:noProof/>
          <w:color w:val="auto"/>
        </w:rPr>
      </w:pPr>
      <w:r w:rsidRPr="000653A9">
        <w:rPr>
          <w:noProof/>
          <w:color w:val="auto"/>
          <w:lang w:eastAsia="en-GB"/>
        </w:rPr>
        <w:drawing>
          <wp:inline distT="0" distB="0" distL="0" distR="0" wp14:anchorId="212E9DAC" wp14:editId="6FF37F8B">
            <wp:extent cx="4901184" cy="2135214"/>
            <wp:effectExtent l="0" t="0" r="0" b="0"/>
            <wp:docPr id="2030060950" name="Picture 5" descr="A blue rectangle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60950" name="Picture 5" descr="A blue rectangles on a black background&#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983038" cy="2170874"/>
                    </a:xfrm>
                    <a:prstGeom prst="rect">
                      <a:avLst/>
                    </a:prstGeom>
                    <a:noFill/>
                  </pic:spPr>
                </pic:pic>
              </a:graphicData>
            </a:graphic>
          </wp:inline>
        </w:drawing>
      </w:r>
    </w:p>
    <w:p w14:paraId="3FDFAB63" w14:textId="1A96C38D" w:rsidR="00A8668C" w:rsidRPr="000653A9" w:rsidRDefault="00021104" w:rsidP="00A8668C">
      <w:pPr>
        <w:rPr>
          <w:i/>
          <w:noProof/>
          <w:color w:val="auto"/>
          <w:sz w:val="20"/>
          <w:szCs w:val="20"/>
        </w:rPr>
      </w:pPr>
      <w:r w:rsidRPr="000653A9">
        <w:rPr>
          <w:i/>
          <w:iCs/>
          <w:noProof/>
          <w:color w:val="auto"/>
          <w:sz w:val="20"/>
          <w:szCs w:val="20"/>
        </w:rPr>
        <w:t xml:space="preserve">Source: </w:t>
      </w:r>
      <w:r w:rsidR="009568FF" w:rsidRPr="000653A9">
        <w:rPr>
          <w:i/>
          <w:iCs/>
          <w:noProof/>
          <w:color w:val="auto"/>
          <w:sz w:val="20"/>
          <w:szCs w:val="20"/>
        </w:rPr>
        <w:t>Own calculation</w:t>
      </w:r>
      <w:r w:rsidR="00560DF2" w:rsidRPr="000653A9">
        <w:rPr>
          <w:i/>
          <w:iCs/>
          <w:noProof/>
          <w:color w:val="auto"/>
          <w:sz w:val="20"/>
          <w:szCs w:val="20"/>
        </w:rPr>
        <w:t xml:space="preserve"> based on data sources described in this chapter</w:t>
      </w:r>
    </w:p>
    <w:p w14:paraId="740255EE" w14:textId="586E46E6" w:rsidR="00D679AB" w:rsidRPr="000653A9" w:rsidRDefault="00D34D19" w:rsidP="00F73B5B">
      <w:pPr>
        <w:rPr>
          <w:i/>
          <w:iCs/>
          <w:noProof/>
          <w:color w:val="auto"/>
        </w:rPr>
      </w:pPr>
      <w:r w:rsidRPr="000653A9">
        <w:rPr>
          <w:i/>
          <w:iCs/>
          <w:noProof/>
          <w:color w:val="auto"/>
        </w:rPr>
        <w:t xml:space="preserve">T2: </w:t>
      </w:r>
      <w:r w:rsidR="00D679AB" w:rsidRPr="000653A9">
        <w:rPr>
          <w:i/>
          <w:iCs/>
          <w:noProof/>
          <w:color w:val="auto"/>
        </w:rPr>
        <w:t>Lower the 20 MW threshold (e.g. 0, 5, 15, 20 MW)</w:t>
      </w:r>
    </w:p>
    <w:p w14:paraId="6F9FDF53" w14:textId="04596CC6" w:rsidR="00D679AB" w:rsidRPr="000653A9" w:rsidRDefault="00D679AB" w:rsidP="00F73B5B">
      <w:pPr>
        <w:rPr>
          <w:noProof/>
          <w:color w:val="auto"/>
        </w:rPr>
      </w:pPr>
      <w:r w:rsidRPr="000653A9">
        <w:rPr>
          <w:noProof/>
          <w:color w:val="auto"/>
        </w:rPr>
        <w:t>According to this analysis, up to 28 MtCO</w:t>
      </w:r>
      <w:r w:rsidRPr="000653A9">
        <w:rPr>
          <w:noProof/>
          <w:color w:val="auto"/>
          <w:vertAlign w:val="subscript"/>
        </w:rPr>
        <w:t>2</w:t>
      </w:r>
      <w:r w:rsidRPr="000653A9">
        <w:rPr>
          <w:noProof/>
          <w:color w:val="auto"/>
        </w:rPr>
        <w:t xml:space="preserve">e of emissions could be brought into the scope of EU ETS by lowering the 20 </w:t>
      </w:r>
      <w:r w:rsidRPr="000653A9">
        <w:rPr>
          <w:noProof/>
        </w:rPr>
        <w:t xml:space="preserve">MW threshold. As </w:t>
      </w:r>
      <w:r w:rsidR="00CB3AB8" w:rsidRPr="000653A9">
        <w:rPr>
          <w:noProof/>
        </w:rPr>
        <w:t xml:space="preserve">Table </w:t>
      </w:r>
      <w:r w:rsidR="00DB3CB9">
        <w:rPr>
          <w:noProof/>
        </w:rPr>
        <w:t>31</w:t>
      </w:r>
      <w:r w:rsidR="00087564" w:rsidRPr="000653A9">
        <w:rPr>
          <w:noProof/>
        </w:rPr>
        <w:t xml:space="preserve"> </w:t>
      </w:r>
      <w:r w:rsidR="000B5DDC" w:rsidRPr="000653A9">
        <w:rPr>
          <w:noProof/>
        </w:rPr>
        <w:t>and</w:t>
      </w:r>
      <w:r w:rsidR="00496772" w:rsidRPr="000653A9">
        <w:rPr>
          <w:noProof/>
        </w:rPr>
        <w:t xml:space="preserve"> Figure 2</w:t>
      </w:r>
      <w:r w:rsidR="00FE1040" w:rsidRPr="000653A9">
        <w:rPr>
          <w:noProof/>
        </w:rPr>
        <w:t>0</w:t>
      </w:r>
      <w:r w:rsidR="00CB3AB8" w:rsidRPr="000653A9">
        <w:rPr>
          <w:noProof/>
        </w:rPr>
        <w:t xml:space="preserve"> </w:t>
      </w:r>
      <w:r w:rsidRPr="000653A9">
        <w:rPr>
          <w:noProof/>
        </w:rPr>
        <w:t>below indicate, lowering the threshold to 15 MW or 10 MW would increase coverage by 5 MtCO2e</w:t>
      </w:r>
      <w:r w:rsidRPr="000653A9">
        <w:rPr>
          <w:noProof/>
          <w:color w:val="auto"/>
        </w:rPr>
        <w:t xml:space="preserve"> or 10 MtCO</w:t>
      </w:r>
      <w:r w:rsidRPr="000653A9">
        <w:rPr>
          <w:noProof/>
          <w:color w:val="auto"/>
          <w:vertAlign w:val="subscript"/>
        </w:rPr>
        <w:t>2</w:t>
      </w:r>
      <w:r w:rsidRPr="000653A9">
        <w:rPr>
          <w:noProof/>
          <w:color w:val="auto"/>
        </w:rPr>
        <w:t>e respectively. This shows that the majority of emissions (the remaining 18 MtCO2e out of 28 MtCO</w:t>
      </w:r>
      <w:r w:rsidRPr="000653A9">
        <w:rPr>
          <w:noProof/>
          <w:color w:val="auto"/>
          <w:vertAlign w:val="subscript"/>
        </w:rPr>
        <w:t>2</w:t>
      </w:r>
      <w:r w:rsidRPr="000653A9">
        <w:rPr>
          <w:noProof/>
          <w:color w:val="auto"/>
        </w:rPr>
        <w:t xml:space="preserve">e) occur in the smallest installations. At the bottom end, 72% of the &lt;20 MW installations (68,000 installations) have a capacity of 5 MW or lower, while accounting for 36% of emissions. </w:t>
      </w:r>
    </w:p>
    <w:p w14:paraId="4729DB7E" w14:textId="2D037369" w:rsidR="00D679AB" w:rsidRPr="000653A9" w:rsidRDefault="00D679AB" w:rsidP="00F73B5B">
      <w:pPr>
        <w:rPr>
          <w:noProof/>
          <w:color w:val="auto"/>
        </w:rPr>
      </w:pPr>
      <w:r w:rsidRPr="000653A9">
        <w:rPr>
          <w:noProof/>
          <w:color w:val="auto"/>
        </w:rPr>
        <w:t xml:space="preserve">At the top end, lowering the threshold to 15 MW or 10 MW would cover a modest fraction of the remaining emissions (18-37%). </w:t>
      </w:r>
      <w:r w:rsidR="00C54D64" w:rsidRPr="000653A9">
        <w:rPr>
          <w:noProof/>
          <w:color w:val="auto"/>
        </w:rPr>
        <w:t>T</w:t>
      </w:r>
      <w:r w:rsidRPr="000653A9">
        <w:rPr>
          <w:noProof/>
          <w:color w:val="auto"/>
        </w:rPr>
        <w:t xml:space="preserve">his would affect a relatively smaller share of the </w:t>
      </w:r>
      <w:r w:rsidR="00C54D64" w:rsidRPr="000653A9">
        <w:rPr>
          <w:noProof/>
          <w:color w:val="auto"/>
        </w:rPr>
        <w:t>&lt;20 MW</w:t>
      </w:r>
      <w:r w:rsidRPr="000653A9">
        <w:rPr>
          <w:noProof/>
          <w:color w:val="auto"/>
        </w:rPr>
        <w:t xml:space="preserve"> installations (5-12% or 5,000-11,000 installations)</w:t>
      </w:r>
      <w:r w:rsidR="00C54D64" w:rsidRPr="000653A9">
        <w:rPr>
          <w:noProof/>
          <w:color w:val="auto"/>
        </w:rPr>
        <w:t>. However,</w:t>
      </w:r>
      <w:r w:rsidRPr="000653A9">
        <w:rPr>
          <w:noProof/>
          <w:color w:val="auto"/>
        </w:rPr>
        <w:t xml:space="preserve"> this still represents a l</w:t>
      </w:r>
      <w:r w:rsidR="00C54D64" w:rsidRPr="000653A9">
        <w:rPr>
          <w:noProof/>
          <w:color w:val="auto"/>
        </w:rPr>
        <w:t>arge number of</w:t>
      </w:r>
      <w:r w:rsidRPr="000653A9">
        <w:rPr>
          <w:noProof/>
          <w:color w:val="auto"/>
        </w:rPr>
        <w:t xml:space="preserve"> installations in absolute terms. According to the latest available report</w:t>
      </w:r>
      <w:r w:rsidRPr="000653A9">
        <w:rPr>
          <w:rStyle w:val="FootnoteReference"/>
          <w:noProof/>
          <w:color w:val="auto"/>
        </w:rPr>
        <w:footnoteReference w:id="43"/>
      </w:r>
      <w:r w:rsidRPr="000653A9">
        <w:rPr>
          <w:noProof/>
          <w:color w:val="auto"/>
        </w:rPr>
        <w:t xml:space="preserve">, </w:t>
      </w:r>
      <w:r w:rsidR="00932D09" w:rsidRPr="000653A9">
        <w:rPr>
          <w:noProof/>
          <w:color w:val="auto"/>
        </w:rPr>
        <w:t xml:space="preserve">the EU ETS </w:t>
      </w:r>
      <w:r w:rsidRPr="000653A9">
        <w:rPr>
          <w:noProof/>
          <w:color w:val="auto"/>
        </w:rPr>
        <w:t>covered 8,640 stationary installations in 2022. Therefore, lowering the threshold to 15 MW would imply increasing the number of EU ETS stationary installations by over 50%.</w:t>
      </w:r>
    </w:p>
    <w:p w14:paraId="2BD64BBD" w14:textId="1D2CD735" w:rsidR="00D679AB" w:rsidRPr="000653A9" w:rsidRDefault="00D679AB" w:rsidP="00C92FA9">
      <w:pPr>
        <w:pStyle w:val="Tabletitle"/>
        <w:rPr>
          <w:noProof/>
        </w:rPr>
      </w:pPr>
      <w:bookmarkStart w:id="607" w:name="_Toc234435134"/>
      <w:bookmarkStart w:id="608" w:name="_Toc232003604"/>
      <w:r w:rsidRPr="000653A9">
        <w:rPr>
          <w:noProof/>
        </w:rPr>
        <w:t>Estimated emissions and installation coverage from lowering the 20 MW threshold</w:t>
      </w:r>
      <w:bookmarkEnd w:id="607"/>
      <w:bookmarkEnd w:id="608"/>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1878"/>
        <w:gridCol w:w="1728"/>
        <w:gridCol w:w="1803"/>
        <w:gridCol w:w="1804"/>
      </w:tblGrid>
      <w:tr w:rsidR="00C600D7" w:rsidRPr="000653A9" w14:paraId="5FD90268" w14:textId="77777777" w:rsidTr="00714417">
        <w:trPr>
          <w:trHeight w:val="20"/>
        </w:trPr>
        <w:tc>
          <w:tcPr>
            <w:tcW w:w="1803" w:type="dxa"/>
          </w:tcPr>
          <w:p w14:paraId="572458C4" w14:textId="77777777" w:rsidR="00D679AB" w:rsidRPr="000653A9" w:rsidRDefault="00D679AB" w:rsidP="00F73B5B">
            <w:pPr>
              <w:rPr>
                <w:noProof/>
                <w:color w:val="auto"/>
                <w:sz w:val="22"/>
                <w:szCs w:val="22"/>
              </w:rPr>
            </w:pPr>
          </w:p>
        </w:tc>
        <w:tc>
          <w:tcPr>
            <w:tcW w:w="3606" w:type="dxa"/>
            <w:gridSpan w:val="2"/>
          </w:tcPr>
          <w:p w14:paraId="286E3F81" w14:textId="77777777" w:rsidR="00D679AB" w:rsidRPr="000653A9" w:rsidRDefault="00D679AB" w:rsidP="00EC4F27">
            <w:pPr>
              <w:jc w:val="center"/>
              <w:rPr>
                <w:b/>
                <w:bCs/>
                <w:noProof/>
                <w:color w:val="auto"/>
                <w:sz w:val="22"/>
                <w:szCs w:val="22"/>
              </w:rPr>
            </w:pPr>
            <w:r w:rsidRPr="000653A9">
              <w:rPr>
                <w:b/>
                <w:bCs/>
                <w:noProof/>
                <w:color w:val="auto"/>
                <w:sz w:val="22"/>
                <w:szCs w:val="22"/>
              </w:rPr>
              <w:t>Gain in emissions coverage</w:t>
            </w:r>
          </w:p>
        </w:tc>
        <w:tc>
          <w:tcPr>
            <w:tcW w:w="3607" w:type="dxa"/>
            <w:gridSpan w:val="2"/>
          </w:tcPr>
          <w:p w14:paraId="28870BB6" w14:textId="77777777" w:rsidR="00D679AB" w:rsidRPr="000653A9" w:rsidRDefault="00D679AB" w:rsidP="00EC4F27">
            <w:pPr>
              <w:jc w:val="center"/>
              <w:rPr>
                <w:b/>
                <w:bCs/>
                <w:noProof/>
                <w:color w:val="auto"/>
                <w:sz w:val="22"/>
                <w:szCs w:val="22"/>
              </w:rPr>
            </w:pPr>
            <w:r w:rsidRPr="000653A9">
              <w:rPr>
                <w:b/>
                <w:bCs/>
                <w:noProof/>
                <w:color w:val="auto"/>
                <w:sz w:val="22"/>
                <w:szCs w:val="22"/>
              </w:rPr>
              <w:t>Gain in installation coverage</w:t>
            </w:r>
          </w:p>
        </w:tc>
      </w:tr>
      <w:tr w:rsidR="00C600D7" w:rsidRPr="000653A9" w14:paraId="1505CA96" w14:textId="77777777" w:rsidTr="00714417">
        <w:trPr>
          <w:trHeight w:val="20"/>
        </w:trPr>
        <w:tc>
          <w:tcPr>
            <w:tcW w:w="1803" w:type="dxa"/>
            <w:tcBorders>
              <w:bottom w:val="single" w:sz="4" w:space="0" w:color="auto"/>
            </w:tcBorders>
          </w:tcPr>
          <w:p w14:paraId="233E3FF3" w14:textId="77777777" w:rsidR="00D679AB" w:rsidRPr="000653A9" w:rsidRDefault="00D679AB" w:rsidP="00F73B5B">
            <w:pPr>
              <w:rPr>
                <w:noProof/>
                <w:color w:val="auto"/>
                <w:sz w:val="22"/>
                <w:szCs w:val="22"/>
              </w:rPr>
            </w:pPr>
            <w:r w:rsidRPr="000653A9">
              <w:rPr>
                <w:noProof/>
                <w:color w:val="auto"/>
                <w:sz w:val="22"/>
                <w:szCs w:val="22"/>
              </w:rPr>
              <w:t>Threshold level</w:t>
            </w:r>
          </w:p>
        </w:tc>
        <w:tc>
          <w:tcPr>
            <w:tcW w:w="1878" w:type="dxa"/>
            <w:tcBorders>
              <w:bottom w:val="single" w:sz="4" w:space="0" w:color="auto"/>
            </w:tcBorders>
          </w:tcPr>
          <w:p w14:paraId="262823E5" w14:textId="77777777" w:rsidR="00D679AB" w:rsidRPr="000653A9" w:rsidRDefault="00D679AB" w:rsidP="00F73B5B">
            <w:pPr>
              <w:rPr>
                <w:noProof/>
                <w:color w:val="auto"/>
                <w:sz w:val="22"/>
                <w:szCs w:val="22"/>
              </w:rPr>
            </w:pPr>
            <w:r w:rsidRPr="000653A9">
              <w:rPr>
                <w:noProof/>
                <w:color w:val="auto"/>
                <w:sz w:val="22"/>
                <w:szCs w:val="22"/>
              </w:rPr>
              <w:t>% of relevant uncovered emissions</w:t>
            </w:r>
          </w:p>
        </w:tc>
        <w:tc>
          <w:tcPr>
            <w:tcW w:w="1728" w:type="dxa"/>
            <w:tcBorders>
              <w:bottom w:val="single" w:sz="4" w:space="0" w:color="auto"/>
            </w:tcBorders>
          </w:tcPr>
          <w:p w14:paraId="6CF5E121" w14:textId="77777777" w:rsidR="00D679AB" w:rsidRPr="000653A9" w:rsidRDefault="00D679AB" w:rsidP="00F73B5B">
            <w:pPr>
              <w:rPr>
                <w:noProof/>
                <w:color w:val="auto"/>
                <w:sz w:val="22"/>
                <w:szCs w:val="22"/>
              </w:rPr>
            </w:pPr>
            <w:r w:rsidRPr="000653A9">
              <w:rPr>
                <w:noProof/>
                <w:color w:val="auto"/>
                <w:sz w:val="22"/>
                <w:szCs w:val="22"/>
              </w:rPr>
              <w:t>MtCO2e</w:t>
            </w:r>
          </w:p>
        </w:tc>
        <w:tc>
          <w:tcPr>
            <w:tcW w:w="1803" w:type="dxa"/>
            <w:tcBorders>
              <w:bottom w:val="single" w:sz="4" w:space="0" w:color="auto"/>
            </w:tcBorders>
          </w:tcPr>
          <w:p w14:paraId="2FCAA022" w14:textId="77777777" w:rsidR="00D679AB" w:rsidRPr="000653A9" w:rsidRDefault="00D679AB" w:rsidP="00F73B5B">
            <w:pPr>
              <w:rPr>
                <w:noProof/>
                <w:color w:val="auto"/>
                <w:sz w:val="22"/>
                <w:szCs w:val="22"/>
              </w:rPr>
            </w:pPr>
            <w:r w:rsidRPr="000653A9">
              <w:rPr>
                <w:noProof/>
                <w:color w:val="auto"/>
                <w:sz w:val="22"/>
                <w:szCs w:val="22"/>
              </w:rPr>
              <w:t xml:space="preserve">% of relevant </w:t>
            </w:r>
          </w:p>
          <w:p w14:paraId="0B6DF69F" w14:textId="77777777" w:rsidR="00D679AB" w:rsidRPr="000653A9" w:rsidRDefault="00D679AB" w:rsidP="00F73B5B">
            <w:pPr>
              <w:rPr>
                <w:noProof/>
                <w:color w:val="auto"/>
                <w:sz w:val="22"/>
                <w:szCs w:val="22"/>
              </w:rPr>
            </w:pPr>
            <w:r w:rsidRPr="000653A9">
              <w:rPr>
                <w:noProof/>
                <w:color w:val="auto"/>
                <w:sz w:val="22"/>
                <w:szCs w:val="22"/>
              </w:rPr>
              <w:t>installations</w:t>
            </w:r>
          </w:p>
        </w:tc>
        <w:tc>
          <w:tcPr>
            <w:tcW w:w="1804" w:type="dxa"/>
            <w:tcBorders>
              <w:bottom w:val="single" w:sz="4" w:space="0" w:color="auto"/>
            </w:tcBorders>
          </w:tcPr>
          <w:p w14:paraId="149AE311" w14:textId="09348835" w:rsidR="00D679AB" w:rsidRPr="000653A9" w:rsidRDefault="001946C9" w:rsidP="00F73B5B">
            <w:pPr>
              <w:rPr>
                <w:noProof/>
                <w:color w:val="auto"/>
                <w:sz w:val="22"/>
                <w:szCs w:val="22"/>
              </w:rPr>
            </w:pPr>
            <w:r w:rsidRPr="000653A9">
              <w:rPr>
                <w:noProof/>
                <w:color w:val="auto"/>
                <w:sz w:val="22"/>
                <w:szCs w:val="22"/>
              </w:rPr>
              <w:t>N</w:t>
            </w:r>
            <w:r w:rsidR="00D679AB" w:rsidRPr="000653A9">
              <w:rPr>
                <w:noProof/>
                <w:color w:val="auto"/>
                <w:sz w:val="22"/>
                <w:szCs w:val="22"/>
              </w:rPr>
              <w:t>umber of installations</w:t>
            </w:r>
          </w:p>
        </w:tc>
      </w:tr>
      <w:tr w:rsidR="00C600D7" w:rsidRPr="000653A9" w14:paraId="3A1C4EA5" w14:textId="77777777" w:rsidTr="00714417">
        <w:trPr>
          <w:trHeight w:val="20"/>
        </w:trPr>
        <w:tc>
          <w:tcPr>
            <w:tcW w:w="1803" w:type="dxa"/>
            <w:tcBorders>
              <w:bottom w:val="nil"/>
            </w:tcBorders>
          </w:tcPr>
          <w:p w14:paraId="1A3993F1" w14:textId="77777777" w:rsidR="00D679AB" w:rsidRPr="000653A9" w:rsidRDefault="00D679AB" w:rsidP="00F73B5B">
            <w:pPr>
              <w:rPr>
                <w:noProof/>
                <w:color w:val="auto"/>
                <w:sz w:val="22"/>
                <w:szCs w:val="22"/>
              </w:rPr>
            </w:pPr>
            <w:r w:rsidRPr="000653A9">
              <w:rPr>
                <w:noProof/>
                <w:color w:val="auto"/>
                <w:sz w:val="22"/>
                <w:szCs w:val="22"/>
              </w:rPr>
              <w:t>≤15 MW</w:t>
            </w:r>
          </w:p>
        </w:tc>
        <w:tc>
          <w:tcPr>
            <w:tcW w:w="1878" w:type="dxa"/>
            <w:tcBorders>
              <w:bottom w:val="nil"/>
            </w:tcBorders>
          </w:tcPr>
          <w:p w14:paraId="2DED47EA" w14:textId="77777777" w:rsidR="00D679AB" w:rsidRPr="000653A9" w:rsidRDefault="00D679AB" w:rsidP="00F73B5B">
            <w:pPr>
              <w:rPr>
                <w:noProof/>
                <w:color w:val="auto"/>
                <w:sz w:val="22"/>
                <w:szCs w:val="22"/>
              </w:rPr>
            </w:pPr>
            <w:r w:rsidRPr="000653A9">
              <w:rPr>
                <w:noProof/>
                <w:color w:val="auto"/>
                <w:sz w:val="22"/>
                <w:szCs w:val="22"/>
              </w:rPr>
              <w:t>18%</w:t>
            </w:r>
          </w:p>
        </w:tc>
        <w:tc>
          <w:tcPr>
            <w:tcW w:w="1728" w:type="dxa"/>
            <w:tcBorders>
              <w:bottom w:val="nil"/>
            </w:tcBorders>
          </w:tcPr>
          <w:p w14:paraId="02EC9ACD" w14:textId="77777777" w:rsidR="00D679AB" w:rsidRPr="000653A9" w:rsidRDefault="00D679AB" w:rsidP="00F73B5B">
            <w:pPr>
              <w:rPr>
                <w:noProof/>
                <w:color w:val="auto"/>
                <w:sz w:val="22"/>
                <w:szCs w:val="22"/>
              </w:rPr>
            </w:pPr>
            <w:r w:rsidRPr="000653A9">
              <w:rPr>
                <w:noProof/>
                <w:color w:val="auto"/>
                <w:sz w:val="22"/>
                <w:szCs w:val="22"/>
              </w:rPr>
              <w:t>5 MtCO2e</w:t>
            </w:r>
          </w:p>
        </w:tc>
        <w:tc>
          <w:tcPr>
            <w:tcW w:w="1803" w:type="dxa"/>
            <w:tcBorders>
              <w:bottom w:val="nil"/>
            </w:tcBorders>
          </w:tcPr>
          <w:p w14:paraId="49FB6631" w14:textId="77777777" w:rsidR="00D679AB" w:rsidRPr="000653A9" w:rsidRDefault="00D679AB" w:rsidP="00F73B5B">
            <w:pPr>
              <w:rPr>
                <w:noProof/>
                <w:color w:val="auto"/>
                <w:sz w:val="22"/>
                <w:szCs w:val="22"/>
              </w:rPr>
            </w:pPr>
            <w:r w:rsidRPr="000653A9">
              <w:rPr>
                <w:noProof/>
                <w:color w:val="auto"/>
                <w:sz w:val="22"/>
                <w:szCs w:val="22"/>
              </w:rPr>
              <w:t>5%</w:t>
            </w:r>
          </w:p>
        </w:tc>
        <w:tc>
          <w:tcPr>
            <w:tcW w:w="1804" w:type="dxa"/>
            <w:tcBorders>
              <w:bottom w:val="nil"/>
            </w:tcBorders>
          </w:tcPr>
          <w:p w14:paraId="4C8C36BA" w14:textId="77777777" w:rsidR="00D679AB" w:rsidRPr="000653A9" w:rsidRDefault="00D679AB" w:rsidP="00F73B5B">
            <w:pPr>
              <w:rPr>
                <w:noProof/>
                <w:color w:val="auto"/>
                <w:sz w:val="22"/>
                <w:szCs w:val="22"/>
              </w:rPr>
            </w:pPr>
            <w:r w:rsidRPr="000653A9">
              <w:rPr>
                <w:noProof/>
                <w:color w:val="auto"/>
                <w:sz w:val="22"/>
                <w:szCs w:val="22"/>
              </w:rPr>
              <w:t>5,005</w:t>
            </w:r>
          </w:p>
        </w:tc>
      </w:tr>
      <w:tr w:rsidR="00C600D7" w:rsidRPr="000653A9" w14:paraId="34AE0F6E" w14:textId="77777777" w:rsidTr="00714417">
        <w:trPr>
          <w:trHeight w:val="20"/>
        </w:trPr>
        <w:tc>
          <w:tcPr>
            <w:tcW w:w="1803" w:type="dxa"/>
            <w:tcBorders>
              <w:top w:val="nil"/>
              <w:bottom w:val="nil"/>
            </w:tcBorders>
          </w:tcPr>
          <w:p w14:paraId="6B01D7F2" w14:textId="77777777" w:rsidR="00D679AB" w:rsidRPr="000653A9" w:rsidRDefault="00D679AB" w:rsidP="00F73B5B">
            <w:pPr>
              <w:rPr>
                <w:noProof/>
                <w:color w:val="auto"/>
                <w:sz w:val="22"/>
                <w:szCs w:val="22"/>
              </w:rPr>
            </w:pPr>
            <w:r w:rsidRPr="000653A9">
              <w:rPr>
                <w:noProof/>
                <w:color w:val="auto"/>
                <w:sz w:val="22"/>
                <w:szCs w:val="22"/>
              </w:rPr>
              <w:t>≤10 MW</w:t>
            </w:r>
          </w:p>
        </w:tc>
        <w:tc>
          <w:tcPr>
            <w:tcW w:w="1878" w:type="dxa"/>
            <w:tcBorders>
              <w:top w:val="nil"/>
              <w:bottom w:val="nil"/>
            </w:tcBorders>
          </w:tcPr>
          <w:p w14:paraId="40C64E1C" w14:textId="77777777" w:rsidR="00D679AB" w:rsidRPr="000653A9" w:rsidRDefault="00D679AB" w:rsidP="00F73B5B">
            <w:pPr>
              <w:rPr>
                <w:noProof/>
                <w:color w:val="auto"/>
                <w:sz w:val="22"/>
                <w:szCs w:val="22"/>
              </w:rPr>
            </w:pPr>
            <w:r w:rsidRPr="000653A9">
              <w:rPr>
                <w:noProof/>
                <w:color w:val="auto"/>
                <w:sz w:val="22"/>
                <w:szCs w:val="22"/>
              </w:rPr>
              <w:t>37%</w:t>
            </w:r>
          </w:p>
        </w:tc>
        <w:tc>
          <w:tcPr>
            <w:tcW w:w="1728" w:type="dxa"/>
            <w:tcBorders>
              <w:top w:val="nil"/>
              <w:bottom w:val="nil"/>
            </w:tcBorders>
          </w:tcPr>
          <w:p w14:paraId="12AF50EE" w14:textId="77777777" w:rsidR="00D679AB" w:rsidRPr="000653A9" w:rsidRDefault="00D679AB" w:rsidP="00F73B5B">
            <w:pPr>
              <w:rPr>
                <w:noProof/>
                <w:color w:val="auto"/>
                <w:sz w:val="22"/>
                <w:szCs w:val="22"/>
              </w:rPr>
            </w:pPr>
            <w:r w:rsidRPr="000653A9">
              <w:rPr>
                <w:noProof/>
                <w:color w:val="auto"/>
                <w:sz w:val="22"/>
                <w:szCs w:val="22"/>
              </w:rPr>
              <w:t>10 MtCO2e</w:t>
            </w:r>
          </w:p>
        </w:tc>
        <w:tc>
          <w:tcPr>
            <w:tcW w:w="1803" w:type="dxa"/>
            <w:tcBorders>
              <w:top w:val="nil"/>
              <w:bottom w:val="nil"/>
            </w:tcBorders>
          </w:tcPr>
          <w:p w14:paraId="6AC07C3F" w14:textId="77777777" w:rsidR="00D679AB" w:rsidRPr="000653A9" w:rsidRDefault="00D679AB" w:rsidP="00F73B5B">
            <w:pPr>
              <w:rPr>
                <w:noProof/>
                <w:color w:val="auto"/>
                <w:sz w:val="22"/>
                <w:szCs w:val="22"/>
              </w:rPr>
            </w:pPr>
            <w:r w:rsidRPr="000653A9">
              <w:rPr>
                <w:noProof/>
                <w:color w:val="auto"/>
                <w:sz w:val="22"/>
                <w:szCs w:val="22"/>
              </w:rPr>
              <w:t>12%</w:t>
            </w:r>
          </w:p>
        </w:tc>
        <w:tc>
          <w:tcPr>
            <w:tcW w:w="1804" w:type="dxa"/>
            <w:tcBorders>
              <w:top w:val="nil"/>
              <w:bottom w:val="nil"/>
            </w:tcBorders>
          </w:tcPr>
          <w:p w14:paraId="756B6928" w14:textId="77777777" w:rsidR="00D679AB" w:rsidRPr="000653A9" w:rsidRDefault="00D679AB" w:rsidP="00F73B5B">
            <w:pPr>
              <w:rPr>
                <w:noProof/>
                <w:color w:val="auto"/>
                <w:sz w:val="22"/>
                <w:szCs w:val="22"/>
              </w:rPr>
            </w:pPr>
            <w:r w:rsidRPr="000653A9">
              <w:rPr>
                <w:noProof/>
                <w:color w:val="auto"/>
                <w:sz w:val="22"/>
                <w:szCs w:val="22"/>
              </w:rPr>
              <w:t>11,615</w:t>
            </w:r>
          </w:p>
        </w:tc>
      </w:tr>
      <w:tr w:rsidR="00C600D7" w:rsidRPr="000653A9" w14:paraId="6391DBBF" w14:textId="77777777" w:rsidTr="00714417">
        <w:trPr>
          <w:trHeight w:val="20"/>
        </w:trPr>
        <w:tc>
          <w:tcPr>
            <w:tcW w:w="1803" w:type="dxa"/>
            <w:tcBorders>
              <w:top w:val="nil"/>
              <w:bottom w:val="nil"/>
            </w:tcBorders>
          </w:tcPr>
          <w:p w14:paraId="1492B805" w14:textId="77777777" w:rsidR="00D679AB" w:rsidRPr="000653A9" w:rsidRDefault="00D679AB" w:rsidP="00F73B5B">
            <w:pPr>
              <w:rPr>
                <w:noProof/>
                <w:color w:val="auto"/>
                <w:sz w:val="22"/>
                <w:szCs w:val="22"/>
              </w:rPr>
            </w:pPr>
            <w:r w:rsidRPr="000653A9">
              <w:rPr>
                <w:noProof/>
                <w:color w:val="auto"/>
                <w:sz w:val="22"/>
                <w:szCs w:val="22"/>
              </w:rPr>
              <w:t>≤5 MW</w:t>
            </w:r>
          </w:p>
        </w:tc>
        <w:tc>
          <w:tcPr>
            <w:tcW w:w="1878" w:type="dxa"/>
            <w:tcBorders>
              <w:top w:val="nil"/>
              <w:bottom w:val="nil"/>
            </w:tcBorders>
          </w:tcPr>
          <w:p w14:paraId="5BAA4F1D" w14:textId="77777777" w:rsidR="00D679AB" w:rsidRPr="000653A9" w:rsidRDefault="00D679AB" w:rsidP="00F73B5B">
            <w:pPr>
              <w:rPr>
                <w:noProof/>
                <w:color w:val="auto"/>
                <w:sz w:val="22"/>
                <w:szCs w:val="22"/>
              </w:rPr>
            </w:pPr>
            <w:r w:rsidRPr="000653A9">
              <w:rPr>
                <w:noProof/>
                <w:color w:val="auto"/>
                <w:sz w:val="22"/>
                <w:szCs w:val="22"/>
              </w:rPr>
              <w:t>64%</w:t>
            </w:r>
          </w:p>
        </w:tc>
        <w:tc>
          <w:tcPr>
            <w:tcW w:w="1728" w:type="dxa"/>
            <w:tcBorders>
              <w:top w:val="nil"/>
              <w:bottom w:val="nil"/>
            </w:tcBorders>
          </w:tcPr>
          <w:p w14:paraId="2FA9E753" w14:textId="77777777" w:rsidR="00D679AB" w:rsidRPr="000653A9" w:rsidRDefault="00D679AB" w:rsidP="00F73B5B">
            <w:pPr>
              <w:rPr>
                <w:noProof/>
                <w:color w:val="auto"/>
                <w:sz w:val="22"/>
                <w:szCs w:val="22"/>
              </w:rPr>
            </w:pPr>
            <w:r w:rsidRPr="000653A9">
              <w:rPr>
                <w:noProof/>
                <w:color w:val="auto"/>
                <w:sz w:val="22"/>
                <w:szCs w:val="22"/>
              </w:rPr>
              <w:t>18 MtCO2e</w:t>
            </w:r>
          </w:p>
        </w:tc>
        <w:tc>
          <w:tcPr>
            <w:tcW w:w="1803" w:type="dxa"/>
            <w:tcBorders>
              <w:top w:val="nil"/>
              <w:bottom w:val="nil"/>
            </w:tcBorders>
          </w:tcPr>
          <w:p w14:paraId="241C2230" w14:textId="77777777" w:rsidR="00D679AB" w:rsidRPr="000653A9" w:rsidRDefault="00D679AB" w:rsidP="00F73B5B">
            <w:pPr>
              <w:rPr>
                <w:noProof/>
                <w:color w:val="auto"/>
                <w:sz w:val="22"/>
                <w:szCs w:val="22"/>
              </w:rPr>
            </w:pPr>
            <w:r w:rsidRPr="000653A9">
              <w:rPr>
                <w:noProof/>
                <w:color w:val="auto"/>
                <w:sz w:val="22"/>
                <w:szCs w:val="22"/>
              </w:rPr>
              <w:t>28%</w:t>
            </w:r>
          </w:p>
        </w:tc>
        <w:tc>
          <w:tcPr>
            <w:tcW w:w="1804" w:type="dxa"/>
            <w:tcBorders>
              <w:top w:val="nil"/>
              <w:bottom w:val="nil"/>
            </w:tcBorders>
          </w:tcPr>
          <w:p w14:paraId="66584667" w14:textId="77777777" w:rsidR="00D679AB" w:rsidRPr="000653A9" w:rsidRDefault="00D679AB" w:rsidP="00F73B5B">
            <w:pPr>
              <w:rPr>
                <w:noProof/>
                <w:color w:val="auto"/>
                <w:sz w:val="22"/>
                <w:szCs w:val="22"/>
              </w:rPr>
            </w:pPr>
            <w:r w:rsidRPr="000653A9">
              <w:rPr>
                <w:noProof/>
                <w:color w:val="auto"/>
                <w:sz w:val="22"/>
                <w:szCs w:val="22"/>
              </w:rPr>
              <w:t>26,345</w:t>
            </w:r>
          </w:p>
        </w:tc>
      </w:tr>
      <w:tr w:rsidR="00D679AB" w:rsidRPr="000653A9" w14:paraId="3BB718E9" w14:textId="77777777" w:rsidTr="00714417">
        <w:trPr>
          <w:trHeight w:val="20"/>
        </w:trPr>
        <w:tc>
          <w:tcPr>
            <w:tcW w:w="1803" w:type="dxa"/>
            <w:tcBorders>
              <w:top w:val="nil"/>
            </w:tcBorders>
          </w:tcPr>
          <w:p w14:paraId="6DA811AA" w14:textId="77777777" w:rsidR="00D679AB" w:rsidRPr="000653A9" w:rsidRDefault="00D679AB" w:rsidP="00F73B5B">
            <w:pPr>
              <w:rPr>
                <w:noProof/>
                <w:color w:val="auto"/>
                <w:sz w:val="22"/>
                <w:szCs w:val="22"/>
              </w:rPr>
            </w:pPr>
            <w:r w:rsidRPr="000653A9">
              <w:rPr>
                <w:noProof/>
                <w:color w:val="auto"/>
                <w:sz w:val="22"/>
                <w:szCs w:val="22"/>
              </w:rPr>
              <w:t>No threshold</w:t>
            </w:r>
          </w:p>
        </w:tc>
        <w:tc>
          <w:tcPr>
            <w:tcW w:w="1878" w:type="dxa"/>
            <w:tcBorders>
              <w:top w:val="nil"/>
            </w:tcBorders>
          </w:tcPr>
          <w:p w14:paraId="63BA9A72" w14:textId="77777777" w:rsidR="00D679AB" w:rsidRPr="000653A9" w:rsidRDefault="00D679AB" w:rsidP="00F73B5B">
            <w:pPr>
              <w:rPr>
                <w:noProof/>
                <w:color w:val="auto"/>
                <w:sz w:val="22"/>
                <w:szCs w:val="22"/>
              </w:rPr>
            </w:pPr>
            <w:r w:rsidRPr="000653A9">
              <w:rPr>
                <w:noProof/>
                <w:color w:val="auto"/>
                <w:sz w:val="22"/>
                <w:szCs w:val="22"/>
              </w:rPr>
              <w:t>100%</w:t>
            </w:r>
          </w:p>
        </w:tc>
        <w:tc>
          <w:tcPr>
            <w:tcW w:w="1728" w:type="dxa"/>
            <w:tcBorders>
              <w:top w:val="nil"/>
            </w:tcBorders>
          </w:tcPr>
          <w:p w14:paraId="08C3F2A4" w14:textId="77777777" w:rsidR="00D679AB" w:rsidRPr="000653A9" w:rsidRDefault="00D679AB" w:rsidP="00F73B5B">
            <w:pPr>
              <w:rPr>
                <w:noProof/>
                <w:color w:val="auto"/>
                <w:sz w:val="22"/>
                <w:szCs w:val="22"/>
              </w:rPr>
            </w:pPr>
            <w:r w:rsidRPr="000653A9">
              <w:rPr>
                <w:noProof/>
                <w:color w:val="auto"/>
                <w:sz w:val="22"/>
                <w:szCs w:val="22"/>
              </w:rPr>
              <w:t>28 MtCO2e</w:t>
            </w:r>
          </w:p>
        </w:tc>
        <w:tc>
          <w:tcPr>
            <w:tcW w:w="1803" w:type="dxa"/>
            <w:tcBorders>
              <w:top w:val="nil"/>
            </w:tcBorders>
          </w:tcPr>
          <w:p w14:paraId="60402E48" w14:textId="77777777" w:rsidR="00D679AB" w:rsidRPr="000653A9" w:rsidRDefault="00D679AB" w:rsidP="00F73B5B">
            <w:pPr>
              <w:rPr>
                <w:noProof/>
                <w:color w:val="auto"/>
                <w:sz w:val="22"/>
                <w:szCs w:val="22"/>
              </w:rPr>
            </w:pPr>
            <w:r w:rsidRPr="000653A9">
              <w:rPr>
                <w:noProof/>
                <w:color w:val="auto"/>
                <w:sz w:val="22"/>
                <w:szCs w:val="22"/>
              </w:rPr>
              <w:t>100%</w:t>
            </w:r>
          </w:p>
        </w:tc>
        <w:tc>
          <w:tcPr>
            <w:tcW w:w="1804" w:type="dxa"/>
            <w:tcBorders>
              <w:top w:val="nil"/>
            </w:tcBorders>
          </w:tcPr>
          <w:p w14:paraId="193C5C8C" w14:textId="77777777" w:rsidR="00D679AB" w:rsidRPr="000653A9" w:rsidRDefault="00D679AB" w:rsidP="00F73B5B">
            <w:pPr>
              <w:rPr>
                <w:noProof/>
                <w:color w:val="auto"/>
                <w:sz w:val="22"/>
                <w:szCs w:val="22"/>
              </w:rPr>
            </w:pPr>
            <w:r w:rsidRPr="000653A9">
              <w:rPr>
                <w:noProof/>
                <w:color w:val="auto"/>
                <w:sz w:val="22"/>
                <w:szCs w:val="22"/>
              </w:rPr>
              <w:t>94,428</w:t>
            </w:r>
          </w:p>
        </w:tc>
      </w:tr>
    </w:tbl>
    <w:p w14:paraId="422AB6C7" w14:textId="5D660A86" w:rsidR="000B5DDC" w:rsidRPr="000653A9" w:rsidRDefault="000B5DDC" w:rsidP="00C92FA9">
      <w:pPr>
        <w:pStyle w:val="Figuretitle"/>
        <w:rPr>
          <w:noProof/>
        </w:rPr>
      </w:pPr>
      <w:bookmarkStart w:id="609" w:name="_Toc224659154"/>
      <w:r w:rsidRPr="000653A9">
        <w:rPr>
          <w:noProof/>
        </w:rPr>
        <w:t>Emissions by installation capacity</w:t>
      </w:r>
      <w:bookmarkEnd w:id="609"/>
    </w:p>
    <w:p w14:paraId="7BB2D9A4" w14:textId="77777777" w:rsidR="000B5DDC" w:rsidRPr="000653A9" w:rsidRDefault="000B5DDC" w:rsidP="000B5DDC">
      <w:pPr>
        <w:rPr>
          <w:noProof/>
          <w:color w:val="auto"/>
        </w:rPr>
      </w:pPr>
      <w:r w:rsidRPr="000653A9">
        <w:rPr>
          <w:noProof/>
          <w:color w:val="auto"/>
          <w:lang w:eastAsia="en-GB"/>
        </w:rPr>
        <w:drawing>
          <wp:inline distT="0" distB="0" distL="0" distR="0" wp14:anchorId="18BDFB04" wp14:editId="4B53781B">
            <wp:extent cx="5745086" cy="2935643"/>
            <wp:effectExtent l="0" t="0" r="0" b="0"/>
            <wp:docPr id="1212188712"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613527" name="Picture 4" descr="A screenshot of a graph&#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8074" cy="2947389"/>
                    </a:xfrm>
                    <a:prstGeom prst="rect">
                      <a:avLst/>
                    </a:prstGeom>
                    <a:noFill/>
                  </pic:spPr>
                </pic:pic>
              </a:graphicData>
            </a:graphic>
          </wp:inline>
        </w:drawing>
      </w:r>
    </w:p>
    <w:p w14:paraId="07262F3E" w14:textId="69E47865" w:rsidR="00496772" w:rsidRPr="000653A9" w:rsidRDefault="00496772" w:rsidP="2B7FB05A">
      <w:pPr>
        <w:rPr>
          <w:i/>
          <w:iCs/>
          <w:noProof/>
          <w:color w:val="auto"/>
          <w:sz w:val="20"/>
          <w:szCs w:val="20"/>
        </w:rPr>
      </w:pPr>
      <w:r w:rsidRPr="000653A9">
        <w:rPr>
          <w:i/>
          <w:iCs/>
          <w:noProof/>
          <w:color w:val="auto"/>
          <w:sz w:val="20"/>
          <w:szCs w:val="20"/>
        </w:rPr>
        <w:t xml:space="preserve">Source: </w:t>
      </w:r>
      <w:r w:rsidR="00560DF2" w:rsidRPr="000653A9">
        <w:rPr>
          <w:i/>
          <w:iCs/>
          <w:noProof/>
          <w:color w:val="auto"/>
          <w:sz w:val="20"/>
          <w:szCs w:val="20"/>
        </w:rPr>
        <w:t>Own calculation based on data sources described in this chapter</w:t>
      </w:r>
    </w:p>
    <w:p w14:paraId="0BF9DC7A" w14:textId="3E1A045D" w:rsidR="00D679AB" w:rsidRPr="000653A9" w:rsidRDefault="00D679AB" w:rsidP="2B7FB05A">
      <w:pPr>
        <w:rPr>
          <w:noProof/>
          <w:color w:val="auto"/>
        </w:rPr>
      </w:pPr>
      <w:r w:rsidRPr="61502E8D">
        <w:rPr>
          <w:noProof/>
          <w:color w:val="auto"/>
        </w:rPr>
        <w:t>It should be noted that the distribution estimates presented in this analysis rely heavily on the distributions from only two Member States: France and Poland. A more rigorous and consistent analysis would require overcoming the difficulties encountered in obtaining data that is complete, consistent and comparable.</w:t>
      </w:r>
      <w:bookmarkEnd w:id="218"/>
    </w:p>
    <w:p w14:paraId="145877A9" w14:textId="50414825" w:rsidR="000F29F9" w:rsidRPr="000653A9" w:rsidRDefault="000F29F9" w:rsidP="00794BC8">
      <w:pPr>
        <w:pStyle w:val="Heading3COM"/>
        <w:outlineLvl w:val="3"/>
        <w:rPr>
          <w:noProof/>
        </w:rPr>
      </w:pPr>
      <w:bookmarkStart w:id="610" w:name="_Toc230857941"/>
      <w:bookmarkStart w:id="611" w:name="_Toc232751132"/>
      <w:r w:rsidRPr="000653A9">
        <w:rPr>
          <w:noProof/>
        </w:rPr>
        <w:t>Summary</w:t>
      </w:r>
      <w:bookmarkEnd w:id="610"/>
      <w:bookmarkEnd w:id="611"/>
    </w:p>
    <w:p w14:paraId="185C5F09" w14:textId="77777777" w:rsidR="009010D9" w:rsidRDefault="3F8C0C4D" w:rsidP="1640CB9A">
      <w:pPr>
        <w:jc w:val="left"/>
        <w:rPr>
          <w:rFonts w:eastAsia="Times New Roman"/>
          <w:noProof/>
        </w:rPr>
        <w:sectPr w:rsidR="009010D9" w:rsidSect="0006475C">
          <w:headerReference w:type="even" r:id="rId36"/>
          <w:headerReference w:type="default" r:id="rId37"/>
          <w:footerReference w:type="even" r:id="rId38"/>
          <w:footerReference w:type="default" r:id="rId39"/>
          <w:headerReference w:type="first" r:id="rId40"/>
          <w:footerReference w:type="first" r:id="rId41"/>
          <w:pgSz w:w="11906" w:h="16838" w:code="9"/>
          <w:pgMar w:top="1440" w:right="1440" w:bottom="1440" w:left="1440" w:header="680" w:footer="510" w:gutter="0"/>
          <w:cols w:space="708"/>
          <w:docGrid w:linePitch="360"/>
        </w:sectPr>
      </w:pPr>
      <w:r w:rsidRPr="000653A9">
        <w:rPr>
          <w:rFonts w:eastAsia="Times New Roman"/>
          <w:noProof/>
        </w:rPr>
        <w:t>Based on th</w:t>
      </w:r>
      <w:r w:rsidR="43A1F1F0" w:rsidRPr="000653A9">
        <w:rPr>
          <w:rFonts w:eastAsia="Times New Roman"/>
          <w:noProof/>
        </w:rPr>
        <w:t>e</w:t>
      </w:r>
      <w:r w:rsidRPr="000653A9">
        <w:rPr>
          <w:rFonts w:eastAsia="Times New Roman"/>
          <w:noProof/>
        </w:rPr>
        <w:t xml:space="preserve"> assessment</w:t>
      </w:r>
      <w:r w:rsidR="0622A4AE" w:rsidRPr="000653A9">
        <w:rPr>
          <w:rFonts w:eastAsia="Times New Roman"/>
          <w:noProof/>
        </w:rPr>
        <w:t xml:space="preserve"> presented in this section</w:t>
      </w:r>
      <w:r w:rsidRPr="000653A9">
        <w:rPr>
          <w:rFonts w:eastAsia="Times New Roman"/>
          <w:noProof/>
        </w:rPr>
        <w:t xml:space="preserve">, the option of lowering the threshold is not taken further. </w:t>
      </w:r>
      <w:r w:rsidR="18C15CCA" w:rsidRPr="000653A9">
        <w:rPr>
          <w:rFonts w:eastAsia="Times New Roman"/>
          <w:noProof/>
        </w:rPr>
        <w:t xml:space="preserve">The main reason for this is that </w:t>
      </w:r>
      <w:r w:rsidRPr="000653A9">
        <w:rPr>
          <w:rFonts w:eastAsia="Times New Roman"/>
          <w:noProof/>
        </w:rPr>
        <w:t>the environmental gains from lowering the threshold would be very small compared to the substantial increase in administrative effort</w:t>
      </w:r>
      <w:r w:rsidR="5202A221" w:rsidRPr="000653A9">
        <w:rPr>
          <w:rFonts w:eastAsia="Times New Roman"/>
          <w:noProof/>
        </w:rPr>
        <w:t>, in particular since</w:t>
      </w:r>
      <w:r w:rsidR="5D13B871" w:rsidRPr="000653A9">
        <w:rPr>
          <w:rFonts w:eastAsia="Times New Roman"/>
          <w:noProof/>
        </w:rPr>
        <w:t xml:space="preserve"> </w:t>
      </w:r>
      <w:r w:rsidR="4A80B5E6" w:rsidRPr="000653A9">
        <w:rPr>
          <w:rFonts w:eastAsia="Times New Roman"/>
          <w:noProof/>
        </w:rPr>
        <w:t>m</w:t>
      </w:r>
      <w:r w:rsidR="5D13B871" w:rsidRPr="000653A9">
        <w:rPr>
          <w:rFonts w:eastAsia="Times New Roman"/>
          <w:noProof/>
        </w:rPr>
        <w:t>ost emissions from small installations will be covered under EU ETS2.</w:t>
      </w:r>
    </w:p>
    <w:p w14:paraId="5B04BA3D" w14:textId="3F8A551B" w:rsidR="009010D9" w:rsidRDefault="009010D9" w:rsidP="009010D9">
      <w:pPr>
        <w:pStyle w:val="Heading1COM"/>
        <w:numPr>
          <w:ilvl w:val="0"/>
          <w:numId w:val="0"/>
        </w:numPr>
        <w:ind w:left="360" w:hanging="360"/>
        <w:jc w:val="center"/>
        <w:rPr>
          <w:noProof/>
          <w:sz w:val="32"/>
          <w:szCs w:val="24"/>
        </w:rPr>
      </w:pPr>
      <w:bookmarkStart w:id="612" w:name="_Toc230861510"/>
      <w:bookmarkStart w:id="613" w:name="_Toc232751133"/>
      <w:r w:rsidRPr="009010D9">
        <w:rPr>
          <w:noProof/>
          <w:sz w:val="32"/>
          <w:szCs w:val="24"/>
        </w:rPr>
        <w:t>Annex 13: New Sectors and Technologies:</w:t>
      </w:r>
      <w:bookmarkEnd w:id="612"/>
      <w:r w:rsidR="00024D7B">
        <w:rPr>
          <w:noProof/>
          <w:sz w:val="32"/>
          <w:szCs w:val="24"/>
        </w:rPr>
        <w:t xml:space="preserve"> </w:t>
      </w:r>
      <w:bookmarkStart w:id="614" w:name="_Toc230861511"/>
      <w:r w:rsidRPr="009010D9">
        <w:rPr>
          <w:noProof/>
          <w:sz w:val="32"/>
          <w:szCs w:val="24"/>
        </w:rPr>
        <w:t>Waste Management and Carbon Capture and Utilisation (CCU)</w:t>
      </w:r>
      <w:bookmarkStart w:id="615" w:name="_Toc230861512"/>
      <w:bookmarkEnd w:id="613"/>
      <w:bookmarkEnd w:id="614"/>
    </w:p>
    <w:p w14:paraId="62BD66B7" w14:textId="4C6F0AF8" w:rsidR="009010D9" w:rsidRDefault="009010D9" w:rsidP="002F3B20">
      <w:pPr>
        <w:pStyle w:val="Heading1COM"/>
        <w:numPr>
          <w:ilvl w:val="0"/>
          <w:numId w:val="0"/>
        </w:numPr>
        <w:ind w:left="360" w:hanging="360"/>
        <w:outlineLvl w:val="1"/>
        <w:rPr>
          <w:noProof/>
        </w:rPr>
      </w:pPr>
      <w:bookmarkStart w:id="616" w:name="_Toc232751134"/>
      <w:r>
        <w:rPr>
          <w:noProof/>
        </w:rPr>
        <w:t>List of Tables</w:t>
      </w:r>
      <w:bookmarkEnd w:id="615"/>
      <w:bookmarkEnd w:id="616"/>
    </w:p>
    <w:p w14:paraId="37BE246D" w14:textId="77777777" w:rsidR="00CC4F87" w:rsidRDefault="009010D9" w:rsidP="002F3B20">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r>
        <w:rPr>
          <w:noProof/>
          <w:color w:val="242828"/>
        </w:rPr>
        <w:fldChar w:fldCharType="begin"/>
      </w:r>
      <w:r>
        <w:rPr>
          <w:noProof/>
        </w:rPr>
        <w:instrText xml:space="preserve"> TOC \h \z \t "Table title" \c </w:instrText>
      </w:r>
      <w:r>
        <w:rPr>
          <w:noProof/>
          <w:color w:val="242828"/>
        </w:rPr>
        <w:fldChar w:fldCharType="separate"/>
      </w:r>
      <w:hyperlink w:anchor="_Toc222740715" w:history="1">
        <w:r>
          <w:rPr>
            <w:rStyle w:val="Hyperlink"/>
            <w:noProof/>
            <w:sz w:val="24"/>
          </w:rPr>
          <w:t>Table 1:</w:t>
        </w:r>
        <w:r>
          <w:rPr>
            <w:rFonts w:asciiTheme="minorHAnsi" w:eastAsiaTheme="minorEastAsia" w:hAnsiTheme="minorHAnsi" w:cstheme="minorBidi"/>
            <w:noProof/>
            <w:color w:val="auto"/>
            <w:kern w:val="2"/>
            <w:lang w:val="en-US"/>
            <w14:ligatures w14:val="standardContextual"/>
          </w:rPr>
          <w:tab/>
        </w:r>
        <w:r>
          <w:rPr>
            <w:rStyle w:val="Hyperlink"/>
            <w:noProof/>
            <w:sz w:val="24"/>
          </w:rPr>
          <w:t>Emissions data and estimates for MWI in the EU-27.</w:t>
        </w:r>
        <w:r>
          <w:rPr>
            <w:noProof/>
            <w:webHidden/>
          </w:rPr>
          <w:tab/>
        </w:r>
        <w:r>
          <w:rPr>
            <w:noProof/>
            <w:webHidden/>
          </w:rPr>
          <w:fldChar w:fldCharType="begin"/>
        </w:r>
        <w:r>
          <w:rPr>
            <w:noProof/>
            <w:webHidden/>
          </w:rPr>
          <w:instrText xml:space="preserve"> PAGEREF _Toc222740715 \h </w:instrText>
        </w:r>
        <w:r>
          <w:rPr>
            <w:noProof/>
            <w:webHidden/>
          </w:rPr>
        </w:r>
        <w:r>
          <w:rPr>
            <w:noProof/>
            <w:webHidden/>
          </w:rPr>
          <w:fldChar w:fldCharType="separate"/>
        </w:r>
        <w:r>
          <w:rPr>
            <w:noProof/>
            <w:webHidden/>
          </w:rPr>
          <w:t>73</w:t>
        </w:r>
        <w:r>
          <w:rPr>
            <w:noProof/>
            <w:webHidden/>
          </w:rPr>
          <w:fldChar w:fldCharType="end"/>
        </w:r>
      </w:hyperlink>
    </w:p>
    <w:p w14:paraId="6CD8E924" w14:textId="59579680" w:rsidR="009010D9" w:rsidRPr="00B11367" w:rsidRDefault="009010D9" w:rsidP="002F3B20">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16" w:history="1">
        <w:r>
          <w:rPr>
            <w:rStyle w:val="Hyperlink"/>
            <w:noProof/>
            <w:sz w:val="24"/>
          </w:rPr>
          <w:t>Table 2:</w:t>
        </w:r>
        <w:r>
          <w:rPr>
            <w:rFonts w:asciiTheme="minorHAnsi" w:eastAsiaTheme="minorEastAsia" w:hAnsiTheme="minorHAnsi" w:cstheme="minorBidi"/>
            <w:noProof/>
            <w:color w:val="auto"/>
            <w:kern w:val="2"/>
            <w:lang w:val="en-US"/>
            <w14:ligatures w14:val="standardContextual"/>
          </w:rPr>
          <w:tab/>
        </w:r>
        <w:r>
          <w:rPr>
            <w:rStyle w:val="Hyperlink"/>
            <w:noProof/>
            <w:sz w:val="24"/>
          </w:rPr>
          <w:t>Modelling of 2030 EU ETS cap extension for the inclusion of emissions from MWI.</w:t>
        </w:r>
        <w:r>
          <w:rPr>
            <w:noProof/>
            <w:webHidden/>
          </w:rPr>
          <w:tab/>
        </w:r>
        <w:r>
          <w:rPr>
            <w:noProof/>
            <w:webHidden/>
          </w:rPr>
          <w:fldChar w:fldCharType="begin"/>
        </w:r>
        <w:r>
          <w:rPr>
            <w:noProof/>
            <w:webHidden/>
          </w:rPr>
          <w:instrText xml:space="preserve"> PAGEREF _Toc222740716 \h </w:instrText>
        </w:r>
        <w:r>
          <w:rPr>
            <w:noProof/>
            <w:webHidden/>
          </w:rPr>
        </w:r>
        <w:r>
          <w:rPr>
            <w:noProof/>
            <w:webHidden/>
          </w:rPr>
          <w:fldChar w:fldCharType="separate"/>
        </w:r>
        <w:r>
          <w:rPr>
            <w:noProof/>
            <w:webHidden/>
          </w:rPr>
          <w:t>74</w:t>
        </w:r>
        <w:r>
          <w:rPr>
            <w:noProof/>
            <w:webHidden/>
          </w:rPr>
          <w:fldChar w:fldCharType="end"/>
        </w:r>
      </w:hyperlink>
    </w:p>
    <w:p w14:paraId="58750556" w14:textId="47EDB3B0" w:rsidR="009010D9" w:rsidRPr="00B11367" w:rsidRDefault="009010D9" w:rsidP="002F3B20">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17" w:history="1">
        <w:r>
          <w:rPr>
            <w:rStyle w:val="Hyperlink"/>
            <w:noProof/>
            <w:sz w:val="24"/>
          </w:rPr>
          <w:t>Table 3:</w:t>
        </w:r>
        <w:r>
          <w:rPr>
            <w:rFonts w:asciiTheme="minorHAnsi" w:eastAsiaTheme="minorEastAsia" w:hAnsiTheme="minorHAnsi" w:cstheme="minorBidi"/>
            <w:noProof/>
            <w:color w:val="auto"/>
            <w:kern w:val="2"/>
            <w:lang w:val="en-US"/>
            <w14:ligatures w14:val="standardContextual"/>
          </w:rPr>
          <w:tab/>
        </w:r>
        <w:r>
          <w:rPr>
            <w:rStyle w:val="Hyperlink"/>
            <w:noProof/>
            <w:sz w:val="24"/>
          </w:rPr>
          <w:t>Emission estimates on landfilling of non-hazardous waste in the EU-27</w:t>
        </w:r>
        <w:r>
          <w:rPr>
            <w:noProof/>
            <w:webHidden/>
          </w:rPr>
          <w:tab/>
        </w:r>
        <w:r>
          <w:rPr>
            <w:noProof/>
            <w:webHidden/>
          </w:rPr>
          <w:fldChar w:fldCharType="begin"/>
        </w:r>
        <w:r>
          <w:rPr>
            <w:noProof/>
            <w:webHidden/>
          </w:rPr>
          <w:instrText xml:space="preserve"> PAGEREF _Toc222740717 \h </w:instrText>
        </w:r>
        <w:r>
          <w:rPr>
            <w:noProof/>
            <w:webHidden/>
          </w:rPr>
        </w:r>
        <w:r>
          <w:rPr>
            <w:noProof/>
            <w:webHidden/>
          </w:rPr>
          <w:fldChar w:fldCharType="separate"/>
        </w:r>
        <w:r>
          <w:rPr>
            <w:noProof/>
            <w:webHidden/>
          </w:rPr>
          <w:t>77</w:t>
        </w:r>
        <w:r>
          <w:rPr>
            <w:noProof/>
            <w:webHidden/>
          </w:rPr>
          <w:fldChar w:fldCharType="end"/>
        </w:r>
      </w:hyperlink>
    </w:p>
    <w:p w14:paraId="1C5A8671" w14:textId="39920877" w:rsidR="009010D9" w:rsidRPr="00B11367" w:rsidRDefault="009010D9" w:rsidP="002F3B20">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18" w:history="1">
        <w:r>
          <w:rPr>
            <w:rStyle w:val="Hyperlink"/>
            <w:noProof/>
            <w:sz w:val="24"/>
          </w:rPr>
          <w:t>Table 4:</w:t>
        </w:r>
        <w:r>
          <w:rPr>
            <w:rFonts w:asciiTheme="minorHAnsi" w:eastAsiaTheme="minorEastAsia" w:hAnsiTheme="minorHAnsi" w:cstheme="minorBidi"/>
            <w:noProof/>
            <w:color w:val="auto"/>
            <w:kern w:val="2"/>
            <w:lang w:val="en-US"/>
            <w14:ligatures w14:val="standardContextual"/>
          </w:rPr>
          <w:tab/>
        </w:r>
        <w:r>
          <w:rPr>
            <w:rStyle w:val="Hyperlink"/>
            <w:noProof/>
            <w:sz w:val="24"/>
          </w:rPr>
          <w:t>Options for threshold for inclusion of waste incineration installations in the EU ETS and estimated impact on installations covered and emissions excluded</w:t>
        </w:r>
        <w:r>
          <w:rPr>
            <w:noProof/>
            <w:webHidden/>
          </w:rPr>
          <w:tab/>
        </w:r>
        <w:r>
          <w:rPr>
            <w:noProof/>
            <w:webHidden/>
          </w:rPr>
          <w:fldChar w:fldCharType="begin"/>
        </w:r>
        <w:r>
          <w:rPr>
            <w:noProof/>
            <w:webHidden/>
          </w:rPr>
          <w:instrText xml:space="preserve"> PAGEREF _Toc222740718 \h </w:instrText>
        </w:r>
        <w:r>
          <w:rPr>
            <w:noProof/>
            <w:webHidden/>
          </w:rPr>
        </w:r>
        <w:r>
          <w:rPr>
            <w:noProof/>
            <w:webHidden/>
          </w:rPr>
          <w:fldChar w:fldCharType="separate"/>
        </w:r>
        <w:r>
          <w:rPr>
            <w:noProof/>
            <w:webHidden/>
          </w:rPr>
          <w:t>92</w:t>
        </w:r>
        <w:r>
          <w:rPr>
            <w:noProof/>
            <w:webHidden/>
          </w:rPr>
          <w:fldChar w:fldCharType="end"/>
        </w:r>
      </w:hyperlink>
    </w:p>
    <w:p w14:paraId="57E45A7E" w14:textId="1BA38D7F" w:rsidR="009010D9" w:rsidRPr="00B11367" w:rsidRDefault="009010D9" w:rsidP="002F3B20">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19" w:history="1">
        <w:r>
          <w:rPr>
            <w:rStyle w:val="Hyperlink"/>
            <w:noProof/>
            <w:sz w:val="24"/>
          </w:rPr>
          <w:t>Table 5:</w:t>
        </w:r>
        <w:r>
          <w:rPr>
            <w:rFonts w:asciiTheme="minorHAnsi" w:eastAsiaTheme="minorEastAsia" w:hAnsiTheme="minorHAnsi" w:cstheme="minorBidi"/>
            <w:noProof/>
            <w:color w:val="auto"/>
            <w:kern w:val="2"/>
            <w:lang w:val="en-US"/>
            <w14:ligatures w14:val="standardContextual"/>
          </w:rPr>
          <w:tab/>
        </w:r>
        <w:r>
          <w:rPr>
            <w:rStyle w:val="Hyperlink"/>
            <w:noProof/>
            <w:sz w:val="24"/>
          </w:rPr>
          <w:t>Internal Commission estimates (2022) for fossil emissions from all types of waste incineration (municipal, hazardous and industrial) in the EU27.</w:t>
        </w:r>
        <w:r>
          <w:rPr>
            <w:noProof/>
            <w:webHidden/>
          </w:rPr>
          <w:tab/>
        </w:r>
        <w:r>
          <w:rPr>
            <w:noProof/>
            <w:webHidden/>
          </w:rPr>
          <w:fldChar w:fldCharType="begin"/>
        </w:r>
        <w:r>
          <w:rPr>
            <w:noProof/>
            <w:webHidden/>
          </w:rPr>
          <w:instrText xml:space="preserve"> PAGEREF _Toc222740719 \h </w:instrText>
        </w:r>
        <w:r>
          <w:rPr>
            <w:noProof/>
            <w:webHidden/>
          </w:rPr>
        </w:r>
        <w:r>
          <w:rPr>
            <w:noProof/>
            <w:webHidden/>
          </w:rPr>
          <w:fldChar w:fldCharType="separate"/>
        </w:r>
        <w:r>
          <w:rPr>
            <w:noProof/>
            <w:webHidden/>
          </w:rPr>
          <w:t>113</w:t>
        </w:r>
        <w:r>
          <w:rPr>
            <w:noProof/>
            <w:webHidden/>
          </w:rPr>
          <w:fldChar w:fldCharType="end"/>
        </w:r>
      </w:hyperlink>
    </w:p>
    <w:p w14:paraId="6E706B83" w14:textId="4C49BB84" w:rsidR="009010D9" w:rsidRPr="00B11367" w:rsidRDefault="009010D9" w:rsidP="002F3B20">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20" w:history="1">
        <w:r>
          <w:rPr>
            <w:rStyle w:val="Hyperlink"/>
            <w:noProof/>
            <w:sz w:val="24"/>
          </w:rPr>
          <w:t>Table 6:</w:t>
        </w:r>
        <w:r>
          <w:rPr>
            <w:rFonts w:asciiTheme="minorHAnsi" w:eastAsiaTheme="minorEastAsia" w:hAnsiTheme="minorHAnsi" w:cstheme="minorBidi"/>
            <w:noProof/>
            <w:color w:val="auto"/>
            <w:kern w:val="2"/>
            <w:lang w:val="en-US"/>
            <w14:ligatures w14:val="standardContextual"/>
          </w:rPr>
          <w:tab/>
        </w:r>
        <w:r>
          <w:rPr>
            <w:rStyle w:val="Hyperlink"/>
            <w:noProof/>
            <w:sz w:val="24"/>
          </w:rPr>
          <w:t>Summary of the Tier Requirements (maximum permissible uncertainty) by category (for a measurement-based methodology).</w:t>
        </w:r>
        <w:r>
          <w:rPr>
            <w:noProof/>
            <w:webHidden/>
          </w:rPr>
          <w:tab/>
        </w:r>
        <w:r>
          <w:rPr>
            <w:noProof/>
            <w:webHidden/>
          </w:rPr>
          <w:fldChar w:fldCharType="begin"/>
        </w:r>
        <w:r>
          <w:rPr>
            <w:noProof/>
            <w:webHidden/>
          </w:rPr>
          <w:instrText xml:space="preserve"> PAGEREF _Toc222740720 \h </w:instrText>
        </w:r>
        <w:r>
          <w:rPr>
            <w:noProof/>
            <w:webHidden/>
          </w:rPr>
        </w:r>
        <w:r>
          <w:rPr>
            <w:noProof/>
            <w:webHidden/>
          </w:rPr>
          <w:fldChar w:fldCharType="separate"/>
        </w:r>
        <w:r>
          <w:rPr>
            <w:noProof/>
            <w:webHidden/>
          </w:rPr>
          <w:t>119</w:t>
        </w:r>
        <w:r>
          <w:rPr>
            <w:noProof/>
            <w:webHidden/>
          </w:rPr>
          <w:fldChar w:fldCharType="end"/>
        </w:r>
      </w:hyperlink>
    </w:p>
    <w:p w14:paraId="69D97553" w14:textId="17A708BF" w:rsidR="009010D9" w:rsidRPr="00B11367" w:rsidRDefault="009010D9" w:rsidP="002F3B20">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21" w:history="1">
        <w:r>
          <w:rPr>
            <w:rStyle w:val="Hyperlink"/>
            <w:noProof/>
            <w:sz w:val="24"/>
          </w:rPr>
          <w:t>Table 7:</w:t>
        </w:r>
        <w:r>
          <w:rPr>
            <w:rFonts w:asciiTheme="minorHAnsi" w:eastAsiaTheme="minorEastAsia" w:hAnsiTheme="minorHAnsi" w:cstheme="minorBidi"/>
            <w:noProof/>
            <w:color w:val="auto"/>
            <w:kern w:val="2"/>
            <w:lang w:val="en-US"/>
            <w14:ligatures w14:val="standardContextual"/>
          </w:rPr>
          <w:tab/>
        </w:r>
        <w:r>
          <w:rPr>
            <w:rStyle w:val="Hyperlink"/>
            <w:noProof/>
            <w:sz w:val="24"/>
          </w:rPr>
          <w:t>Overview of product lists by normal use or end-of-life treatment</w:t>
        </w:r>
        <w:r>
          <w:rPr>
            <w:noProof/>
            <w:webHidden/>
          </w:rPr>
          <w:tab/>
        </w:r>
        <w:r>
          <w:rPr>
            <w:noProof/>
            <w:webHidden/>
          </w:rPr>
          <w:fldChar w:fldCharType="begin"/>
        </w:r>
        <w:r>
          <w:rPr>
            <w:noProof/>
            <w:webHidden/>
          </w:rPr>
          <w:instrText xml:space="preserve"> PAGEREF _Toc222740721 \h </w:instrText>
        </w:r>
        <w:r>
          <w:rPr>
            <w:noProof/>
            <w:webHidden/>
          </w:rPr>
        </w:r>
        <w:r>
          <w:rPr>
            <w:noProof/>
            <w:webHidden/>
          </w:rPr>
          <w:fldChar w:fldCharType="separate"/>
        </w:r>
        <w:r>
          <w:rPr>
            <w:noProof/>
            <w:webHidden/>
          </w:rPr>
          <w:t>132</w:t>
        </w:r>
        <w:r>
          <w:rPr>
            <w:noProof/>
            <w:webHidden/>
          </w:rPr>
          <w:fldChar w:fldCharType="end"/>
        </w:r>
      </w:hyperlink>
    </w:p>
    <w:p w14:paraId="5676F15B" w14:textId="2FE8C690" w:rsidR="009010D9" w:rsidRPr="00B11367" w:rsidRDefault="009010D9" w:rsidP="002F3B20">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22" w:history="1">
        <w:r>
          <w:rPr>
            <w:rStyle w:val="Hyperlink"/>
            <w:noProof/>
            <w:sz w:val="24"/>
          </w:rPr>
          <w:t>Table 8:</w:t>
        </w:r>
        <w:r>
          <w:rPr>
            <w:rFonts w:asciiTheme="minorHAnsi" w:eastAsiaTheme="minorEastAsia" w:hAnsiTheme="minorHAnsi" w:cstheme="minorBidi"/>
            <w:noProof/>
            <w:color w:val="auto"/>
            <w:kern w:val="2"/>
            <w:lang w:val="en-US"/>
            <w14:ligatures w14:val="standardContextual"/>
          </w:rPr>
          <w:tab/>
        </w:r>
        <w:r>
          <w:rPr>
            <w:rStyle w:val="Hyperlink"/>
            <w:noProof/>
            <w:sz w:val="24"/>
          </w:rPr>
          <w:t>Comparison of non-permanent CCU policy measures</w:t>
        </w:r>
        <w:r>
          <w:rPr>
            <w:noProof/>
            <w:webHidden/>
          </w:rPr>
          <w:tab/>
        </w:r>
        <w:r>
          <w:rPr>
            <w:noProof/>
            <w:webHidden/>
          </w:rPr>
          <w:fldChar w:fldCharType="begin"/>
        </w:r>
        <w:r>
          <w:rPr>
            <w:noProof/>
            <w:webHidden/>
          </w:rPr>
          <w:instrText xml:space="preserve"> PAGEREF _Toc222740722 \h </w:instrText>
        </w:r>
        <w:r>
          <w:rPr>
            <w:noProof/>
            <w:webHidden/>
          </w:rPr>
        </w:r>
        <w:r>
          <w:rPr>
            <w:noProof/>
            <w:webHidden/>
          </w:rPr>
          <w:fldChar w:fldCharType="separate"/>
        </w:r>
        <w:r>
          <w:rPr>
            <w:noProof/>
            <w:webHidden/>
          </w:rPr>
          <w:t>154</w:t>
        </w:r>
        <w:r>
          <w:rPr>
            <w:noProof/>
            <w:webHidden/>
          </w:rPr>
          <w:fldChar w:fldCharType="end"/>
        </w:r>
      </w:hyperlink>
    </w:p>
    <w:p w14:paraId="2C1601BB" w14:textId="77777777" w:rsidR="009010D9" w:rsidRPr="009010D9" w:rsidRDefault="009010D9" w:rsidP="002F3B20">
      <w:pPr>
        <w:pStyle w:val="Heading1COM"/>
        <w:numPr>
          <w:ilvl w:val="0"/>
          <w:numId w:val="0"/>
        </w:numPr>
        <w:ind w:left="360" w:hanging="360"/>
        <w:outlineLvl w:val="1"/>
        <w:rPr>
          <w:noProof/>
        </w:rPr>
      </w:pPr>
      <w:r>
        <w:rPr>
          <w:noProof/>
          <w:sz w:val="24"/>
          <w:szCs w:val="24"/>
        </w:rPr>
        <w:fldChar w:fldCharType="end"/>
      </w:r>
      <w:bookmarkStart w:id="617" w:name="_Toc230861513"/>
      <w:bookmarkStart w:id="618" w:name="_Toc232751135"/>
      <w:r w:rsidRPr="009010D9">
        <w:rPr>
          <w:noProof/>
        </w:rPr>
        <w:t>List of Figures</w:t>
      </w:r>
      <w:bookmarkEnd w:id="617"/>
      <w:bookmarkEnd w:id="618"/>
    </w:p>
    <w:bookmarkStart w:id="619" w:name="_Ref199739339"/>
    <w:bookmarkStart w:id="620" w:name="_Toc211284563"/>
    <w:p w14:paraId="19FF724D" w14:textId="77777777" w:rsidR="00CC4F8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r>
        <w:rPr>
          <w:noProof/>
        </w:rPr>
        <w:fldChar w:fldCharType="begin"/>
      </w:r>
      <w:r>
        <w:rPr>
          <w:noProof/>
        </w:rPr>
        <w:instrText xml:space="preserve"> TOC \h \z \t "Figure title" \c </w:instrText>
      </w:r>
      <w:r>
        <w:rPr>
          <w:noProof/>
        </w:rPr>
        <w:fldChar w:fldCharType="separate"/>
      </w:r>
      <w:hyperlink w:anchor="_Toc222740770" w:history="1">
        <w:r>
          <w:rPr>
            <w:rStyle w:val="Hyperlink"/>
            <w:noProof/>
            <w:sz w:val="24"/>
          </w:rPr>
          <w:t>Figure 1:</w:t>
        </w:r>
        <w:r>
          <w:rPr>
            <w:rFonts w:asciiTheme="minorHAnsi" w:eastAsiaTheme="minorEastAsia" w:hAnsiTheme="minorHAnsi" w:cstheme="minorBidi"/>
            <w:noProof/>
            <w:color w:val="auto"/>
            <w:kern w:val="2"/>
            <w:lang w:val="en-US"/>
            <w14:ligatures w14:val="standardContextual"/>
          </w:rPr>
          <w:tab/>
        </w:r>
        <w:r>
          <w:rPr>
            <w:rStyle w:val="Hyperlink"/>
            <w:noProof/>
            <w:sz w:val="24"/>
          </w:rPr>
          <w:t>Municipal waste per capita by treatment category in the EU (1995-2023)</w:t>
        </w:r>
        <w:r>
          <w:rPr>
            <w:noProof/>
            <w:webHidden/>
          </w:rPr>
          <w:tab/>
        </w:r>
        <w:r>
          <w:rPr>
            <w:noProof/>
            <w:webHidden/>
          </w:rPr>
          <w:fldChar w:fldCharType="begin"/>
        </w:r>
        <w:r>
          <w:rPr>
            <w:noProof/>
            <w:webHidden/>
          </w:rPr>
          <w:instrText xml:space="preserve"> PAGEREF _Toc222740770 \h </w:instrText>
        </w:r>
        <w:r>
          <w:rPr>
            <w:noProof/>
            <w:webHidden/>
          </w:rPr>
        </w:r>
        <w:r>
          <w:rPr>
            <w:noProof/>
            <w:webHidden/>
          </w:rPr>
          <w:fldChar w:fldCharType="separate"/>
        </w:r>
        <w:r>
          <w:rPr>
            <w:noProof/>
            <w:webHidden/>
          </w:rPr>
          <w:t>72</w:t>
        </w:r>
        <w:r>
          <w:rPr>
            <w:noProof/>
            <w:webHidden/>
          </w:rPr>
          <w:fldChar w:fldCharType="end"/>
        </w:r>
      </w:hyperlink>
    </w:p>
    <w:p w14:paraId="25100A61" w14:textId="534DC0F0"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71" w:history="1">
        <w:r>
          <w:rPr>
            <w:rStyle w:val="Hyperlink"/>
            <w:noProof/>
            <w:sz w:val="24"/>
          </w:rPr>
          <w:t>Figure 2:</w:t>
        </w:r>
        <w:r>
          <w:rPr>
            <w:rFonts w:asciiTheme="minorHAnsi" w:eastAsiaTheme="minorEastAsia" w:hAnsiTheme="minorHAnsi" w:cstheme="minorBidi"/>
            <w:noProof/>
            <w:color w:val="auto"/>
            <w:kern w:val="2"/>
            <w:lang w:val="en-US"/>
            <w14:ligatures w14:val="standardContextual"/>
          </w:rPr>
          <w:tab/>
        </w:r>
        <w:r>
          <w:rPr>
            <w:rStyle w:val="Hyperlink"/>
            <w:noProof/>
            <w:sz w:val="24"/>
          </w:rPr>
          <w:t>Number of Waste-to-Energy plants and volume treated by country.</w:t>
        </w:r>
        <w:r>
          <w:rPr>
            <w:noProof/>
            <w:webHidden/>
          </w:rPr>
          <w:tab/>
        </w:r>
        <w:r>
          <w:rPr>
            <w:noProof/>
            <w:webHidden/>
          </w:rPr>
          <w:fldChar w:fldCharType="begin"/>
        </w:r>
        <w:r>
          <w:rPr>
            <w:noProof/>
            <w:webHidden/>
          </w:rPr>
          <w:instrText xml:space="preserve"> PAGEREF _Toc222740771 \h </w:instrText>
        </w:r>
        <w:r>
          <w:rPr>
            <w:noProof/>
            <w:webHidden/>
          </w:rPr>
        </w:r>
        <w:r>
          <w:rPr>
            <w:noProof/>
            <w:webHidden/>
          </w:rPr>
          <w:fldChar w:fldCharType="separate"/>
        </w:r>
        <w:r>
          <w:rPr>
            <w:noProof/>
            <w:webHidden/>
          </w:rPr>
          <w:t>73</w:t>
        </w:r>
        <w:r>
          <w:rPr>
            <w:noProof/>
            <w:webHidden/>
          </w:rPr>
          <w:fldChar w:fldCharType="end"/>
        </w:r>
      </w:hyperlink>
    </w:p>
    <w:p w14:paraId="736AF6FD" w14:textId="2560638B"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72" w:history="1">
        <w:r>
          <w:rPr>
            <w:rStyle w:val="Hyperlink"/>
            <w:noProof/>
            <w:sz w:val="24"/>
          </w:rPr>
          <w:t>Figure 3:</w:t>
        </w:r>
        <w:r>
          <w:rPr>
            <w:rFonts w:asciiTheme="minorHAnsi" w:eastAsiaTheme="minorEastAsia" w:hAnsiTheme="minorHAnsi" w:cstheme="minorBidi"/>
            <w:noProof/>
            <w:color w:val="auto"/>
            <w:kern w:val="2"/>
            <w:lang w:val="en-US"/>
            <w14:ligatures w14:val="standardContextual"/>
          </w:rPr>
          <w:tab/>
        </w:r>
        <w:r>
          <w:rPr>
            <w:rStyle w:val="Hyperlink"/>
            <w:noProof/>
            <w:sz w:val="24"/>
          </w:rPr>
          <w:t>Share of municipal waste disposed through landfill by EU Member State (2010 vs 2023)</w:t>
        </w:r>
        <w:r>
          <w:rPr>
            <w:noProof/>
            <w:webHidden/>
          </w:rPr>
          <w:tab/>
        </w:r>
        <w:r>
          <w:rPr>
            <w:noProof/>
            <w:webHidden/>
          </w:rPr>
          <w:fldChar w:fldCharType="begin"/>
        </w:r>
        <w:r>
          <w:rPr>
            <w:noProof/>
            <w:webHidden/>
          </w:rPr>
          <w:instrText xml:space="preserve"> PAGEREF _Toc222740772 \h </w:instrText>
        </w:r>
        <w:r>
          <w:rPr>
            <w:noProof/>
            <w:webHidden/>
          </w:rPr>
        </w:r>
        <w:r>
          <w:rPr>
            <w:noProof/>
            <w:webHidden/>
          </w:rPr>
          <w:fldChar w:fldCharType="separate"/>
        </w:r>
        <w:r>
          <w:rPr>
            <w:noProof/>
            <w:webHidden/>
          </w:rPr>
          <w:t>76</w:t>
        </w:r>
        <w:r>
          <w:rPr>
            <w:noProof/>
            <w:webHidden/>
          </w:rPr>
          <w:fldChar w:fldCharType="end"/>
        </w:r>
      </w:hyperlink>
    </w:p>
    <w:p w14:paraId="69923A40" w14:textId="4F40275A" w:rsidR="009010D9" w:rsidRPr="00B11367" w:rsidRDefault="009010D9">
      <w:pPr>
        <w:pStyle w:val="TableofFigures"/>
        <w:tabs>
          <w:tab w:val="right" w:leader="dot" w:pos="9538"/>
        </w:tabs>
        <w:rPr>
          <w:rFonts w:asciiTheme="minorHAnsi" w:eastAsiaTheme="minorEastAsia" w:hAnsiTheme="minorHAnsi" w:cstheme="minorBidi"/>
          <w:noProof/>
          <w:color w:val="auto"/>
          <w:kern w:val="2"/>
          <w:lang w:val="en-US"/>
          <w14:ligatures w14:val="standardContextual"/>
        </w:rPr>
      </w:pPr>
      <w:hyperlink w:anchor="_Toc222740773" w:history="1">
        <w:r>
          <w:rPr>
            <w:rStyle w:val="Hyperlink"/>
            <w:noProof/>
            <w:sz w:val="24"/>
          </w:rPr>
          <w:t>Figure 4: Municipal waste recycling rates in 2010 and 2022 (EEA, 2024)</w:t>
        </w:r>
        <w:r>
          <w:rPr>
            <w:rStyle w:val="Hyperlink"/>
            <w:noProof/>
            <w:sz w:val="24"/>
          </w:rPr>
          <w:tab/>
          <w:t>27</w:t>
        </w:r>
      </w:hyperlink>
    </w:p>
    <w:p w14:paraId="29D18A49" w14:textId="57C4AEB4" w:rsidR="009010D9" w:rsidRPr="00B11367" w:rsidRDefault="009010D9">
      <w:pPr>
        <w:pStyle w:val="TableofFigures"/>
        <w:tabs>
          <w:tab w:val="right" w:leader="dot" w:pos="9538"/>
        </w:tabs>
        <w:rPr>
          <w:rFonts w:asciiTheme="minorHAnsi" w:eastAsiaTheme="minorEastAsia" w:hAnsiTheme="minorHAnsi" w:cstheme="minorBidi"/>
          <w:noProof/>
          <w:color w:val="auto"/>
          <w:kern w:val="2"/>
          <w:lang w:val="en-US"/>
          <w14:ligatures w14:val="standardContextual"/>
        </w:rPr>
      </w:pPr>
      <w:hyperlink w:anchor="_Toc222740775" w:history="1">
        <w:r>
          <w:rPr>
            <w:rStyle w:val="Hyperlink"/>
            <w:noProof/>
            <w:sz w:val="24"/>
          </w:rPr>
          <w:t>Figure 5: Municipal waste per capita and treatment methods (in kg, 2023)</w:t>
        </w:r>
        <w:r>
          <w:rPr>
            <w:noProof/>
            <w:webHidden/>
          </w:rPr>
          <w:tab/>
        </w:r>
        <w:r>
          <w:rPr>
            <w:noProof/>
            <w:webHidden/>
          </w:rPr>
          <w:fldChar w:fldCharType="begin"/>
        </w:r>
        <w:r>
          <w:rPr>
            <w:noProof/>
            <w:webHidden/>
          </w:rPr>
          <w:instrText xml:space="preserve"> PAGEREF _Toc222740775 \h </w:instrText>
        </w:r>
        <w:r>
          <w:rPr>
            <w:noProof/>
            <w:webHidden/>
          </w:rPr>
        </w:r>
        <w:r>
          <w:rPr>
            <w:noProof/>
            <w:webHidden/>
          </w:rPr>
          <w:fldChar w:fldCharType="separate"/>
        </w:r>
        <w:r>
          <w:rPr>
            <w:noProof/>
            <w:webHidden/>
          </w:rPr>
          <w:t>94</w:t>
        </w:r>
        <w:r>
          <w:rPr>
            <w:noProof/>
            <w:webHidden/>
          </w:rPr>
          <w:fldChar w:fldCharType="end"/>
        </w:r>
      </w:hyperlink>
    </w:p>
    <w:p w14:paraId="66B2CE9C" w14:textId="22BA1D55"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76" w:history="1">
        <w:r>
          <w:rPr>
            <w:rStyle w:val="Hyperlink"/>
            <w:noProof/>
            <w:sz w:val="24"/>
          </w:rPr>
          <w:t>Figure 6:</w:t>
        </w:r>
        <w:r>
          <w:rPr>
            <w:rFonts w:asciiTheme="minorHAnsi" w:eastAsiaTheme="minorEastAsia" w:hAnsiTheme="minorHAnsi" w:cstheme="minorBidi"/>
            <w:noProof/>
            <w:color w:val="auto"/>
            <w:kern w:val="2"/>
            <w:lang w:val="en-US"/>
            <w14:ligatures w14:val="standardContextual"/>
          </w:rPr>
          <w:tab/>
        </w:r>
        <w:r>
          <w:rPr>
            <w:rStyle w:val="Hyperlink"/>
            <w:noProof/>
            <w:sz w:val="24"/>
          </w:rPr>
          <w:t>Emissions and number of installations reported under the scope of the EU ETS MRV obligation for combustion of fuels in installations for the incineration of municipal waste (2024).</w:t>
        </w:r>
        <w:r>
          <w:rPr>
            <w:noProof/>
            <w:webHidden/>
          </w:rPr>
          <w:tab/>
        </w:r>
        <w:r>
          <w:rPr>
            <w:noProof/>
            <w:webHidden/>
          </w:rPr>
          <w:fldChar w:fldCharType="begin"/>
        </w:r>
        <w:r>
          <w:rPr>
            <w:noProof/>
            <w:webHidden/>
          </w:rPr>
          <w:instrText xml:space="preserve"> PAGEREF _Toc222740776 \h </w:instrText>
        </w:r>
        <w:r>
          <w:rPr>
            <w:noProof/>
            <w:webHidden/>
          </w:rPr>
        </w:r>
        <w:r>
          <w:rPr>
            <w:noProof/>
            <w:webHidden/>
          </w:rPr>
          <w:fldChar w:fldCharType="separate"/>
        </w:r>
        <w:r>
          <w:rPr>
            <w:noProof/>
            <w:webHidden/>
          </w:rPr>
          <w:t>112</w:t>
        </w:r>
        <w:r>
          <w:rPr>
            <w:noProof/>
            <w:webHidden/>
          </w:rPr>
          <w:fldChar w:fldCharType="end"/>
        </w:r>
      </w:hyperlink>
    </w:p>
    <w:p w14:paraId="74AD2A6F" w14:textId="72B901C9"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77" w:history="1">
        <w:r>
          <w:rPr>
            <w:rStyle w:val="Hyperlink"/>
            <w:noProof/>
            <w:sz w:val="24"/>
          </w:rPr>
          <w:t>Figure 7:</w:t>
        </w:r>
        <w:r>
          <w:rPr>
            <w:rFonts w:asciiTheme="minorHAnsi" w:eastAsiaTheme="minorEastAsia" w:hAnsiTheme="minorHAnsi" w:cstheme="minorBidi"/>
            <w:noProof/>
            <w:color w:val="auto"/>
            <w:kern w:val="2"/>
            <w:lang w:val="en-US"/>
            <w14:ligatures w14:val="standardContextual"/>
          </w:rPr>
          <w:tab/>
        </w:r>
        <w:r>
          <w:rPr>
            <w:rStyle w:val="Hyperlink"/>
            <w:noProof/>
            <w:sz w:val="24"/>
          </w:rPr>
          <w:t>Concept of Renewable Carbon</w:t>
        </w:r>
        <w:r>
          <w:rPr>
            <w:noProof/>
            <w:webHidden/>
          </w:rPr>
          <w:tab/>
        </w:r>
        <w:r>
          <w:rPr>
            <w:noProof/>
            <w:webHidden/>
          </w:rPr>
          <w:fldChar w:fldCharType="begin"/>
        </w:r>
        <w:r>
          <w:rPr>
            <w:noProof/>
            <w:webHidden/>
          </w:rPr>
          <w:instrText xml:space="preserve"> PAGEREF _Toc222740777 \h </w:instrText>
        </w:r>
        <w:r>
          <w:rPr>
            <w:noProof/>
            <w:webHidden/>
          </w:rPr>
        </w:r>
        <w:r>
          <w:rPr>
            <w:noProof/>
            <w:webHidden/>
          </w:rPr>
          <w:fldChar w:fldCharType="separate"/>
        </w:r>
        <w:r>
          <w:rPr>
            <w:noProof/>
            <w:webHidden/>
          </w:rPr>
          <w:t>128</w:t>
        </w:r>
        <w:r>
          <w:rPr>
            <w:noProof/>
            <w:webHidden/>
          </w:rPr>
          <w:fldChar w:fldCharType="end"/>
        </w:r>
      </w:hyperlink>
    </w:p>
    <w:p w14:paraId="3241D684" w14:textId="58A476EA"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78" w:history="1">
        <w:r>
          <w:rPr>
            <w:rStyle w:val="Hyperlink"/>
            <w:noProof/>
            <w:sz w:val="24"/>
          </w:rPr>
          <w:t>Figure 8:</w:t>
        </w:r>
        <w:r>
          <w:rPr>
            <w:rFonts w:asciiTheme="minorHAnsi" w:eastAsiaTheme="minorEastAsia" w:hAnsiTheme="minorHAnsi" w:cstheme="minorBidi"/>
            <w:noProof/>
            <w:color w:val="auto"/>
            <w:kern w:val="2"/>
            <w:lang w:val="en-US"/>
            <w14:ligatures w14:val="standardContextual"/>
          </w:rPr>
          <w:tab/>
        </w:r>
        <w:r>
          <w:rPr>
            <w:rStyle w:val="Hyperlink"/>
            <w:noProof/>
            <w:sz w:val="24"/>
          </w:rPr>
          <w:t>Overview CCU technology pathways for chemicals and polymers</w:t>
        </w:r>
        <w:r>
          <w:rPr>
            <w:noProof/>
            <w:webHidden/>
          </w:rPr>
          <w:tab/>
        </w:r>
        <w:r>
          <w:rPr>
            <w:noProof/>
            <w:webHidden/>
          </w:rPr>
          <w:fldChar w:fldCharType="begin"/>
        </w:r>
        <w:r>
          <w:rPr>
            <w:noProof/>
            <w:webHidden/>
          </w:rPr>
          <w:instrText xml:space="preserve"> PAGEREF _Toc222740778 \h </w:instrText>
        </w:r>
        <w:r>
          <w:rPr>
            <w:noProof/>
            <w:webHidden/>
          </w:rPr>
        </w:r>
        <w:r>
          <w:rPr>
            <w:noProof/>
            <w:webHidden/>
          </w:rPr>
          <w:fldChar w:fldCharType="separate"/>
        </w:r>
        <w:r>
          <w:rPr>
            <w:noProof/>
            <w:webHidden/>
          </w:rPr>
          <w:t>129</w:t>
        </w:r>
        <w:r>
          <w:rPr>
            <w:noProof/>
            <w:webHidden/>
          </w:rPr>
          <w:fldChar w:fldCharType="end"/>
        </w:r>
      </w:hyperlink>
    </w:p>
    <w:p w14:paraId="22CF58E7" w14:textId="191BD2C6"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79" w:history="1">
        <w:r>
          <w:rPr>
            <w:rStyle w:val="Hyperlink"/>
            <w:noProof/>
            <w:sz w:val="24"/>
          </w:rPr>
          <w:t>Figure 9:</w:t>
        </w:r>
        <w:r>
          <w:rPr>
            <w:rFonts w:asciiTheme="minorHAnsi" w:eastAsiaTheme="minorEastAsia" w:hAnsiTheme="minorHAnsi" w:cstheme="minorBidi"/>
            <w:noProof/>
            <w:color w:val="auto"/>
            <w:kern w:val="2"/>
            <w:lang w:val="en-US"/>
            <w14:ligatures w14:val="standardContextual"/>
          </w:rPr>
          <w:tab/>
        </w:r>
        <w:r>
          <w:rPr>
            <w:rStyle w:val="Hyperlink"/>
            <w:noProof/>
            <w:sz w:val="24"/>
          </w:rPr>
          <w:t>Simplified illustration of upstream accounting in ETS context</w:t>
        </w:r>
        <w:r>
          <w:rPr>
            <w:noProof/>
            <w:webHidden/>
          </w:rPr>
          <w:tab/>
        </w:r>
        <w:r>
          <w:rPr>
            <w:noProof/>
            <w:webHidden/>
          </w:rPr>
          <w:fldChar w:fldCharType="begin"/>
        </w:r>
        <w:r>
          <w:rPr>
            <w:noProof/>
            <w:webHidden/>
          </w:rPr>
          <w:instrText xml:space="preserve"> PAGEREF _Toc222740779 \h </w:instrText>
        </w:r>
        <w:r>
          <w:rPr>
            <w:noProof/>
            <w:webHidden/>
          </w:rPr>
        </w:r>
        <w:r>
          <w:rPr>
            <w:noProof/>
            <w:webHidden/>
          </w:rPr>
          <w:fldChar w:fldCharType="separate"/>
        </w:r>
        <w:r>
          <w:rPr>
            <w:noProof/>
            <w:webHidden/>
          </w:rPr>
          <w:t>130</w:t>
        </w:r>
        <w:r>
          <w:rPr>
            <w:noProof/>
            <w:webHidden/>
          </w:rPr>
          <w:fldChar w:fldCharType="end"/>
        </w:r>
      </w:hyperlink>
    </w:p>
    <w:p w14:paraId="07924C52" w14:textId="00E0E3C3"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80" w:history="1">
        <w:r>
          <w:rPr>
            <w:rStyle w:val="Hyperlink"/>
            <w:noProof/>
            <w:sz w:val="24"/>
          </w:rPr>
          <w:t>Figure 10:</w:t>
        </w:r>
        <w:r>
          <w:rPr>
            <w:rFonts w:asciiTheme="minorHAnsi" w:eastAsiaTheme="minorEastAsia" w:hAnsiTheme="minorHAnsi" w:cstheme="minorBidi"/>
            <w:noProof/>
            <w:color w:val="auto"/>
            <w:kern w:val="2"/>
            <w:lang w:val="en-US"/>
            <w14:ligatures w14:val="standardContextual"/>
          </w:rPr>
          <w:tab/>
        </w:r>
        <w:r>
          <w:rPr>
            <w:rStyle w:val="Hyperlink"/>
            <w:noProof/>
            <w:sz w:val="24"/>
          </w:rPr>
          <w:t>Simplified illustration of downstream accounting in ETS context</w:t>
        </w:r>
        <w:r>
          <w:rPr>
            <w:noProof/>
            <w:webHidden/>
          </w:rPr>
          <w:tab/>
        </w:r>
        <w:r>
          <w:rPr>
            <w:noProof/>
            <w:webHidden/>
          </w:rPr>
          <w:fldChar w:fldCharType="begin"/>
        </w:r>
        <w:r>
          <w:rPr>
            <w:noProof/>
            <w:webHidden/>
          </w:rPr>
          <w:instrText xml:space="preserve"> PAGEREF _Toc222740780 \h </w:instrText>
        </w:r>
        <w:r>
          <w:rPr>
            <w:noProof/>
            <w:webHidden/>
          </w:rPr>
        </w:r>
        <w:r>
          <w:rPr>
            <w:noProof/>
            <w:webHidden/>
          </w:rPr>
          <w:fldChar w:fldCharType="separate"/>
        </w:r>
        <w:r>
          <w:rPr>
            <w:noProof/>
            <w:webHidden/>
          </w:rPr>
          <w:t>131</w:t>
        </w:r>
        <w:r>
          <w:rPr>
            <w:noProof/>
            <w:webHidden/>
          </w:rPr>
          <w:fldChar w:fldCharType="end"/>
        </w:r>
      </w:hyperlink>
    </w:p>
    <w:p w14:paraId="12869453" w14:textId="7D035CB0"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81" w:history="1">
        <w:r>
          <w:rPr>
            <w:rStyle w:val="Hyperlink"/>
            <w:noProof/>
            <w:sz w:val="24"/>
          </w:rPr>
          <w:t>Figure 11:</w:t>
        </w:r>
        <w:r>
          <w:rPr>
            <w:rFonts w:asciiTheme="minorHAnsi" w:eastAsiaTheme="minorEastAsia" w:hAnsiTheme="minorHAnsi" w:cstheme="minorBidi"/>
            <w:noProof/>
            <w:color w:val="auto"/>
            <w:kern w:val="2"/>
            <w:lang w:val="en-US"/>
            <w14:ligatures w14:val="standardContextual"/>
          </w:rPr>
          <w:tab/>
        </w:r>
        <w:r>
          <w:rPr>
            <w:rStyle w:val="Hyperlink"/>
            <w:noProof/>
            <w:sz w:val="24"/>
          </w:rPr>
          <w:t>Simplified illustration of hybrid downstream and midstream accounting in ETS context</w:t>
        </w:r>
        <w:r>
          <w:rPr>
            <w:noProof/>
            <w:webHidden/>
          </w:rPr>
          <w:tab/>
        </w:r>
        <w:r>
          <w:rPr>
            <w:noProof/>
            <w:webHidden/>
          </w:rPr>
          <w:fldChar w:fldCharType="begin"/>
        </w:r>
        <w:r>
          <w:rPr>
            <w:noProof/>
            <w:webHidden/>
          </w:rPr>
          <w:instrText xml:space="preserve"> PAGEREF _Toc222740781 \h </w:instrText>
        </w:r>
        <w:r>
          <w:rPr>
            <w:noProof/>
            <w:webHidden/>
          </w:rPr>
        </w:r>
        <w:r>
          <w:rPr>
            <w:noProof/>
            <w:webHidden/>
          </w:rPr>
          <w:fldChar w:fldCharType="separate"/>
        </w:r>
        <w:r>
          <w:rPr>
            <w:noProof/>
            <w:webHidden/>
          </w:rPr>
          <w:t>131</w:t>
        </w:r>
        <w:r>
          <w:rPr>
            <w:noProof/>
            <w:webHidden/>
          </w:rPr>
          <w:fldChar w:fldCharType="end"/>
        </w:r>
      </w:hyperlink>
    </w:p>
    <w:p w14:paraId="4FF4DFE9" w14:textId="532419A4" w:rsidR="009010D9" w:rsidRPr="00B11367" w:rsidRDefault="009010D9">
      <w:pPr>
        <w:pStyle w:val="TableofFigures"/>
        <w:tabs>
          <w:tab w:val="left" w:pos="1418"/>
          <w:tab w:val="right" w:leader="dot" w:pos="9538"/>
        </w:tabs>
        <w:rPr>
          <w:rFonts w:asciiTheme="minorHAnsi" w:eastAsiaTheme="minorEastAsia" w:hAnsiTheme="minorHAnsi" w:cstheme="minorBidi"/>
          <w:noProof/>
          <w:color w:val="auto"/>
          <w:kern w:val="2"/>
          <w:lang w:val="en-US"/>
          <w14:ligatures w14:val="standardContextual"/>
        </w:rPr>
      </w:pPr>
      <w:hyperlink w:anchor="_Toc222740782" w:history="1">
        <w:r>
          <w:rPr>
            <w:rStyle w:val="Hyperlink"/>
            <w:noProof/>
            <w:sz w:val="24"/>
          </w:rPr>
          <w:t>Figure 12:</w:t>
        </w:r>
        <w:r>
          <w:rPr>
            <w:rFonts w:asciiTheme="minorHAnsi" w:eastAsiaTheme="minorEastAsia" w:hAnsiTheme="minorHAnsi" w:cstheme="minorBidi"/>
            <w:noProof/>
            <w:color w:val="auto"/>
            <w:kern w:val="2"/>
            <w:lang w:val="en-US"/>
            <w14:ligatures w14:val="standardContextual"/>
          </w:rPr>
          <w:tab/>
        </w:r>
        <w:r>
          <w:rPr>
            <w:rStyle w:val="Hyperlink"/>
            <w:noProof/>
            <w:sz w:val="24"/>
          </w:rPr>
          <w:t>CO2 flows in PO2 scenario for 2040</w:t>
        </w:r>
        <w:r>
          <w:rPr>
            <w:noProof/>
            <w:webHidden/>
          </w:rPr>
          <w:tab/>
        </w:r>
        <w:r>
          <w:rPr>
            <w:noProof/>
            <w:webHidden/>
          </w:rPr>
          <w:fldChar w:fldCharType="begin"/>
        </w:r>
        <w:r>
          <w:rPr>
            <w:noProof/>
            <w:webHidden/>
          </w:rPr>
          <w:instrText xml:space="preserve"> PAGEREF _Toc222740782 \h </w:instrText>
        </w:r>
        <w:r>
          <w:rPr>
            <w:noProof/>
            <w:webHidden/>
          </w:rPr>
        </w:r>
        <w:r>
          <w:rPr>
            <w:noProof/>
            <w:webHidden/>
          </w:rPr>
          <w:fldChar w:fldCharType="separate"/>
        </w:r>
        <w:r>
          <w:rPr>
            <w:noProof/>
            <w:webHidden/>
          </w:rPr>
          <w:t>138</w:t>
        </w:r>
        <w:r>
          <w:rPr>
            <w:noProof/>
            <w:webHidden/>
          </w:rPr>
          <w:fldChar w:fldCharType="end"/>
        </w:r>
      </w:hyperlink>
    </w:p>
    <w:p w14:paraId="003ECA7C" w14:textId="77777777" w:rsidR="009010D9" w:rsidRPr="003D3BB3" w:rsidRDefault="009010D9">
      <w:pPr>
        <w:rPr>
          <w:rFonts w:eastAsia="Times New Roman"/>
          <w:noProof/>
          <w:color w:val="auto"/>
          <w:sz w:val="28"/>
          <w:szCs w:val="22"/>
        </w:rPr>
      </w:pPr>
      <w:r>
        <w:rPr>
          <w:noProof/>
        </w:rPr>
        <w:fldChar w:fldCharType="end"/>
      </w:r>
      <w:r w:rsidRPr="003D3BB3">
        <w:rPr>
          <w:noProof/>
        </w:rPr>
        <w:br w:type="page"/>
      </w:r>
    </w:p>
    <w:p w14:paraId="03EAAC8D" w14:textId="77777777" w:rsidR="009010D9" w:rsidRPr="003D3BB3" w:rsidRDefault="009010D9" w:rsidP="0039571B">
      <w:pPr>
        <w:pStyle w:val="Heading1COM"/>
        <w:numPr>
          <w:ilvl w:val="0"/>
          <w:numId w:val="60"/>
        </w:numPr>
        <w:outlineLvl w:val="1"/>
        <w:rPr>
          <w:noProof/>
        </w:rPr>
      </w:pPr>
      <w:bookmarkStart w:id="621" w:name="_Toc212426410"/>
      <w:bookmarkStart w:id="622" w:name="_Toc953825631"/>
      <w:bookmarkStart w:id="623" w:name="_Toc230861514"/>
      <w:bookmarkStart w:id="624" w:name="_Toc232751136"/>
      <w:r w:rsidRPr="003D3BB3">
        <w:rPr>
          <w:noProof/>
        </w:rPr>
        <w:t>Waste</w:t>
      </w:r>
      <w:bookmarkEnd w:id="619"/>
      <w:bookmarkEnd w:id="620"/>
      <w:bookmarkEnd w:id="621"/>
      <w:bookmarkEnd w:id="622"/>
      <w:bookmarkEnd w:id="623"/>
      <w:bookmarkEnd w:id="624"/>
    </w:p>
    <w:p w14:paraId="5CEA44DC" w14:textId="77777777" w:rsidR="009010D9" w:rsidRPr="003D3BB3" w:rsidRDefault="009010D9" w:rsidP="002F3B20">
      <w:pPr>
        <w:pStyle w:val="Heading2COM"/>
        <w:outlineLvl w:val="2"/>
        <w15:collapsed w:val="0"/>
        <w:rPr>
          <w:noProof/>
        </w:rPr>
      </w:pPr>
      <w:bookmarkStart w:id="625" w:name="_Toc211284564"/>
      <w:bookmarkStart w:id="626" w:name="_Toc212426411"/>
      <w:bookmarkStart w:id="627" w:name="_Toc1374293063"/>
      <w:bookmarkStart w:id="628" w:name="_Toc230861515"/>
      <w:bookmarkStart w:id="629" w:name="_Toc232751137"/>
      <w:r w:rsidRPr="003D3BB3">
        <w:rPr>
          <w:noProof/>
        </w:rPr>
        <w:t>Overview</w:t>
      </w:r>
      <w:bookmarkEnd w:id="625"/>
      <w:bookmarkEnd w:id="626"/>
      <w:bookmarkEnd w:id="627"/>
      <w:bookmarkEnd w:id="628"/>
      <w:bookmarkEnd w:id="629"/>
    </w:p>
    <w:p w14:paraId="22609782" w14:textId="77777777" w:rsidR="009010D9" w:rsidRDefault="009010D9" w:rsidP="00A773E0">
      <w:pPr>
        <w:rPr>
          <w:noProof/>
        </w:rPr>
      </w:pPr>
      <w:r w:rsidRPr="000E60A3">
        <w:rPr>
          <w:noProof/>
        </w:rPr>
        <w:t xml:space="preserve">The EU generates around 2.5 billion tonnes of waste per year, </w:t>
      </w:r>
      <w:r>
        <w:rPr>
          <w:noProof/>
        </w:rPr>
        <w:t>around</w:t>
      </w:r>
      <w:r w:rsidRPr="000E60A3">
        <w:rPr>
          <w:noProof/>
        </w:rPr>
        <w:t xml:space="preserve"> 5 tonnes annually per person</w:t>
      </w:r>
      <w:r>
        <w:rPr>
          <w:rStyle w:val="FootnoteReference"/>
          <w:noProof/>
        </w:rPr>
        <w:footnoteReference w:id="44"/>
      </w:r>
      <w:r>
        <w:rPr>
          <w:noProof/>
        </w:rPr>
        <w:t xml:space="preserve">, with emissions from waste management processes responsible for approximately 6% of the EU’s GHG emissions in 2023. While the waste sector as defined by the IPCC’s 2006 guidelines was responsible for more than 3.5% or 109 MtCO2eq </w:t>
      </w:r>
      <w:r w:rsidRPr="00E60321">
        <w:rPr>
          <w:noProof/>
        </w:rPr>
        <w:t xml:space="preserve">of </w:t>
      </w:r>
      <w:r>
        <w:rPr>
          <w:noProof/>
        </w:rPr>
        <w:t xml:space="preserve">EU </w:t>
      </w:r>
      <w:r w:rsidRPr="00E60321">
        <w:rPr>
          <w:noProof/>
        </w:rPr>
        <w:t>GHG emissions in 2023</w:t>
      </w:r>
      <w:r>
        <w:rPr>
          <w:rStyle w:val="FootnoteReference"/>
          <w:noProof/>
        </w:rPr>
        <w:footnoteReference w:id="45"/>
      </w:r>
      <w:r>
        <w:rPr>
          <w:noProof/>
        </w:rPr>
        <w:t>, this excludes e</w:t>
      </w:r>
      <w:r w:rsidRPr="007A34C9">
        <w:rPr>
          <w:noProof/>
        </w:rPr>
        <w:t xml:space="preserve">missions from </w:t>
      </w:r>
      <w:r>
        <w:rPr>
          <w:noProof/>
        </w:rPr>
        <w:t>waste incineration with energy recovery, which have been estimated to be almost similar in size</w:t>
      </w:r>
      <w:r>
        <w:rPr>
          <w:rStyle w:val="FootnoteReference"/>
          <w:noProof/>
        </w:rPr>
        <w:footnoteReference w:id="46"/>
      </w:r>
      <w:r w:rsidRPr="00E60321">
        <w:rPr>
          <w:noProof/>
        </w:rPr>
        <w:t xml:space="preserve">. </w:t>
      </w:r>
    </w:p>
    <w:p w14:paraId="6EA112EA" w14:textId="77777777" w:rsidR="009010D9" w:rsidRDefault="009010D9" w:rsidP="00A773E0">
      <w:pPr>
        <w:rPr>
          <w:noProof/>
        </w:rPr>
      </w:pPr>
      <w:r>
        <w:rPr>
          <w:noProof/>
        </w:rPr>
        <w:t>The waste management sector includes a range of operations: material recovery (reuse and recycling – chemical and mechanical), composting and anaerobic digestion, and disposal (landfill and incineration) with or without energy recovery. GHG emissions primarily result from anaerobic degradation of biogenic waste streams (e.g. methane from landfills), incineration of fossil waste streams and energy and fuel use (e.g. mechanical and chemical recycling). Between 2010 and 2022 the share of waste landfilled in the EU decreased and other waste management methods like recycling, biological treatment of waste and waste incineration with energy recovery increased. Correspondingly, emissions from waste incineration have increased, while landfill emissions have decreased over this period but continue to be the largest source of GHG emissions from the waste management sector due to the high global warming potential of methane.</w:t>
      </w:r>
    </w:p>
    <w:p w14:paraId="345FA028" w14:textId="77777777" w:rsidR="009010D9" w:rsidRPr="003D3BB3" w:rsidRDefault="009010D9" w:rsidP="00A773E0">
      <w:pPr>
        <w:rPr>
          <w:noProof/>
        </w:rPr>
      </w:pPr>
      <w:r>
        <w:rPr>
          <w:noProof/>
        </w:rPr>
        <w:t>While</w:t>
      </w:r>
      <w:r w:rsidRPr="003D3BB3">
        <w:rPr>
          <w:noProof/>
        </w:rPr>
        <w:t xml:space="preserve"> the EU’s environment policy</w:t>
      </w:r>
      <w:r>
        <w:rPr>
          <w:noProof/>
        </w:rPr>
        <w:t xml:space="preserve"> framework</w:t>
      </w:r>
      <w:r w:rsidRPr="003D3BB3">
        <w:rPr>
          <w:noProof/>
        </w:rPr>
        <w:t xml:space="preserve"> sets out targets for waste management activities to promote circularity by boosting recycling and reducing landfilling</w:t>
      </w:r>
      <w:r>
        <w:rPr>
          <w:noProof/>
        </w:rPr>
        <w:t>, emissions</w:t>
      </w:r>
      <w:r w:rsidRPr="003D3BB3">
        <w:rPr>
          <w:noProof/>
        </w:rPr>
        <w:t xml:space="preserve"> from waste management activities are currently </w:t>
      </w:r>
      <w:r>
        <w:rPr>
          <w:noProof/>
        </w:rPr>
        <w:t xml:space="preserve">mainly </w:t>
      </w:r>
      <w:r w:rsidRPr="003D3BB3">
        <w:rPr>
          <w:noProof/>
        </w:rPr>
        <w:t xml:space="preserve">subject to national emission reduction targets under the Effort Sharing Regulation, </w:t>
      </w:r>
      <w:r>
        <w:rPr>
          <w:noProof/>
        </w:rPr>
        <w:t>with</w:t>
      </w:r>
      <w:r w:rsidRPr="003D3BB3">
        <w:rPr>
          <w:noProof/>
        </w:rPr>
        <w:t xml:space="preserve"> landfilling and waste incineration (with energy recovery) </w:t>
      </w:r>
      <w:r>
        <w:rPr>
          <w:noProof/>
        </w:rPr>
        <w:t>being</w:t>
      </w:r>
      <w:r w:rsidRPr="003D3BB3">
        <w:rPr>
          <w:noProof/>
        </w:rPr>
        <w:t xml:space="preserve"> the main sources. Member States implement </w:t>
      </w:r>
      <w:r>
        <w:rPr>
          <w:noProof/>
        </w:rPr>
        <w:t>a diverse range of</w:t>
      </w:r>
      <w:r w:rsidRPr="003D3BB3">
        <w:rPr>
          <w:noProof/>
        </w:rPr>
        <w:t xml:space="preserve"> measures to deliver on the EU waste policy targets,</w:t>
      </w:r>
      <w:r>
        <w:rPr>
          <w:noProof/>
        </w:rPr>
        <w:t xml:space="preserve"> but few Member States apply dedicated measures </w:t>
      </w:r>
      <w:r w:rsidRPr="003D3BB3">
        <w:rPr>
          <w:noProof/>
        </w:rPr>
        <w:t>to address emissions from waste management. Denmark</w:t>
      </w:r>
      <w:r>
        <w:rPr>
          <w:noProof/>
        </w:rPr>
        <w:t xml:space="preserve">, </w:t>
      </w:r>
      <w:r w:rsidRPr="003D3BB3">
        <w:rPr>
          <w:noProof/>
        </w:rPr>
        <w:t>Sweden</w:t>
      </w:r>
      <w:r>
        <w:rPr>
          <w:noProof/>
        </w:rPr>
        <w:t xml:space="preserve"> and Lithuania</w:t>
      </w:r>
      <w:r w:rsidRPr="003D3BB3">
        <w:rPr>
          <w:noProof/>
        </w:rPr>
        <w:t xml:space="preserve"> </w:t>
      </w:r>
      <w:r>
        <w:rPr>
          <w:noProof/>
        </w:rPr>
        <w:t xml:space="preserve">have </w:t>
      </w:r>
      <w:r w:rsidRPr="003D3BB3">
        <w:rPr>
          <w:noProof/>
        </w:rPr>
        <w:t xml:space="preserve">included municipal waste incineration (MWI) installations </w:t>
      </w:r>
      <w:r>
        <w:rPr>
          <w:noProof/>
        </w:rPr>
        <w:t xml:space="preserve">with energy recovery </w:t>
      </w:r>
      <w:r w:rsidRPr="008C5097">
        <w:rPr>
          <w:noProof/>
        </w:rPr>
        <w:t xml:space="preserve">in </w:t>
      </w:r>
      <w:r>
        <w:rPr>
          <w:noProof/>
        </w:rPr>
        <w:t>their</w:t>
      </w:r>
      <w:r w:rsidRPr="008C5097">
        <w:rPr>
          <w:noProof/>
        </w:rPr>
        <w:t xml:space="preserve"> national implementation of the EU ETS</w:t>
      </w:r>
      <w:r w:rsidRPr="003D3BB3">
        <w:rPr>
          <w:noProof/>
        </w:rPr>
        <w:t xml:space="preserve">, </w:t>
      </w:r>
      <w:r>
        <w:rPr>
          <w:noProof/>
        </w:rPr>
        <w:t>while</w:t>
      </w:r>
      <w:r w:rsidRPr="003D3BB3">
        <w:rPr>
          <w:noProof/>
        </w:rPr>
        <w:t xml:space="preserve"> Germany </w:t>
      </w:r>
      <w:r>
        <w:rPr>
          <w:noProof/>
        </w:rPr>
        <w:t>applies a</w:t>
      </w:r>
      <w:r w:rsidRPr="003D3BB3">
        <w:rPr>
          <w:noProof/>
        </w:rPr>
        <w:t xml:space="preserve"> national emissions trading system and the Netherlands implemented a carbon levy for </w:t>
      </w:r>
      <w:r>
        <w:rPr>
          <w:noProof/>
        </w:rPr>
        <w:t xml:space="preserve">MWI </w:t>
      </w:r>
      <w:r w:rsidRPr="003D3BB3">
        <w:rPr>
          <w:noProof/>
        </w:rPr>
        <w:t xml:space="preserve">emissions. </w:t>
      </w:r>
    </w:p>
    <w:p w14:paraId="538FEFD4" w14:textId="77777777" w:rsidR="009010D9" w:rsidRDefault="009010D9">
      <w:pPr>
        <w:rPr>
          <w:noProof/>
        </w:rPr>
      </w:pPr>
      <w:r w:rsidRPr="0017590E">
        <w:rPr>
          <w:noProof/>
        </w:rPr>
        <w:t xml:space="preserve">Achieving the EU’s 2050 net-zero climate target </w:t>
      </w:r>
      <w:r>
        <w:rPr>
          <w:noProof/>
        </w:rPr>
        <w:t>requires</w:t>
      </w:r>
      <w:r w:rsidRPr="0017590E">
        <w:rPr>
          <w:noProof/>
        </w:rPr>
        <w:t xml:space="preserve"> action across </w:t>
      </w:r>
      <w:r>
        <w:rPr>
          <w:noProof/>
        </w:rPr>
        <w:t xml:space="preserve">all </w:t>
      </w:r>
      <w:r w:rsidRPr="0017590E">
        <w:rPr>
          <w:noProof/>
        </w:rPr>
        <w:t>economic sectors. These include actions related to materials and how we produce, use, re-circulate and dispose of them. Waste management and the circular economy hold considerable</w:t>
      </w:r>
      <w:r>
        <w:rPr>
          <w:noProof/>
        </w:rPr>
        <w:t>, mutually reinforcing</w:t>
      </w:r>
      <w:r w:rsidRPr="0017590E">
        <w:rPr>
          <w:noProof/>
        </w:rPr>
        <w:t xml:space="preserve"> potential for mitigating climate change. </w:t>
      </w:r>
      <w:r>
        <w:rPr>
          <w:noProof/>
        </w:rPr>
        <w:t>Th</w:t>
      </w:r>
      <w:r w:rsidRPr="0017590E">
        <w:rPr>
          <w:noProof/>
        </w:rPr>
        <w:t xml:space="preserve">e introduction of additional measures linking emission reductions and circular economy policies </w:t>
      </w:r>
      <w:r>
        <w:rPr>
          <w:noProof/>
        </w:rPr>
        <w:t>is</w:t>
      </w:r>
      <w:r w:rsidRPr="0017590E">
        <w:rPr>
          <w:noProof/>
        </w:rPr>
        <w:t xml:space="preserve"> important to help accelerate future GHG emissions reductions while increasing circularity and improving waste management.</w:t>
      </w:r>
    </w:p>
    <w:p w14:paraId="53F074ED" w14:textId="77777777" w:rsidR="009010D9" w:rsidRPr="003D3BB3" w:rsidRDefault="009010D9">
      <w:pPr>
        <w:rPr>
          <w:noProof/>
        </w:rPr>
      </w:pPr>
      <w:r w:rsidRPr="003D3BB3">
        <w:rPr>
          <w:noProof/>
        </w:rPr>
        <w:t>More than half of stakeholders</w:t>
      </w:r>
      <w:r>
        <w:rPr>
          <w:noProof/>
        </w:rPr>
        <w:t xml:space="preserve"> in the open public consultation</w:t>
      </w:r>
      <w:r w:rsidRPr="003D3BB3">
        <w:rPr>
          <w:noProof/>
        </w:rPr>
        <w:t xml:space="preserve"> from </w:t>
      </w:r>
      <w:r>
        <w:rPr>
          <w:noProof/>
        </w:rPr>
        <w:t>different stakeholder groups,</w:t>
      </w:r>
      <w:r w:rsidRPr="003D3BB3">
        <w:rPr>
          <w:noProof/>
        </w:rPr>
        <w:t xml:space="preserve"> both companies and business associations</w:t>
      </w:r>
      <w:r>
        <w:rPr>
          <w:noProof/>
        </w:rPr>
        <w:t xml:space="preserve"> as well as</w:t>
      </w:r>
      <w:r w:rsidRPr="003D3BB3">
        <w:rPr>
          <w:noProof/>
        </w:rPr>
        <w:t xml:space="preserve"> NGOs and environmental organisations, supported the inclusion of MWI installations in the EU ETS</w:t>
      </w:r>
      <w:r>
        <w:rPr>
          <w:noProof/>
        </w:rPr>
        <w:t>.</w:t>
      </w:r>
      <w:r w:rsidRPr="003D3BB3">
        <w:rPr>
          <w:noProof/>
        </w:rPr>
        <w:t xml:space="preserve"> Conversely,</w:t>
      </w:r>
      <w:r>
        <w:rPr>
          <w:noProof/>
        </w:rPr>
        <w:t xml:space="preserve"> further extensions to </w:t>
      </w:r>
      <w:r w:rsidRPr="003D3BB3">
        <w:rPr>
          <w:noProof/>
        </w:rPr>
        <w:t>hazardous waste incineration</w:t>
      </w:r>
      <w:r>
        <w:rPr>
          <w:noProof/>
        </w:rPr>
        <w:t xml:space="preserve"> (HWI)</w:t>
      </w:r>
      <w:r w:rsidRPr="003D3BB3">
        <w:rPr>
          <w:noProof/>
        </w:rPr>
        <w:t xml:space="preserve"> installations </w:t>
      </w:r>
      <w:r>
        <w:rPr>
          <w:noProof/>
        </w:rPr>
        <w:t xml:space="preserve">or landfills were </w:t>
      </w:r>
      <w:r w:rsidRPr="003D3BB3">
        <w:rPr>
          <w:noProof/>
        </w:rPr>
        <w:t xml:space="preserve">more divisive.   </w:t>
      </w:r>
    </w:p>
    <w:p w14:paraId="4AC28AEE" w14:textId="77777777" w:rsidR="009010D9" w:rsidRPr="003D3BB3" w:rsidRDefault="009010D9" w:rsidP="00C92FA9">
      <w:pPr>
        <w:rPr>
          <w:noProof/>
        </w:rPr>
      </w:pPr>
      <w:r w:rsidRPr="003D3BB3">
        <w:rPr>
          <w:noProof/>
        </w:rPr>
        <w:t xml:space="preserve">This annex considers </w:t>
      </w:r>
      <w:r>
        <w:rPr>
          <w:noProof/>
        </w:rPr>
        <w:t>the impacts of</w:t>
      </w:r>
      <w:r w:rsidRPr="003D3BB3">
        <w:rPr>
          <w:noProof/>
        </w:rPr>
        <w:t xml:space="preserve"> </w:t>
      </w:r>
      <w:r>
        <w:rPr>
          <w:noProof/>
        </w:rPr>
        <w:t xml:space="preserve">a potential </w:t>
      </w:r>
      <w:r w:rsidRPr="003D3BB3">
        <w:rPr>
          <w:noProof/>
        </w:rPr>
        <w:t xml:space="preserve">expansion </w:t>
      </w:r>
      <w:r>
        <w:rPr>
          <w:noProof/>
        </w:rPr>
        <w:t xml:space="preserve">of the EU ETS </w:t>
      </w:r>
      <w:r w:rsidRPr="003D3BB3">
        <w:rPr>
          <w:noProof/>
        </w:rPr>
        <w:t xml:space="preserve">to </w:t>
      </w:r>
      <w:r>
        <w:rPr>
          <w:noProof/>
        </w:rPr>
        <w:t>MWI and</w:t>
      </w:r>
      <w:r w:rsidRPr="003D3BB3">
        <w:rPr>
          <w:noProof/>
        </w:rPr>
        <w:t xml:space="preserve"> other waste management processes </w:t>
      </w:r>
      <w:r>
        <w:rPr>
          <w:noProof/>
        </w:rPr>
        <w:t xml:space="preserve">in contributing to the </w:t>
      </w:r>
      <w:r w:rsidRPr="003D3BB3">
        <w:rPr>
          <w:noProof/>
        </w:rPr>
        <w:t xml:space="preserve">cost-effective decarbonisation </w:t>
      </w:r>
      <w:r>
        <w:rPr>
          <w:noProof/>
        </w:rPr>
        <w:t xml:space="preserve">of the </w:t>
      </w:r>
      <w:r w:rsidRPr="003D3BB3">
        <w:rPr>
          <w:noProof/>
        </w:rPr>
        <w:t>waste management</w:t>
      </w:r>
      <w:r>
        <w:rPr>
          <w:noProof/>
        </w:rPr>
        <w:t xml:space="preserve"> sector</w:t>
      </w:r>
      <w:r w:rsidRPr="003D3BB3">
        <w:rPr>
          <w:noProof/>
        </w:rPr>
        <w:t>, while promoting a shift to a circular economy</w:t>
      </w:r>
      <w:r>
        <w:rPr>
          <w:noProof/>
        </w:rPr>
        <w:t>, in line with the review clause in Article 30(7) of the ETS Directive</w:t>
      </w:r>
      <w:r w:rsidRPr="003D3BB3">
        <w:rPr>
          <w:noProof/>
        </w:rPr>
        <w:t xml:space="preserve">. </w:t>
      </w:r>
      <w:r>
        <w:rPr>
          <w:noProof/>
        </w:rPr>
        <w:t>MWI</w:t>
      </w:r>
      <w:r w:rsidRPr="003D3BB3">
        <w:rPr>
          <w:noProof/>
        </w:rPr>
        <w:t xml:space="preserve"> also </w:t>
      </w:r>
      <w:r>
        <w:rPr>
          <w:noProof/>
        </w:rPr>
        <w:t>contributes to other policy measures under consideration</w:t>
      </w:r>
      <w:r w:rsidRPr="003D3BB3">
        <w:rPr>
          <w:noProof/>
        </w:rPr>
        <w:t xml:space="preserve"> in the 2026 </w:t>
      </w:r>
      <w:r>
        <w:rPr>
          <w:noProof/>
        </w:rPr>
        <w:t xml:space="preserve">EU </w:t>
      </w:r>
      <w:r w:rsidRPr="003D3BB3">
        <w:rPr>
          <w:noProof/>
        </w:rPr>
        <w:t>ETS review</w:t>
      </w:r>
      <w:r>
        <w:rPr>
          <w:noProof/>
        </w:rPr>
        <w:t>, notably</w:t>
      </w:r>
      <w:r w:rsidRPr="003D3BB3">
        <w:rPr>
          <w:noProof/>
        </w:rPr>
        <w:t xml:space="preserve"> the </w:t>
      </w:r>
      <w:r>
        <w:rPr>
          <w:noProof/>
        </w:rPr>
        <w:t>generation</w:t>
      </w:r>
      <w:r w:rsidRPr="003D3BB3">
        <w:rPr>
          <w:noProof/>
        </w:rPr>
        <w:t xml:space="preserve"> of </w:t>
      </w:r>
      <w:r>
        <w:rPr>
          <w:noProof/>
        </w:rPr>
        <w:t xml:space="preserve">permanent </w:t>
      </w:r>
      <w:r w:rsidRPr="003D3BB3">
        <w:rPr>
          <w:noProof/>
        </w:rPr>
        <w:t xml:space="preserve">carbon removals from the </w:t>
      </w:r>
      <w:r>
        <w:rPr>
          <w:noProof/>
        </w:rPr>
        <w:t xml:space="preserve">capture and storage of the </w:t>
      </w:r>
      <w:r w:rsidRPr="003D3BB3">
        <w:rPr>
          <w:noProof/>
        </w:rPr>
        <w:t xml:space="preserve">biogenic </w:t>
      </w:r>
      <w:r>
        <w:rPr>
          <w:noProof/>
        </w:rPr>
        <w:t xml:space="preserve">carbon </w:t>
      </w:r>
      <w:r w:rsidRPr="003D3BB3">
        <w:rPr>
          <w:noProof/>
        </w:rPr>
        <w:t xml:space="preserve">fraction of </w:t>
      </w:r>
      <w:r>
        <w:rPr>
          <w:noProof/>
        </w:rPr>
        <w:t>waste,</w:t>
      </w:r>
      <w:r w:rsidRPr="003D3BB3">
        <w:rPr>
          <w:noProof/>
        </w:rPr>
        <w:t xml:space="preserve"> and </w:t>
      </w:r>
      <w:r>
        <w:rPr>
          <w:noProof/>
        </w:rPr>
        <w:t>the coverage</w:t>
      </w:r>
      <w:r w:rsidRPr="003D3BB3">
        <w:rPr>
          <w:noProof/>
        </w:rPr>
        <w:t xml:space="preserve"> of </w:t>
      </w:r>
      <w:r>
        <w:rPr>
          <w:noProof/>
        </w:rPr>
        <w:t>downstream emissions</w:t>
      </w:r>
      <w:r w:rsidRPr="003D3BB3">
        <w:rPr>
          <w:noProof/>
        </w:rPr>
        <w:t xml:space="preserve"> of </w:t>
      </w:r>
      <w:r>
        <w:rPr>
          <w:noProof/>
        </w:rPr>
        <w:t>non-permanent Carbon Capture and Use (CCU) products</w:t>
      </w:r>
      <w:r w:rsidRPr="003D3BB3">
        <w:rPr>
          <w:noProof/>
        </w:rPr>
        <w:t xml:space="preserve">. </w:t>
      </w:r>
    </w:p>
    <w:p w14:paraId="24589658" w14:textId="77777777" w:rsidR="009010D9" w:rsidRPr="00323687" w:rsidRDefault="009010D9" w:rsidP="002F3B20">
      <w:pPr>
        <w:pStyle w:val="Heading2COM"/>
        <w:outlineLvl w:val="2"/>
        <w15:collapsed w:val="0"/>
        <w:rPr>
          <w:noProof/>
        </w:rPr>
      </w:pPr>
      <w:bookmarkStart w:id="630" w:name="_Toc230861516"/>
      <w:bookmarkStart w:id="631" w:name="_Toc232751138"/>
      <w:bookmarkStart w:id="632" w:name="_Toc211284565"/>
      <w:bookmarkStart w:id="633" w:name="_Toc212426412"/>
      <w:bookmarkStart w:id="634" w:name="_Toc111083421"/>
      <w:r w:rsidRPr="003D3BB3">
        <w:rPr>
          <w:noProof/>
        </w:rPr>
        <w:t>Scop</w:t>
      </w:r>
      <w:r>
        <w:rPr>
          <w:noProof/>
        </w:rPr>
        <w:t>e of regulated activities and emissions</w:t>
      </w:r>
      <w:bookmarkEnd w:id="630"/>
      <w:bookmarkEnd w:id="631"/>
      <w:r>
        <w:rPr>
          <w:noProof/>
        </w:rPr>
        <w:t xml:space="preserve"> </w:t>
      </w:r>
      <w:bookmarkEnd w:id="632"/>
      <w:bookmarkEnd w:id="633"/>
      <w:bookmarkEnd w:id="634"/>
    </w:p>
    <w:p w14:paraId="758C6530" w14:textId="77777777" w:rsidR="009010D9" w:rsidRDefault="009010D9" w:rsidP="00C92FA9">
      <w:pPr>
        <w:rPr>
          <w:noProof/>
        </w:rPr>
      </w:pPr>
      <w:r w:rsidRPr="00E601AC">
        <w:rPr>
          <w:noProof/>
        </w:rPr>
        <w:t xml:space="preserve">Emissions from </w:t>
      </w:r>
      <w:r>
        <w:rPr>
          <w:noProof/>
        </w:rPr>
        <w:t>the waste management sector</w:t>
      </w:r>
      <w:r w:rsidRPr="00E601AC">
        <w:rPr>
          <w:noProof/>
        </w:rPr>
        <w:t xml:space="preserve"> are currently mainly covered under the EU’s Effort Sharing Regulation (ESR). However, industrial waste incineration and the co-incineration of waste, e.g. in a cement kiln, are </w:t>
      </w:r>
      <w:r>
        <w:rPr>
          <w:noProof/>
        </w:rPr>
        <w:t>already</w:t>
      </w:r>
      <w:r w:rsidRPr="00E601AC">
        <w:rPr>
          <w:noProof/>
        </w:rPr>
        <w:t xml:space="preserve"> included in the scope of the </w:t>
      </w:r>
      <w:r>
        <w:rPr>
          <w:noProof/>
        </w:rPr>
        <w:t>EU ETS</w:t>
      </w:r>
      <w:r w:rsidRPr="00E601AC">
        <w:rPr>
          <w:noProof/>
        </w:rPr>
        <w:t xml:space="preserve">. In addition, some Member States have included waste incineration </w:t>
      </w:r>
      <w:r>
        <w:rPr>
          <w:noProof/>
        </w:rPr>
        <w:t xml:space="preserve">installations with energy or heat production as their main purpose </w:t>
      </w:r>
      <w:r w:rsidRPr="00E601AC">
        <w:rPr>
          <w:noProof/>
        </w:rPr>
        <w:t xml:space="preserve">in their national implementation of the </w:t>
      </w:r>
      <w:r>
        <w:rPr>
          <w:noProof/>
        </w:rPr>
        <w:t>EU ETS</w:t>
      </w:r>
      <w:r w:rsidRPr="00E601AC">
        <w:rPr>
          <w:noProof/>
        </w:rPr>
        <w:t xml:space="preserve"> (Denmark, Sweden and Lithuania). </w:t>
      </w:r>
      <w:r>
        <w:rPr>
          <w:noProof/>
        </w:rPr>
        <w:t>This</w:t>
      </w:r>
      <w:r w:rsidRPr="00E601AC">
        <w:rPr>
          <w:noProof/>
        </w:rPr>
        <w:t xml:space="preserve"> current framework has contributed to a heterogeneous coverage of emissions from </w:t>
      </w:r>
      <w:r>
        <w:rPr>
          <w:noProof/>
        </w:rPr>
        <w:t>waste management</w:t>
      </w:r>
      <w:r w:rsidRPr="00E601AC">
        <w:rPr>
          <w:noProof/>
        </w:rPr>
        <w:t xml:space="preserve"> under the EU ETS</w:t>
      </w:r>
      <w:r>
        <w:rPr>
          <w:noProof/>
        </w:rPr>
        <w:t xml:space="preserve"> and the ESR</w:t>
      </w:r>
      <w:r w:rsidRPr="00E601AC">
        <w:rPr>
          <w:noProof/>
        </w:rPr>
        <w:t xml:space="preserve">, which can lead to competitive distortions </w:t>
      </w:r>
      <w:r>
        <w:rPr>
          <w:noProof/>
        </w:rPr>
        <w:t>within the sector, between sectors and between Member States</w:t>
      </w:r>
      <w:r w:rsidRPr="00E601AC">
        <w:rPr>
          <w:noProof/>
        </w:rPr>
        <w:t xml:space="preserve">. </w:t>
      </w:r>
    </w:p>
    <w:p w14:paraId="2612DD9F" w14:textId="77777777" w:rsidR="009010D9" w:rsidRPr="00A84FF2" w:rsidRDefault="009010D9" w:rsidP="00C92FA9">
      <w:pPr>
        <w:rPr>
          <w:noProof/>
        </w:rPr>
      </w:pPr>
      <w:r>
        <w:rPr>
          <w:noProof/>
        </w:rPr>
        <w:t>The main additional regulated activities and emissions considered for inclusion under the scope of the EU ETS are those identified under measures W1 (municipal waste incineration), W2 (municipal and hazardous waste incineration) and W3 (municipal and hazardous waste incineration and landfilling of non-hazardous waste).</w:t>
      </w:r>
    </w:p>
    <w:p w14:paraId="3CCCE7EA" w14:textId="77777777" w:rsidR="009010D9" w:rsidRPr="003D3BB3" w:rsidRDefault="009010D9" w:rsidP="002F3B20">
      <w:pPr>
        <w:pStyle w:val="Heading3COM"/>
        <w:outlineLvl w:val="3"/>
        <w:rPr>
          <w:noProof/>
        </w:rPr>
      </w:pPr>
      <w:bookmarkStart w:id="635" w:name="_Toc195563442"/>
      <w:bookmarkStart w:id="636" w:name="_Toc212426414"/>
      <w:bookmarkStart w:id="637" w:name="_Toc95107307"/>
      <w:bookmarkStart w:id="638" w:name="_Toc230861517"/>
      <w:bookmarkStart w:id="639" w:name="_Toc232751139"/>
      <w:r>
        <w:rPr>
          <w:noProof/>
        </w:rPr>
        <w:t xml:space="preserve">Municipal </w:t>
      </w:r>
      <w:bookmarkStart w:id="640" w:name="_Toc195563443"/>
      <w:bookmarkEnd w:id="635"/>
      <w:r>
        <w:rPr>
          <w:noProof/>
        </w:rPr>
        <w:t>waste incineration</w:t>
      </w:r>
      <w:bookmarkEnd w:id="636"/>
      <w:bookmarkEnd w:id="637"/>
      <w:bookmarkEnd w:id="640"/>
      <w:r>
        <w:rPr>
          <w:noProof/>
        </w:rPr>
        <w:t xml:space="preserve"> (MWI)</w:t>
      </w:r>
      <w:bookmarkEnd w:id="638"/>
      <w:bookmarkEnd w:id="639"/>
    </w:p>
    <w:p w14:paraId="1BE9DCF8" w14:textId="77777777" w:rsidR="009010D9" w:rsidRPr="00AC0B2C" w:rsidRDefault="009010D9">
      <w:pPr>
        <w:rPr>
          <w:i/>
          <w:iCs/>
          <w:noProof/>
        </w:rPr>
      </w:pPr>
      <w:r>
        <w:rPr>
          <w:i/>
          <w:iCs/>
          <w:noProof/>
        </w:rPr>
        <w:t>Regulated a</w:t>
      </w:r>
      <w:r w:rsidRPr="00AC0B2C">
        <w:rPr>
          <w:i/>
          <w:iCs/>
          <w:noProof/>
        </w:rPr>
        <w:t>ctivity</w:t>
      </w:r>
    </w:p>
    <w:p w14:paraId="75CECB37" w14:textId="77777777" w:rsidR="009010D9" w:rsidRDefault="009010D9">
      <w:pPr>
        <w:rPr>
          <w:noProof/>
        </w:rPr>
      </w:pPr>
      <w:r>
        <w:rPr>
          <w:noProof/>
        </w:rPr>
        <w:t xml:space="preserve">Municipal waste consists of waste from households and similarly composed waste from offices, shops and other sources, collected by or on behalf of municipal authorities and disposed of through waste management systems. It accounts for 27 % of total waste generated in the EU (excluding </w:t>
      </w:r>
      <w:r w:rsidRPr="00103A5B">
        <w:rPr>
          <w:noProof/>
        </w:rPr>
        <w:t xml:space="preserve">mining and quarrying waste and construction and demolition waste). </w:t>
      </w:r>
      <w:r>
        <w:rPr>
          <w:noProof/>
        </w:rPr>
        <w:t>The g</w:t>
      </w:r>
      <w:r w:rsidRPr="00103A5B">
        <w:rPr>
          <w:noProof/>
        </w:rPr>
        <w:t xml:space="preserve">eneration of municipal waste varies </w:t>
      </w:r>
      <w:r>
        <w:rPr>
          <w:noProof/>
        </w:rPr>
        <w:t xml:space="preserve">considerably </w:t>
      </w:r>
      <w:r w:rsidRPr="00103A5B">
        <w:rPr>
          <w:noProof/>
        </w:rPr>
        <w:t xml:space="preserve">between Member States, from 303 kg per capita in Romania to 803 kg per capita in Austria </w:t>
      </w:r>
      <w:r>
        <w:rPr>
          <w:noProof/>
        </w:rPr>
        <w:t>(</w:t>
      </w:r>
      <w:r w:rsidRPr="00103A5B">
        <w:rPr>
          <w:noProof/>
        </w:rPr>
        <w:t xml:space="preserve">2022). </w:t>
      </w:r>
      <w:r>
        <w:rPr>
          <w:noProof/>
          <w:lang w:eastAsia="en-GB"/>
        </w:rPr>
        <w:t xml:space="preserve">Municipal waste incineration (MWI) </w:t>
      </w:r>
      <w:r w:rsidRPr="002171D2">
        <w:rPr>
          <w:noProof/>
          <w:lang w:eastAsia="en-GB"/>
        </w:rPr>
        <w:t xml:space="preserve">entails the combustion </w:t>
      </w:r>
      <w:r>
        <w:rPr>
          <w:noProof/>
          <w:lang w:eastAsia="en-GB"/>
        </w:rPr>
        <w:t xml:space="preserve">and conversion of this residual waste </w:t>
      </w:r>
      <w:r w:rsidRPr="002171D2">
        <w:rPr>
          <w:noProof/>
          <w:lang w:eastAsia="en-GB"/>
        </w:rPr>
        <w:t>into carbon dioxide (CO</w:t>
      </w:r>
      <w:r w:rsidRPr="008C7062">
        <w:rPr>
          <w:noProof/>
          <w:vertAlign w:val="subscript"/>
          <w:lang w:eastAsia="en-GB"/>
        </w:rPr>
        <w:t>2</w:t>
      </w:r>
      <w:r w:rsidRPr="002171D2">
        <w:rPr>
          <w:noProof/>
          <w:lang w:eastAsia="en-GB"/>
        </w:rPr>
        <w:t>) and water, with some remaining ashes (inorganic or inert fraction).</w:t>
      </w:r>
      <w:r>
        <w:rPr>
          <w:noProof/>
        </w:rPr>
        <w:t xml:space="preserve"> </w:t>
      </w:r>
      <w:r w:rsidRPr="00103A5B">
        <w:rPr>
          <w:noProof/>
        </w:rPr>
        <w:t>The average amount of municipal waste incinerated in the EU has almost doubled between 1995 and 2023</w:t>
      </w:r>
      <w:r w:rsidRPr="003D3BB3">
        <w:rPr>
          <w:noProof/>
        </w:rPr>
        <w:t xml:space="preserve">, from 30 million tonnes </w:t>
      </w:r>
      <w:r>
        <w:rPr>
          <w:noProof/>
        </w:rPr>
        <w:t xml:space="preserve">or 70 kg/capita </w:t>
      </w:r>
      <w:r w:rsidRPr="003D3BB3">
        <w:rPr>
          <w:noProof/>
        </w:rPr>
        <w:t>to 58 million tonnes</w:t>
      </w:r>
      <w:r>
        <w:rPr>
          <w:noProof/>
        </w:rPr>
        <w:t xml:space="preserve"> or 129 kg/capita</w:t>
      </w:r>
      <w:r w:rsidRPr="003D3BB3">
        <w:rPr>
          <w:rStyle w:val="FootnoteReference"/>
          <w:noProof/>
          <w:sz w:val="22"/>
          <w:szCs w:val="22"/>
        </w:rPr>
        <w:footnoteReference w:id="47"/>
      </w:r>
      <w:r>
        <w:rPr>
          <w:noProof/>
        </w:rPr>
        <w:t>, representing 26% of all municipal waste treated in the EU. This increase is primarily driven by an increase in total waste generated, in combination with part of decreasing landfilled volumes going to incineration</w:t>
      </w:r>
      <w:r>
        <w:rPr>
          <w:rStyle w:val="FootnoteReference"/>
          <w:noProof/>
        </w:rPr>
        <w:footnoteReference w:id="48"/>
      </w:r>
      <w:r>
        <w:rPr>
          <w:noProof/>
        </w:rPr>
        <w:t>. Figure 1 shows the development of municipal waste treatment by type, showing an increase in recycling and incineration as landfilling has</w:t>
      </w:r>
      <w:r w:rsidRPr="001E6A8E">
        <w:rPr>
          <w:noProof/>
        </w:rPr>
        <w:t xml:space="preserve"> decreas</w:t>
      </w:r>
      <w:r>
        <w:rPr>
          <w:noProof/>
        </w:rPr>
        <w:t xml:space="preserve">ed. </w:t>
      </w:r>
    </w:p>
    <w:p w14:paraId="1956F4DE" w14:textId="77777777" w:rsidR="009010D9" w:rsidRPr="00E614BB" w:rsidRDefault="009010D9" w:rsidP="0018561F">
      <w:pPr>
        <w:pStyle w:val="Figuretitle"/>
        <w:numPr>
          <w:ilvl w:val="0"/>
          <w:numId w:val="55"/>
        </w:numPr>
        <w:rPr>
          <w:noProof/>
        </w:rPr>
      </w:pPr>
      <w:bookmarkStart w:id="641" w:name="_Toc222740770"/>
      <w:r w:rsidRPr="00E614BB">
        <w:rPr>
          <w:noProof/>
        </w:rPr>
        <w:t xml:space="preserve">Municipal waste per capita by treatment category in </w:t>
      </w:r>
      <w:r>
        <w:rPr>
          <w:noProof/>
        </w:rPr>
        <w:t xml:space="preserve">the </w:t>
      </w:r>
      <w:r w:rsidRPr="00E614BB">
        <w:rPr>
          <w:noProof/>
        </w:rPr>
        <w:t>EU (1995-2023)</w:t>
      </w:r>
      <w:bookmarkEnd w:id="641"/>
      <w:r w:rsidRPr="00E614BB">
        <w:rPr>
          <w:noProof/>
        </w:rPr>
        <w:t xml:space="preserve"> </w:t>
      </w:r>
    </w:p>
    <w:p w14:paraId="2775654F" w14:textId="77777777" w:rsidR="00CC4F87" w:rsidRDefault="009010D9">
      <w:pPr>
        <w:jc w:val="center"/>
        <w:rPr>
          <w:noProof/>
        </w:rPr>
      </w:pPr>
      <w:r>
        <w:rPr>
          <w:noProof/>
          <w:lang w:eastAsia="en-GB"/>
        </w:rPr>
        <w:drawing>
          <wp:inline distT="0" distB="0" distL="0" distR="0" wp14:anchorId="752C7022" wp14:editId="44D6BB71">
            <wp:extent cx="5873750" cy="2965450"/>
            <wp:effectExtent l="0" t="0" r="0" b="6350"/>
            <wp:docPr id="1322144084" name="Chart 1">
              <a:extLst xmlns:a="http://schemas.openxmlformats.org/drawingml/2006/main">
                <a:ext uri="{FF2B5EF4-FFF2-40B4-BE49-F238E27FC236}">
                  <a16:creationId xmlns:a16="http://schemas.microsoft.com/office/drawing/2014/main" id="{BCEA708D-B258-F5E5-933E-D7D9848B2B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4961FE9" w14:textId="77777777" w:rsidR="009010D9" w:rsidRPr="001C71A4" w:rsidRDefault="009010D9">
      <w:pPr>
        <w:jc w:val="left"/>
        <w:rPr>
          <w:i/>
          <w:iCs/>
          <w:noProof/>
          <w:sz w:val="20"/>
          <w:szCs w:val="20"/>
        </w:rPr>
      </w:pPr>
      <w:r w:rsidRPr="001C71A4">
        <w:rPr>
          <w:i/>
          <w:iCs/>
          <w:noProof/>
          <w:sz w:val="20"/>
          <w:szCs w:val="20"/>
        </w:rPr>
        <w:t>Source: Eurostat</w:t>
      </w:r>
    </w:p>
    <w:p w14:paraId="0C2DCA11" w14:textId="221615AE" w:rsidR="00421233" w:rsidRDefault="009010D9">
      <w:pPr>
        <w:rPr>
          <w:noProof/>
        </w:rPr>
      </w:pPr>
      <w:r>
        <w:rPr>
          <w:noProof/>
        </w:rPr>
        <w:t xml:space="preserve">Most MWI installations in the EU operate </w:t>
      </w:r>
      <w:r w:rsidRPr="00103A5B">
        <w:rPr>
          <w:noProof/>
        </w:rPr>
        <w:t>with energy recovery</w:t>
      </w:r>
      <w:r>
        <w:rPr>
          <w:noProof/>
        </w:rPr>
        <w:t xml:space="preserve"> </w:t>
      </w:r>
      <w:r w:rsidRPr="001F68ED">
        <w:rPr>
          <w:noProof/>
        </w:rPr>
        <w:t>(</w:t>
      </w:r>
      <w:r>
        <w:rPr>
          <w:noProof/>
        </w:rPr>
        <w:t xml:space="preserve">also called </w:t>
      </w:r>
      <w:r w:rsidRPr="001F68ED">
        <w:rPr>
          <w:noProof/>
        </w:rPr>
        <w:t>waste-to-energy</w:t>
      </w:r>
      <w:r>
        <w:rPr>
          <w:noProof/>
        </w:rPr>
        <w:t xml:space="preserve"> or WtE). The Industrial Emissions Directive effectively mandates energy recovery for waste incineration</w:t>
      </w:r>
      <w:r>
        <w:rPr>
          <w:rStyle w:val="FootnoteReference"/>
          <w:noProof/>
        </w:rPr>
        <w:footnoteReference w:id="49"/>
      </w:r>
      <w:r w:rsidRPr="00103A5B">
        <w:rPr>
          <w:noProof/>
        </w:rPr>
        <w:t xml:space="preserve">. </w:t>
      </w:r>
      <w:r>
        <w:rPr>
          <w:noProof/>
        </w:rPr>
        <w:t>A total of 411 WtE plants were reported in the EEA in 2022, excluding hazardous waste incineration (HWI) plants (see Figure 2)</w:t>
      </w:r>
      <w:r>
        <w:rPr>
          <w:rStyle w:val="FootnoteReference"/>
          <w:noProof/>
        </w:rPr>
        <w:footnoteReference w:id="50"/>
      </w:r>
      <w:r>
        <w:rPr>
          <w:noProof/>
        </w:rPr>
        <w:t>. MWI incineration capacity is high overall in the EEA (with overcapacity by some estimates</w:t>
      </w:r>
      <w:r>
        <w:rPr>
          <w:rStyle w:val="FootnoteReference"/>
          <w:noProof/>
        </w:rPr>
        <w:footnoteReference w:id="51"/>
      </w:r>
      <w:r>
        <w:rPr>
          <w:noProof/>
        </w:rPr>
        <w:t>) but unevenly distributed, with several Member States having limited or no incineration capacity</w:t>
      </w:r>
      <w:r>
        <w:rPr>
          <w:rStyle w:val="FootnoteReference"/>
          <w:noProof/>
        </w:rPr>
        <w:footnoteReference w:id="52"/>
      </w:r>
      <w:r>
        <w:rPr>
          <w:noProof/>
        </w:rPr>
        <w:t xml:space="preserve">. </w:t>
      </w:r>
      <w:r w:rsidRPr="00103A5B">
        <w:rPr>
          <w:noProof/>
        </w:rPr>
        <w:t xml:space="preserve">The share of </w:t>
      </w:r>
      <w:r>
        <w:rPr>
          <w:noProof/>
        </w:rPr>
        <w:t xml:space="preserve">waste-to-energy installations in EU electricity generation was 1.4% in 2019, supplying </w:t>
      </w:r>
      <w:r w:rsidRPr="00103A5B">
        <w:rPr>
          <w:noProof/>
        </w:rPr>
        <w:t xml:space="preserve">electricity to some 20 million people (43 billion kWh). The share of </w:t>
      </w:r>
      <w:r>
        <w:rPr>
          <w:noProof/>
        </w:rPr>
        <w:t>municipal waste in district heating generation in the EU is more significant at 9.9% (2019), especially in the North</w:t>
      </w:r>
      <w:r w:rsidRPr="00103A5B">
        <w:rPr>
          <w:noProof/>
        </w:rPr>
        <w:t xml:space="preserve">, supplying around 17 million people (99 billion kWh). </w:t>
      </w:r>
      <w:r w:rsidRPr="003D3BB3">
        <w:rPr>
          <w:noProof/>
        </w:rPr>
        <w:t>In some countries, like Germany, this can account for over 4% of the energy supply</w:t>
      </w:r>
      <w:r w:rsidRPr="003D3BB3">
        <w:rPr>
          <w:rStyle w:val="FootnoteReference"/>
          <w:noProof/>
          <w:sz w:val="22"/>
          <w:szCs w:val="22"/>
        </w:rPr>
        <w:footnoteReference w:id="53"/>
      </w:r>
      <w:r w:rsidRPr="003D3BB3">
        <w:rPr>
          <w:noProof/>
        </w:rPr>
        <w:t>.</w:t>
      </w:r>
      <w:r>
        <w:rPr>
          <w:noProof/>
        </w:rPr>
        <w:t xml:space="preserve"> </w:t>
      </w:r>
      <w:r w:rsidRPr="00103A5B">
        <w:rPr>
          <w:noProof/>
        </w:rPr>
        <w:t xml:space="preserve">In Denmark, heat recovered from waste incineration accounts for approx. 20% of </w:t>
      </w:r>
      <w:r>
        <w:rPr>
          <w:noProof/>
        </w:rPr>
        <w:t>supplied district heating.</w:t>
      </w:r>
    </w:p>
    <w:p w14:paraId="48054AFE" w14:textId="77777777" w:rsidR="00421233" w:rsidRDefault="00421233">
      <w:pPr>
        <w:spacing w:before="0" w:line="259" w:lineRule="auto"/>
        <w:rPr>
          <w:noProof/>
        </w:rPr>
      </w:pPr>
      <w:r>
        <w:rPr>
          <w:noProof/>
        </w:rPr>
        <w:br w:type="page"/>
      </w:r>
    </w:p>
    <w:p w14:paraId="15D98930" w14:textId="77777777" w:rsidR="009010D9" w:rsidRPr="00E614BB" w:rsidRDefault="009010D9" w:rsidP="00C92FA9">
      <w:pPr>
        <w:pStyle w:val="Figuretitle"/>
        <w:rPr>
          <w:noProof/>
        </w:rPr>
      </w:pPr>
      <w:bookmarkStart w:id="642" w:name="_Toc222740771"/>
      <w:r w:rsidRPr="00E614BB">
        <w:rPr>
          <w:noProof/>
        </w:rPr>
        <w:t>Number of Waste-to-Energy plants and volume treated by country.</w:t>
      </w:r>
      <w:bookmarkEnd w:id="642"/>
    </w:p>
    <w:p w14:paraId="5570BAC5" w14:textId="77777777" w:rsidR="009010D9" w:rsidRDefault="009010D9">
      <w:pPr>
        <w:spacing w:before="0" w:after="0"/>
        <w:jc w:val="center"/>
        <w:rPr>
          <w:noProof/>
        </w:rPr>
      </w:pPr>
      <w:r>
        <w:rPr>
          <w:noProof/>
          <w:lang w:eastAsia="en-GB"/>
        </w:rPr>
        <w:drawing>
          <wp:inline distT="0" distB="0" distL="0" distR="0" wp14:anchorId="7CE1B7E3" wp14:editId="7A58777F">
            <wp:extent cx="5758523" cy="3632200"/>
            <wp:effectExtent l="0" t="0" r="0" b="6350"/>
            <wp:docPr id="1390664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5762065" cy="3634434"/>
                    </a:xfrm>
                    <a:prstGeom prst="rect">
                      <a:avLst/>
                    </a:prstGeom>
                    <a:noFill/>
                    <a:ln>
                      <a:noFill/>
                    </a:ln>
                  </pic:spPr>
                </pic:pic>
              </a:graphicData>
            </a:graphic>
          </wp:inline>
        </w:drawing>
      </w:r>
    </w:p>
    <w:p w14:paraId="60BA0A94" w14:textId="77777777" w:rsidR="009010D9" w:rsidRPr="00AF2667" w:rsidRDefault="009010D9">
      <w:pPr>
        <w:spacing w:before="0" w:after="0"/>
        <w:jc w:val="left"/>
        <w:rPr>
          <w:i/>
          <w:iCs/>
          <w:noProof/>
          <w:sz w:val="20"/>
          <w:szCs w:val="20"/>
        </w:rPr>
      </w:pPr>
      <w:r w:rsidRPr="00AF2667">
        <w:rPr>
          <w:i/>
          <w:iCs/>
          <w:noProof/>
          <w:sz w:val="20"/>
          <w:szCs w:val="20"/>
        </w:rPr>
        <w:t xml:space="preserve">Source: </w:t>
      </w:r>
      <w:r>
        <w:rPr>
          <w:i/>
          <w:iCs/>
          <w:noProof/>
          <w:sz w:val="20"/>
          <w:szCs w:val="20"/>
        </w:rPr>
        <w:t xml:space="preserve">European Commission, based on summary data from </w:t>
      </w:r>
      <w:r w:rsidRPr="00AF2667">
        <w:rPr>
          <w:i/>
          <w:iCs/>
          <w:noProof/>
          <w:sz w:val="20"/>
          <w:szCs w:val="20"/>
        </w:rPr>
        <w:t>CEWEP (2022)</w:t>
      </w:r>
    </w:p>
    <w:p w14:paraId="5C34C900" w14:textId="77777777" w:rsidR="009010D9" w:rsidRPr="00B37ABF" w:rsidRDefault="009010D9">
      <w:pPr>
        <w:rPr>
          <w:i/>
          <w:iCs/>
          <w:noProof/>
          <w:lang w:eastAsia="en-GB"/>
        </w:rPr>
      </w:pPr>
      <w:r w:rsidRPr="00B37ABF">
        <w:rPr>
          <w:i/>
          <w:iCs/>
          <w:noProof/>
          <w:lang w:eastAsia="en-GB"/>
        </w:rPr>
        <w:t xml:space="preserve">Emissions </w:t>
      </w:r>
    </w:p>
    <w:p w14:paraId="700FDACA" w14:textId="77777777" w:rsidR="009010D9" w:rsidRDefault="009010D9">
      <w:pPr>
        <w:rPr>
          <w:noProof/>
          <w:lang w:eastAsia="en-GB"/>
        </w:rPr>
      </w:pPr>
      <w:r w:rsidRPr="007B6820">
        <w:rPr>
          <w:noProof/>
          <w:lang w:eastAsia="en-GB"/>
        </w:rPr>
        <w:t>Municipal waste is mostly composed of packaging materials and bio-waste (biodegradable garden and park waste, and food and kitchen waste).</w:t>
      </w:r>
      <w:r>
        <w:rPr>
          <w:noProof/>
          <w:lang w:eastAsia="en-GB"/>
        </w:rPr>
        <w:t xml:space="preserve"> </w:t>
      </w:r>
      <w:r w:rsidRPr="002171D2">
        <w:rPr>
          <w:noProof/>
          <w:lang w:eastAsia="en-GB"/>
        </w:rPr>
        <w:t xml:space="preserve">The climate change impact of </w:t>
      </w:r>
      <w:r>
        <w:rPr>
          <w:noProof/>
          <w:lang w:eastAsia="en-GB"/>
        </w:rPr>
        <w:t>MWI</w:t>
      </w:r>
      <w:r w:rsidRPr="002171D2">
        <w:rPr>
          <w:noProof/>
          <w:lang w:eastAsia="en-GB"/>
        </w:rPr>
        <w:t xml:space="preserve"> accounted as total CO</w:t>
      </w:r>
      <w:r w:rsidRPr="008C7062">
        <w:rPr>
          <w:noProof/>
          <w:vertAlign w:val="subscript"/>
          <w:lang w:eastAsia="en-GB"/>
        </w:rPr>
        <w:t>2</w:t>
      </w:r>
      <w:r w:rsidRPr="002171D2">
        <w:rPr>
          <w:noProof/>
          <w:lang w:eastAsia="en-GB"/>
        </w:rPr>
        <w:t>e emissions largely depend</w:t>
      </w:r>
      <w:r>
        <w:rPr>
          <w:noProof/>
          <w:lang w:eastAsia="en-GB"/>
        </w:rPr>
        <w:t>s</w:t>
      </w:r>
      <w:r w:rsidRPr="002171D2">
        <w:rPr>
          <w:noProof/>
          <w:lang w:eastAsia="en-GB"/>
        </w:rPr>
        <w:t xml:space="preserve"> on </w:t>
      </w:r>
      <w:r>
        <w:rPr>
          <w:noProof/>
          <w:lang w:eastAsia="en-GB"/>
        </w:rPr>
        <w:t>the distribution between these</w:t>
      </w:r>
      <w:r w:rsidRPr="002171D2">
        <w:rPr>
          <w:noProof/>
          <w:lang w:eastAsia="en-GB"/>
        </w:rPr>
        <w:t xml:space="preserve"> biogenic </w:t>
      </w:r>
      <w:r>
        <w:rPr>
          <w:noProof/>
          <w:lang w:eastAsia="en-GB"/>
        </w:rPr>
        <w:t>and</w:t>
      </w:r>
      <w:r w:rsidRPr="002171D2">
        <w:rPr>
          <w:noProof/>
          <w:lang w:eastAsia="en-GB"/>
        </w:rPr>
        <w:t xml:space="preserve"> fossil fractions of waste input. This varies locally, regionally and from country to country depending on collection schemes, potential pre-sorting stages and local citizen habits. A tonne of municipal waste is </w:t>
      </w:r>
      <w:r>
        <w:rPr>
          <w:noProof/>
          <w:lang w:eastAsia="en-GB"/>
        </w:rPr>
        <w:t xml:space="preserve">generally </w:t>
      </w:r>
      <w:r w:rsidRPr="002171D2">
        <w:rPr>
          <w:noProof/>
          <w:lang w:eastAsia="en-GB"/>
        </w:rPr>
        <w:t>estimated to be associated with emissions between 0.7 and 1.2 tonne CO</w:t>
      </w:r>
      <w:r w:rsidRPr="008C7062">
        <w:rPr>
          <w:noProof/>
          <w:vertAlign w:val="subscript"/>
          <w:lang w:eastAsia="en-GB"/>
        </w:rPr>
        <w:t>2</w:t>
      </w:r>
      <w:r w:rsidRPr="002171D2">
        <w:rPr>
          <w:noProof/>
          <w:lang w:eastAsia="en-GB"/>
        </w:rPr>
        <w:t>, of which approximately half is fossil</w:t>
      </w:r>
      <w:r>
        <w:rPr>
          <w:noProof/>
          <w:lang w:eastAsia="en-GB"/>
        </w:rPr>
        <w:t xml:space="preserve"> and half biogenic</w:t>
      </w:r>
      <w:r>
        <w:rPr>
          <w:rStyle w:val="FootnoteReference"/>
          <w:noProof/>
          <w:lang w:eastAsia="en-GB"/>
        </w:rPr>
        <w:footnoteReference w:id="54"/>
      </w:r>
      <w:r w:rsidRPr="002171D2">
        <w:rPr>
          <w:noProof/>
          <w:lang w:eastAsia="en-GB"/>
        </w:rPr>
        <w:t xml:space="preserve">. There are also other emissions associated with the plant operations, for example, the </w:t>
      </w:r>
      <w:r>
        <w:rPr>
          <w:noProof/>
          <w:lang w:eastAsia="en-GB"/>
        </w:rPr>
        <w:t>use</w:t>
      </w:r>
      <w:r w:rsidRPr="002171D2">
        <w:rPr>
          <w:noProof/>
          <w:lang w:eastAsia="en-GB"/>
        </w:rPr>
        <w:t xml:space="preserve"> of burners to start-up or maintain autothermal combustion, or the generation of N</w:t>
      </w:r>
      <w:r w:rsidRPr="008C7062">
        <w:rPr>
          <w:noProof/>
          <w:vertAlign w:val="subscript"/>
          <w:lang w:eastAsia="en-GB"/>
        </w:rPr>
        <w:t>2</w:t>
      </w:r>
      <w:r w:rsidRPr="002171D2">
        <w:rPr>
          <w:noProof/>
          <w:lang w:eastAsia="en-GB"/>
        </w:rPr>
        <w:t xml:space="preserve">O in the </w:t>
      </w:r>
      <w:r w:rsidRPr="09E5CE5E" w:rsidDel="1EEED763">
        <w:rPr>
          <w:noProof/>
          <w:lang w:eastAsia="en-GB"/>
        </w:rPr>
        <w:t>de</w:t>
      </w:r>
      <w:r w:rsidRPr="002171D2">
        <w:rPr>
          <w:noProof/>
          <w:lang w:eastAsia="en-GB"/>
        </w:rPr>
        <w:t>NOx system.</w:t>
      </w:r>
    </w:p>
    <w:p w14:paraId="2B4976C3" w14:textId="77777777" w:rsidR="009010D9" w:rsidRDefault="009010D9">
      <w:pPr>
        <w:rPr>
          <w:noProof/>
        </w:rPr>
      </w:pPr>
      <w:r>
        <w:rPr>
          <w:noProof/>
        </w:rPr>
        <w:t>Emissions data and estimates for MWI in the EU</w:t>
      </w:r>
      <w:r w:rsidRPr="00F03030">
        <w:rPr>
          <w:noProof/>
        </w:rPr>
        <w:t xml:space="preserve"> </w:t>
      </w:r>
      <w:r>
        <w:rPr>
          <w:noProof/>
        </w:rPr>
        <w:t>are presented in Table 1 and explored and compared in detail in Appendix 1</w:t>
      </w:r>
      <w:r w:rsidRPr="00F03030">
        <w:rPr>
          <w:noProof/>
        </w:rPr>
        <w:t>.</w:t>
      </w:r>
      <w:r>
        <w:rPr>
          <w:noProof/>
        </w:rPr>
        <w:t xml:space="preserve"> MWI emissions have increased by almost 300% from 1990 to 2023</w:t>
      </w:r>
      <w:r>
        <w:rPr>
          <w:rStyle w:val="FootnoteReference"/>
          <w:noProof/>
        </w:rPr>
        <w:footnoteReference w:id="55"/>
      </w:r>
      <w:r>
        <w:rPr>
          <w:noProof/>
        </w:rPr>
        <w:t>, in parallel to the increase in volumes of waste incinerated</w:t>
      </w:r>
      <w:r>
        <w:rPr>
          <w:rStyle w:val="FootnoteReference"/>
          <w:noProof/>
        </w:rPr>
        <w:footnoteReference w:id="56"/>
      </w:r>
      <w:r w:rsidRPr="00E50382">
        <w:rPr>
          <w:noProof/>
        </w:rPr>
        <w:t>.</w:t>
      </w:r>
    </w:p>
    <w:p w14:paraId="3C5DE896" w14:textId="77777777" w:rsidR="009010D9" w:rsidRPr="00C92FA9" w:rsidRDefault="009010D9" w:rsidP="0018561F">
      <w:pPr>
        <w:pStyle w:val="Tabletitle"/>
        <w:numPr>
          <w:ilvl w:val="0"/>
          <w:numId w:val="56"/>
        </w:numPr>
        <w:ind w:left="567"/>
        <w:rPr>
          <w:noProof/>
        </w:rPr>
      </w:pPr>
      <w:bookmarkStart w:id="643" w:name="_Toc222740715"/>
      <w:bookmarkStart w:id="644" w:name="_Toc234435135"/>
      <w:r w:rsidRPr="00C92FA9">
        <w:rPr>
          <w:noProof/>
        </w:rPr>
        <w:t>Emissions data and estimates for MWI in the EU-27.</w:t>
      </w:r>
      <w:bookmarkEnd w:id="643"/>
      <w:bookmarkEnd w:id="644"/>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224"/>
        <w:gridCol w:w="1224"/>
        <w:gridCol w:w="1417"/>
        <w:gridCol w:w="1459"/>
        <w:gridCol w:w="2128"/>
      </w:tblGrid>
      <w:tr w:rsidR="009010D9" w:rsidRPr="00E22BF4" w14:paraId="5BEE815A" w14:textId="77777777" w:rsidTr="00C92FA9">
        <w:tc>
          <w:tcPr>
            <w:tcW w:w="867" w:type="pct"/>
          </w:tcPr>
          <w:p w14:paraId="79B0A2D9" w14:textId="77777777" w:rsidR="009010D9" w:rsidRPr="00E22BF4" w:rsidRDefault="009010D9">
            <w:pPr>
              <w:spacing w:before="0"/>
              <w:rPr>
                <w:b/>
                <w:bCs/>
                <w:noProof/>
                <w:sz w:val="22"/>
                <w:szCs w:val="22"/>
              </w:rPr>
            </w:pPr>
            <w:r w:rsidRPr="00E22BF4">
              <w:rPr>
                <w:b/>
                <w:bCs/>
                <w:noProof/>
                <w:sz w:val="22"/>
                <w:szCs w:val="22"/>
              </w:rPr>
              <w:t>Source</w:t>
            </w:r>
          </w:p>
        </w:tc>
        <w:tc>
          <w:tcPr>
            <w:tcW w:w="679" w:type="pct"/>
          </w:tcPr>
          <w:p w14:paraId="08644F4E" w14:textId="77777777" w:rsidR="009010D9" w:rsidRPr="00E22BF4" w:rsidRDefault="009010D9">
            <w:pPr>
              <w:spacing w:before="0"/>
              <w:rPr>
                <w:b/>
                <w:bCs/>
                <w:noProof/>
                <w:sz w:val="22"/>
                <w:szCs w:val="22"/>
              </w:rPr>
            </w:pPr>
            <w:r w:rsidRPr="00E22BF4">
              <w:rPr>
                <w:b/>
                <w:bCs/>
                <w:noProof/>
                <w:sz w:val="22"/>
                <w:szCs w:val="22"/>
              </w:rPr>
              <w:t>Year of reporting</w:t>
            </w:r>
          </w:p>
        </w:tc>
        <w:tc>
          <w:tcPr>
            <w:tcW w:w="679" w:type="pct"/>
          </w:tcPr>
          <w:p w14:paraId="0B43092E" w14:textId="77777777" w:rsidR="009010D9" w:rsidRPr="00E22BF4" w:rsidRDefault="009010D9">
            <w:pPr>
              <w:spacing w:before="0"/>
              <w:rPr>
                <w:b/>
                <w:bCs/>
                <w:noProof/>
                <w:sz w:val="22"/>
                <w:szCs w:val="22"/>
              </w:rPr>
            </w:pPr>
            <w:r w:rsidRPr="00E22BF4">
              <w:rPr>
                <w:b/>
                <w:bCs/>
                <w:noProof/>
                <w:sz w:val="22"/>
                <w:szCs w:val="22"/>
              </w:rPr>
              <w:t>Year of emissions</w:t>
            </w:r>
          </w:p>
        </w:tc>
        <w:tc>
          <w:tcPr>
            <w:tcW w:w="786" w:type="pct"/>
          </w:tcPr>
          <w:p w14:paraId="25C3D2C6" w14:textId="77777777" w:rsidR="009010D9" w:rsidRPr="00E22BF4" w:rsidRDefault="009010D9">
            <w:pPr>
              <w:spacing w:before="0"/>
              <w:rPr>
                <w:b/>
                <w:bCs/>
                <w:noProof/>
                <w:sz w:val="22"/>
                <w:szCs w:val="22"/>
              </w:rPr>
            </w:pPr>
            <w:r w:rsidRPr="00E22BF4">
              <w:rPr>
                <w:b/>
                <w:bCs/>
                <w:noProof/>
                <w:sz w:val="22"/>
                <w:szCs w:val="22"/>
              </w:rPr>
              <w:t>Fossil emissions (MtCO2e)</w:t>
            </w:r>
          </w:p>
        </w:tc>
        <w:tc>
          <w:tcPr>
            <w:tcW w:w="809" w:type="pct"/>
          </w:tcPr>
          <w:p w14:paraId="6479BE15" w14:textId="77777777" w:rsidR="009010D9" w:rsidRPr="00E22BF4" w:rsidRDefault="009010D9">
            <w:pPr>
              <w:spacing w:before="0"/>
              <w:rPr>
                <w:b/>
                <w:bCs/>
                <w:noProof/>
                <w:sz w:val="22"/>
                <w:szCs w:val="22"/>
              </w:rPr>
            </w:pPr>
            <w:r w:rsidRPr="00E22BF4">
              <w:rPr>
                <w:b/>
                <w:bCs/>
                <w:noProof/>
                <w:sz w:val="22"/>
                <w:szCs w:val="22"/>
              </w:rPr>
              <w:t>Biogenic emissions (MtCO2e)</w:t>
            </w:r>
          </w:p>
        </w:tc>
        <w:tc>
          <w:tcPr>
            <w:tcW w:w="1181" w:type="pct"/>
          </w:tcPr>
          <w:p w14:paraId="2D7E28C3" w14:textId="77777777" w:rsidR="009010D9" w:rsidRPr="00E22BF4" w:rsidRDefault="009010D9">
            <w:pPr>
              <w:spacing w:before="0"/>
              <w:rPr>
                <w:b/>
                <w:bCs/>
                <w:noProof/>
                <w:sz w:val="22"/>
                <w:szCs w:val="22"/>
              </w:rPr>
            </w:pPr>
            <w:r w:rsidRPr="00E22BF4">
              <w:rPr>
                <w:b/>
                <w:bCs/>
                <w:noProof/>
                <w:sz w:val="22"/>
                <w:szCs w:val="22"/>
              </w:rPr>
              <w:t>Data limitations</w:t>
            </w:r>
          </w:p>
        </w:tc>
      </w:tr>
      <w:tr w:rsidR="009010D9" w:rsidRPr="00E22BF4" w14:paraId="208C3FBF" w14:textId="77777777" w:rsidTr="00C92FA9">
        <w:tc>
          <w:tcPr>
            <w:tcW w:w="867" w:type="pct"/>
          </w:tcPr>
          <w:p w14:paraId="67E54298" w14:textId="77777777" w:rsidR="009010D9" w:rsidRPr="00E22BF4" w:rsidRDefault="009010D9">
            <w:pPr>
              <w:spacing w:before="0"/>
              <w:rPr>
                <w:noProof/>
                <w:sz w:val="22"/>
                <w:szCs w:val="22"/>
              </w:rPr>
            </w:pPr>
            <w:r w:rsidRPr="00E22BF4">
              <w:rPr>
                <w:noProof/>
                <w:sz w:val="22"/>
                <w:szCs w:val="22"/>
              </w:rPr>
              <w:t>ETS MRV data</w:t>
            </w:r>
          </w:p>
        </w:tc>
        <w:tc>
          <w:tcPr>
            <w:tcW w:w="679" w:type="pct"/>
            <w:vAlign w:val="center"/>
          </w:tcPr>
          <w:p w14:paraId="6138A672" w14:textId="77777777" w:rsidR="009010D9" w:rsidRPr="00E22BF4" w:rsidRDefault="009010D9">
            <w:pPr>
              <w:spacing w:before="0"/>
              <w:jc w:val="center"/>
              <w:rPr>
                <w:noProof/>
                <w:sz w:val="22"/>
                <w:szCs w:val="22"/>
              </w:rPr>
            </w:pPr>
            <w:r w:rsidRPr="00E22BF4">
              <w:rPr>
                <w:noProof/>
                <w:sz w:val="22"/>
                <w:szCs w:val="22"/>
              </w:rPr>
              <w:t>2025</w:t>
            </w:r>
          </w:p>
        </w:tc>
        <w:tc>
          <w:tcPr>
            <w:tcW w:w="679" w:type="pct"/>
            <w:vAlign w:val="center"/>
          </w:tcPr>
          <w:p w14:paraId="55564C76" w14:textId="77777777" w:rsidR="009010D9" w:rsidRPr="00E22BF4" w:rsidRDefault="009010D9">
            <w:pPr>
              <w:spacing w:before="0"/>
              <w:jc w:val="center"/>
              <w:rPr>
                <w:noProof/>
                <w:sz w:val="22"/>
                <w:szCs w:val="22"/>
              </w:rPr>
            </w:pPr>
            <w:r w:rsidRPr="00E22BF4">
              <w:rPr>
                <w:noProof/>
                <w:sz w:val="22"/>
                <w:szCs w:val="22"/>
              </w:rPr>
              <w:t>2024</w:t>
            </w:r>
          </w:p>
        </w:tc>
        <w:tc>
          <w:tcPr>
            <w:tcW w:w="786" w:type="pct"/>
            <w:vAlign w:val="center"/>
          </w:tcPr>
          <w:p w14:paraId="6AC03E08" w14:textId="77777777" w:rsidR="009010D9" w:rsidRPr="00E22BF4" w:rsidRDefault="009010D9">
            <w:pPr>
              <w:spacing w:before="0"/>
              <w:jc w:val="center"/>
              <w:rPr>
                <w:noProof/>
                <w:sz w:val="22"/>
                <w:szCs w:val="22"/>
              </w:rPr>
            </w:pPr>
            <w:r>
              <w:rPr>
                <w:noProof/>
                <w:sz w:val="22"/>
                <w:szCs w:val="22"/>
              </w:rPr>
              <w:t>39.4</w:t>
            </w:r>
          </w:p>
        </w:tc>
        <w:tc>
          <w:tcPr>
            <w:tcW w:w="809" w:type="pct"/>
            <w:vAlign w:val="center"/>
          </w:tcPr>
          <w:p w14:paraId="6C1899B6" w14:textId="77777777" w:rsidR="009010D9" w:rsidRPr="00E22BF4" w:rsidRDefault="009010D9">
            <w:pPr>
              <w:spacing w:before="0"/>
              <w:jc w:val="center"/>
              <w:rPr>
                <w:noProof/>
                <w:sz w:val="22"/>
                <w:szCs w:val="22"/>
              </w:rPr>
            </w:pPr>
            <w:r>
              <w:rPr>
                <w:noProof/>
                <w:sz w:val="22"/>
                <w:szCs w:val="22"/>
              </w:rPr>
              <w:t>45.6</w:t>
            </w:r>
          </w:p>
        </w:tc>
        <w:tc>
          <w:tcPr>
            <w:tcW w:w="1181" w:type="pct"/>
          </w:tcPr>
          <w:p w14:paraId="06CDCF09" w14:textId="77777777" w:rsidR="009010D9" w:rsidRPr="00E22BF4" w:rsidRDefault="009010D9">
            <w:pPr>
              <w:spacing w:before="0"/>
              <w:rPr>
                <w:noProof/>
                <w:sz w:val="22"/>
                <w:szCs w:val="22"/>
              </w:rPr>
            </w:pPr>
            <w:r w:rsidRPr="00E22BF4">
              <w:rPr>
                <w:noProof/>
                <w:sz w:val="22"/>
                <w:szCs w:val="22"/>
              </w:rPr>
              <w:t>Only installations above 20MW.</w:t>
            </w:r>
          </w:p>
        </w:tc>
      </w:tr>
      <w:tr w:rsidR="009010D9" w:rsidRPr="00E22BF4" w14:paraId="439D5913" w14:textId="77777777" w:rsidTr="00C92FA9">
        <w:trPr>
          <w:trHeight w:val="699"/>
        </w:trPr>
        <w:tc>
          <w:tcPr>
            <w:tcW w:w="867" w:type="pct"/>
          </w:tcPr>
          <w:p w14:paraId="3F76540F" w14:textId="77777777" w:rsidR="009010D9" w:rsidRPr="00E22BF4" w:rsidRDefault="009010D9">
            <w:pPr>
              <w:spacing w:before="0"/>
              <w:rPr>
                <w:noProof/>
                <w:sz w:val="22"/>
                <w:szCs w:val="22"/>
              </w:rPr>
            </w:pPr>
            <w:r w:rsidRPr="00E22BF4">
              <w:rPr>
                <w:noProof/>
                <w:sz w:val="22"/>
                <w:szCs w:val="22"/>
              </w:rPr>
              <w:t>UNFCCC Inventory Data</w:t>
            </w:r>
          </w:p>
        </w:tc>
        <w:tc>
          <w:tcPr>
            <w:tcW w:w="679" w:type="pct"/>
            <w:vAlign w:val="center"/>
          </w:tcPr>
          <w:p w14:paraId="39839CD7" w14:textId="77777777" w:rsidR="009010D9" w:rsidRPr="00E22BF4" w:rsidRDefault="009010D9">
            <w:pPr>
              <w:spacing w:before="0"/>
              <w:jc w:val="center"/>
              <w:rPr>
                <w:noProof/>
                <w:sz w:val="22"/>
                <w:szCs w:val="22"/>
              </w:rPr>
            </w:pPr>
            <w:r w:rsidRPr="00E22BF4">
              <w:rPr>
                <w:noProof/>
                <w:sz w:val="22"/>
                <w:szCs w:val="22"/>
              </w:rPr>
              <w:t>2025</w:t>
            </w:r>
          </w:p>
        </w:tc>
        <w:tc>
          <w:tcPr>
            <w:tcW w:w="679" w:type="pct"/>
            <w:vAlign w:val="center"/>
          </w:tcPr>
          <w:p w14:paraId="0924B256" w14:textId="77777777" w:rsidR="009010D9" w:rsidRPr="00E22BF4" w:rsidRDefault="009010D9">
            <w:pPr>
              <w:spacing w:before="0"/>
              <w:jc w:val="center"/>
              <w:rPr>
                <w:noProof/>
                <w:sz w:val="22"/>
                <w:szCs w:val="22"/>
              </w:rPr>
            </w:pPr>
            <w:r w:rsidRPr="00E22BF4">
              <w:rPr>
                <w:noProof/>
                <w:sz w:val="22"/>
                <w:szCs w:val="22"/>
              </w:rPr>
              <w:t>2023</w:t>
            </w:r>
          </w:p>
        </w:tc>
        <w:tc>
          <w:tcPr>
            <w:tcW w:w="786" w:type="pct"/>
            <w:vAlign w:val="center"/>
          </w:tcPr>
          <w:p w14:paraId="5FDA32A1" w14:textId="77777777" w:rsidR="009010D9" w:rsidRPr="00E22BF4" w:rsidRDefault="009010D9">
            <w:pPr>
              <w:spacing w:before="0"/>
              <w:jc w:val="center"/>
              <w:rPr>
                <w:noProof/>
                <w:sz w:val="22"/>
                <w:szCs w:val="22"/>
              </w:rPr>
            </w:pPr>
            <w:r w:rsidRPr="00E22BF4">
              <w:rPr>
                <w:noProof/>
                <w:sz w:val="22"/>
                <w:szCs w:val="22"/>
              </w:rPr>
              <w:t>38.</w:t>
            </w:r>
            <w:r>
              <w:rPr>
                <w:noProof/>
                <w:sz w:val="22"/>
                <w:szCs w:val="22"/>
              </w:rPr>
              <w:t>2</w:t>
            </w:r>
          </w:p>
        </w:tc>
        <w:tc>
          <w:tcPr>
            <w:tcW w:w="809" w:type="pct"/>
            <w:vAlign w:val="center"/>
          </w:tcPr>
          <w:p w14:paraId="50D53CD4" w14:textId="77777777" w:rsidR="009010D9" w:rsidRPr="00E22BF4" w:rsidRDefault="009010D9">
            <w:pPr>
              <w:spacing w:before="0"/>
              <w:jc w:val="center"/>
              <w:rPr>
                <w:noProof/>
                <w:sz w:val="22"/>
                <w:szCs w:val="22"/>
              </w:rPr>
            </w:pPr>
            <w:r w:rsidRPr="00E22BF4">
              <w:rPr>
                <w:noProof/>
                <w:sz w:val="22"/>
                <w:szCs w:val="22"/>
              </w:rPr>
              <w:t>/</w:t>
            </w:r>
          </w:p>
        </w:tc>
        <w:tc>
          <w:tcPr>
            <w:tcW w:w="1181" w:type="pct"/>
          </w:tcPr>
          <w:p w14:paraId="1F8B71E6" w14:textId="77777777" w:rsidR="009010D9" w:rsidRPr="00E22BF4" w:rsidRDefault="009010D9">
            <w:pPr>
              <w:spacing w:before="0"/>
              <w:rPr>
                <w:noProof/>
                <w:sz w:val="22"/>
                <w:szCs w:val="22"/>
              </w:rPr>
            </w:pPr>
            <w:r w:rsidRPr="00E22BF4">
              <w:rPr>
                <w:noProof/>
                <w:sz w:val="22"/>
                <w:szCs w:val="22"/>
              </w:rPr>
              <w:t>Includes some non-disaggregated emissions from other activities.</w:t>
            </w:r>
          </w:p>
        </w:tc>
      </w:tr>
      <w:tr w:rsidR="009010D9" w:rsidRPr="00E22BF4" w14:paraId="076D715B" w14:textId="77777777" w:rsidTr="00C92FA9">
        <w:tc>
          <w:tcPr>
            <w:tcW w:w="867" w:type="pct"/>
          </w:tcPr>
          <w:p w14:paraId="066F038D" w14:textId="77777777" w:rsidR="009010D9" w:rsidRPr="00E22BF4" w:rsidRDefault="009010D9">
            <w:pPr>
              <w:spacing w:before="0"/>
              <w:rPr>
                <w:noProof/>
                <w:sz w:val="22"/>
                <w:szCs w:val="22"/>
              </w:rPr>
            </w:pPr>
            <w:r w:rsidRPr="00E22BF4">
              <w:rPr>
                <w:noProof/>
                <w:sz w:val="22"/>
                <w:szCs w:val="22"/>
              </w:rPr>
              <w:t>Internal Commission estimate</w:t>
            </w:r>
          </w:p>
        </w:tc>
        <w:tc>
          <w:tcPr>
            <w:tcW w:w="679" w:type="pct"/>
            <w:vAlign w:val="center"/>
          </w:tcPr>
          <w:p w14:paraId="6BE7DCEF" w14:textId="77777777" w:rsidR="009010D9" w:rsidRPr="00E22BF4" w:rsidRDefault="009010D9">
            <w:pPr>
              <w:spacing w:before="0"/>
              <w:jc w:val="center"/>
              <w:rPr>
                <w:noProof/>
                <w:sz w:val="22"/>
                <w:szCs w:val="22"/>
              </w:rPr>
            </w:pPr>
            <w:r w:rsidRPr="00E22BF4">
              <w:rPr>
                <w:noProof/>
                <w:sz w:val="22"/>
                <w:szCs w:val="22"/>
              </w:rPr>
              <w:t>2022</w:t>
            </w:r>
          </w:p>
        </w:tc>
        <w:tc>
          <w:tcPr>
            <w:tcW w:w="679" w:type="pct"/>
            <w:vAlign w:val="center"/>
          </w:tcPr>
          <w:p w14:paraId="3913BD2D" w14:textId="77777777" w:rsidR="009010D9" w:rsidRPr="00E22BF4" w:rsidRDefault="009010D9">
            <w:pPr>
              <w:spacing w:before="0"/>
              <w:jc w:val="center"/>
              <w:rPr>
                <w:noProof/>
                <w:sz w:val="22"/>
                <w:szCs w:val="22"/>
              </w:rPr>
            </w:pPr>
            <w:r w:rsidRPr="00E22BF4">
              <w:rPr>
                <w:noProof/>
                <w:sz w:val="22"/>
                <w:szCs w:val="22"/>
              </w:rPr>
              <w:t>2016-2018</w:t>
            </w:r>
          </w:p>
        </w:tc>
        <w:tc>
          <w:tcPr>
            <w:tcW w:w="786" w:type="pct"/>
            <w:vAlign w:val="center"/>
          </w:tcPr>
          <w:p w14:paraId="454D4708" w14:textId="77777777" w:rsidR="009010D9" w:rsidRPr="00E22BF4" w:rsidRDefault="009010D9">
            <w:pPr>
              <w:spacing w:before="0"/>
              <w:jc w:val="center"/>
              <w:rPr>
                <w:noProof/>
                <w:sz w:val="22"/>
                <w:szCs w:val="22"/>
              </w:rPr>
            </w:pPr>
            <w:r w:rsidRPr="00E22BF4">
              <w:rPr>
                <w:noProof/>
                <w:sz w:val="22"/>
                <w:szCs w:val="22"/>
              </w:rPr>
              <w:t>44.3</w:t>
            </w:r>
          </w:p>
        </w:tc>
        <w:tc>
          <w:tcPr>
            <w:tcW w:w="809" w:type="pct"/>
            <w:vAlign w:val="center"/>
          </w:tcPr>
          <w:p w14:paraId="40AAD606" w14:textId="77777777" w:rsidR="009010D9" w:rsidRPr="00E22BF4" w:rsidRDefault="009010D9">
            <w:pPr>
              <w:spacing w:before="0"/>
              <w:jc w:val="center"/>
              <w:rPr>
                <w:noProof/>
                <w:sz w:val="22"/>
                <w:szCs w:val="22"/>
              </w:rPr>
            </w:pPr>
            <w:r w:rsidRPr="00E22BF4">
              <w:rPr>
                <w:noProof/>
                <w:sz w:val="22"/>
                <w:szCs w:val="22"/>
              </w:rPr>
              <w:t>/</w:t>
            </w:r>
          </w:p>
        </w:tc>
        <w:tc>
          <w:tcPr>
            <w:tcW w:w="1181" w:type="pct"/>
          </w:tcPr>
          <w:p w14:paraId="74E16F08" w14:textId="77777777" w:rsidR="009010D9" w:rsidRPr="00E22BF4" w:rsidRDefault="009010D9">
            <w:pPr>
              <w:spacing w:before="0"/>
              <w:rPr>
                <w:noProof/>
                <w:sz w:val="22"/>
                <w:szCs w:val="22"/>
              </w:rPr>
            </w:pPr>
            <w:r w:rsidRPr="00E22BF4">
              <w:rPr>
                <w:noProof/>
                <w:sz w:val="22"/>
                <w:szCs w:val="22"/>
              </w:rPr>
              <w:t>Includes emissions from HWI and co-incineration.</w:t>
            </w:r>
          </w:p>
        </w:tc>
      </w:tr>
    </w:tbl>
    <w:p w14:paraId="0CA275D2" w14:textId="77777777" w:rsidR="009010D9" w:rsidRPr="00D30B55" w:rsidRDefault="009010D9">
      <w:pPr>
        <w:spacing w:after="0"/>
        <w:rPr>
          <w:i/>
          <w:iCs/>
          <w:noProof/>
          <w:lang w:eastAsia="en-GB"/>
        </w:rPr>
      </w:pPr>
      <w:r>
        <w:rPr>
          <w:i/>
          <w:iCs/>
          <w:noProof/>
          <w:lang w:eastAsia="en-GB"/>
        </w:rPr>
        <w:t xml:space="preserve">Cap </w:t>
      </w:r>
    </w:p>
    <w:p w14:paraId="4F8EB0E3" w14:textId="77777777" w:rsidR="009010D9" w:rsidRPr="000260D9" w:rsidRDefault="009010D9">
      <w:pPr>
        <w:rPr>
          <w:noProof/>
          <w:lang w:eastAsia="en-GB"/>
        </w:rPr>
      </w:pPr>
      <w:r w:rsidRPr="1D4E36FA">
        <w:rPr>
          <w:noProof/>
          <w:lang w:eastAsia="en-GB"/>
        </w:rPr>
        <w:t>The cap on emissions determines the ambition level of the ETS and is the maximum absolute quantity of GHGs that can be emitted by the covered activities to ensure the emission reduction target. The cap’s annual trajectory is declining based on the linear reduction factor (LRF), which is set as a percentage applied to a reference value. The cap and LR</w:t>
      </w:r>
      <w:r>
        <w:rPr>
          <w:noProof/>
          <w:lang w:eastAsia="en-GB"/>
        </w:rPr>
        <w:t xml:space="preserve">F approach for MWI would need to be consistent with the overall EU ETS cap and LRF, implying an increase of the cap by the scope of MWI emissions. To determine the cap increase in order to base the system on recent, robust and verified data, the </w:t>
      </w:r>
      <w:r w:rsidRPr="000260D9">
        <w:rPr>
          <w:noProof/>
          <w:lang w:eastAsia="en-GB"/>
        </w:rPr>
        <w:t xml:space="preserve">cap extension </w:t>
      </w:r>
      <w:r>
        <w:rPr>
          <w:noProof/>
          <w:lang w:eastAsia="en-GB"/>
        </w:rPr>
        <w:t>for MWI (measure W1)</w:t>
      </w:r>
      <w:r w:rsidRPr="000260D9">
        <w:rPr>
          <w:noProof/>
          <w:lang w:eastAsia="en-GB"/>
        </w:rPr>
        <w:t xml:space="preserve"> has been </w:t>
      </w:r>
      <w:r w:rsidRPr="006017CB">
        <w:rPr>
          <w:noProof/>
          <w:lang w:eastAsia="en-GB"/>
        </w:rPr>
        <w:t xml:space="preserve">modelled </w:t>
      </w:r>
      <w:r w:rsidRPr="000260D9">
        <w:rPr>
          <w:noProof/>
          <w:lang w:eastAsia="en-GB"/>
        </w:rPr>
        <w:t xml:space="preserve">to be in the range of </w:t>
      </w:r>
      <w:r>
        <w:rPr>
          <w:noProof/>
          <w:lang w:eastAsia="en-GB"/>
        </w:rPr>
        <w:t>41.5</w:t>
      </w:r>
      <w:r w:rsidRPr="000260D9">
        <w:rPr>
          <w:noProof/>
          <w:lang w:eastAsia="en-GB"/>
        </w:rPr>
        <w:t xml:space="preserve"> MtCO2eq (EU</w:t>
      </w:r>
      <w:r>
        <w:rPr>
          <w:noProof/>
          <w:lang w:eastAsia="en-GB"/>
        </w:rPr>
        <w:t>-</w:t>
      </w:r>
      <w:r w:rsidRPr="000260D9">
        <w:rPr>
          <w:noProof/>
          <w:lang w:eastAsia="en-GB"/>
        </w:rPr>
        <w:t xml:space="preserve">27) and </w:t>
      </w:r>
      <w:r>
        <w:rPr>
          <w:noProof/>
          <w:lang w:eastAsia="en-GB"/>
        </w:rPr>
        <w:t>42.2</w:t>
      </w:r>
      <w:r w:rsidRPr="000260D9">
        <w:rPr>
          <w:noProof/>
          <w:lang w:eastAsia="en-GB"/>
        </w:rPr>
        <w:t xml:space="preserve"> MtCO2e (EEA)</w:t>
      </w:r>
      <w:r w:rsidRPr="000260D9">
        <w:rPr>
          <w:rStyle w:val="FootnoteReference"/>
          <w:noProof/>
          <w:lang w:eastAsia="en-GB"/>
        </w:rPr>
        <w:footnoteReference w:id="57"/>
      </w:r>
      <w:r>
        <w:rPr>
          <w:noProof/>
          <w:lang w:eastAsia="en-GB"/>
        </w:rPr>
        <w:t xml:space="preserve"> (see Table 2)</w:t>
      </w:r>
      <w:r w:rsidRPr="000260D9">
        <w:rPr>
          <w:noProof/>
          <w:lang w:eastAsia="en-GB"/>
        </w:rPr>
        <w:t xml:space="preserve">, starting from the data explored in this section and taking into account differences in scope and timeframe (see Appendix 1 for details). </w:t>
      </w:r>
    </w:p>
    <w:p w14:paraId="3024C5C3" w14:textId="77777777" w:rsidR="009010D9" w:rsidRPr="00245BB8" w:rsidRDefault="009010D9" w:rsidP="00C92FA9">
      <w:pPr>
        <w:pStyle w:val="Tabletitle"/>
        <w:rPr>
          <w:noProof/>
        </w:rPr>
      </w:pPr>
      <w:bookmarkStart w:id="645" w:name="_Toc222740716"/>
      <w:bookmarkStart w:id="646" w:name="_Toc234435136"/>
      <w:r w:rsidRPr="00245BB8">
        <w:rPr>
          <w:noProof/>
        </w:rPr>
        <w:t>Modelling of 2030 EU ETS cap extension for the inclusion of emissions from MWI.</w:t>
      </w:r>
      <w:bookmarkEnd w:id="645"/>
      <w:bookmarkEnd w:id="646"/>
      <w:r w:rsidRPr="00245BB8">
        <w:rPr>
          <w:noProof/>
        </w:rPr>
        <w:t xml:space="preserve"> </w:t>
      </w:r>
    </w:p>
    <w:tbl>
      <w:tblPr>
        <w:tblStyle w:val="GridTable1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4770"/>
        <w:gridCol w:w="1350"/>
        <w:gridCol w:w="1075"/>
      </w:tblGrid>
      <w:tr w:rsidR="009010D9" w:rsidRPr="003D65BF" w14:paraId="406A6FE2" w14:textId="77777777">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895" w:type="dxa"/>
          </w:tcPr>
          <w:p w14:paraId="0DC3A6C1" w14:textId="77777777" w:rsidR="009010D9" w:rsidRPr="003D65BF" w:rsidRDefault="009010D9">
            <w:pPr>
              <w:spacing w:before="0"/>
              <w:rPr>
                <w:noProof/>
                <w:sz w:val="22"/>
                <w:szCs w:val="22"/>
                <w:lang w:eastAsia="en-GB"/>
              </w:rPr>
            </w:pPr>
          </w:p>
        </w:tc>
        <w:tc>
          <w:tcPr>
            <w:tcW w:w="4770" w:type="dxa"/>
            <w:hideMark/>
          </w:tcPr>
          <w:p w14:paraId="25E0F695" w14:textId="77777777" w:rsidR="009010D9" w:rsidRPr="003D65BF" w:rsidRDefault="009010D9">
            <w:pPr>
              <w:spacing w:before="0"/>
              <w:cnfStyle w:val="100000000000" w:firstRow="1" w:lastRow="0" w:firstColumn="0" w:lastColumn="0" w:oddVBand="0" w:evenVBand="0" w:oddHBand="0" w:evenHBand="0" w:firstRowFirstColumn="0" w:firstRowLastColumn="0" w:lastRowFirstColumn="0" w:lastRowLastColumn="0"/>
              <w:rPr>
                <w:noProof/>
                <w:sz w:val="22"/>
                <w:szCs w:val="22"/>
                <w:lang w:eastAsia="en-GB"/>
              </w:rPr>
            </w:pPr>
            <w:r w:rsidRPr="003D65BF">
              <w:rPr>
                <w:noProof/>
                <w:sz w:val="22"/>
                <w:szCs w:val="22"/>
                <w:lang w:eastAsia="en-GB"/>
              </w:rPr>
              <w:t> Waste scope and categories</w:t>
            </w:r>
          </w:p>
        </w:tc>
        <w:tc>
          <w:tcPr>
            <w:tcW w:w="1350" w:type="dxa"/>
            <w:hideMark/>
          </w:tcPr>
          <w:p w14:paraId="42607C02" w14:textId="77777777" w:rsidR="009010D9" w:rsidRPr="003D65BF" w:rsidRDefault="009010D9">
            <w:pPr>
              <w:spacing w:before="0"/>
              <w:cnfStyle w:val="100000000000" w:firstRow="1" w:lastRow="0" w:firstColumn="0" w:lastColumn="0" w:oddVBand="0" w:evenVBand="0" w:oddHBand="0" w:evenHBand="0" w:firstRowFirstColumn="0" w:firstRowLastColumn="0" w:lastRowFirstColumn="0" w:lastRowLastColumn="0"/>
              <w:rPr>
                <w:noProof/>
                <w:sz w:val="22"/>
                <w:szCs w:val="22"/>
                <w:lang w:eastAsia="en-GB"/>
              </w:rPr>
            </w:pPr>
            <w:r w:rsidRPr="003D65BF">
              <w:rPr>
                <w:noProof/>
                <w:sz w:val="22"/>
                <w:szCs w:val="22"/>
                <w:lang w:eastAsia="en-GB"/>
              </w:rPr>
              <w:t xml:space="preserve">EU27 </w:t>
            </w:r>
            <w:r>
              <w:rPr>
                <w:noProof/>
                <w:sz w:val="22"/>
                <w:szCs w:val="22"/>
                <w:lang w:eastAsia="en-GB"/>
              </w:rPr>
              <w:t>(</w:t>
            </w:r>
            <w:r w:rsidRPr="003D65BF">
              <w:rPr>
                <w:noProof/>
                <w:sz w:val="22"/>
                <w:szCs w:val="22"/>
                <w:lang w:eastAsia="en-GB"/>
              </w:rPr>
              <w:t>Mt</w:t>
            </w:r>
            <w:r>
              <w:rPr>
                <w:noProof/>
                <w:sz w:val="22"/>
                <w:szCs w:val="22"/>
                <w:lang w:eastAsia="en-GB"/>
              </w:rPr>
              <w:t>)</w:t>
            </w:r>
          </w:p>
        </w:tc>
        <w:tc>
          <w:tcPr>
            <w:tcW w:w="1075" w:type="dxa"/>
          </w:tcPr>
          <w:p w14:paraId="0A823651" w14:textId="77777777" w:rsidR="009010D9" w:rsidRPr="003D65BF" w:rsidRDefault="009010D9">
            <w:pPr>
              <w:spacing w:before="0"/>
              <w:cnfStyle w:val="100000000000" w:firstRow="1" w:lastRow="0" w:firstColumn="0" w:lastColumn="0" w:oddVBand="0" w:evenVBand="0" w:oddHBand="0" w:evenHBand="0" w:firstRowFirstColumn="0" w:firstRowLastColumn="0" w:lastRowFirstColumn="0" w:lastRowLastColumn="0"/>
              <w:rPr>
                <w:noProof/>
                <w:sz w:val="22"/>
                <w:szCs w:val="22"/>
                <w:lang w:eastAsia="en-GB"/>
              </w:rPr>
            </w:pPr>
            <w:r w:rsidRPr="003D65BF">
              <w:rPr>
                <w:noProof/>
                <w:sz w:val="22"/>
                <w:szCs w:val="22"/>
                <w:lang w:eastAsia="en-GB"/>
              </w:rPr>
              <w:t xml:space="preserve">EEA </w:t>
            </w:r>
            <w:r>
              <w:rPr>
                <w:noProof/>
                <w:sz w:val="22"/>
                <w:szCs w:val="22"/>
                <w:lang w:eastAsia="en-GB"/>
              </w:rPr>
              <w:t>(</w:t>
            </w:r>
            <w:r w:rsidRPr="003D65BF">
              <w:rPr>
                <w:noProof/>
                <w:sz w:val="22"/>
                <w:szCs w:val="22"/>
                <w:lang w:eastAsia="en-GB"/>
              </w:rPr>
              <w:t>Mt</w:t>
            </w:r>
            <w:r>
              <w:rPr>
                <w:noProof/>
                <w:sz w:val="22"/>
                <w:szCs w:val="22"/>
                <w:lang w:eastAsia="en-GB"/>
              </w:rPr>
              <w:t>)</w:t>
            </w:r>
          </w:p>
        </w:tc>
      </w:tr>
      <w:tr w:rsidR="009010D9" w:rsidRPr="003D65BF" w14:paraId="57025021"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895" w:type="dxa"/>
          </w:tcPr>
          <w:p w14:paraId="4E52FC41" w14:textId="77777777" w:rsidR="009010D9" w:rsidRPr="003D65BF" w:rsidRDefault="009010D9">
            <w:pPr>
              <w:spacing w:before="0"/>
              <w:rPr>
                <w:noProof/>
                <w:sz w:val="22"/>
                <w:szCs w:val="22"/>
                <w:lang w:eastAsia="en-GB"/>
              </w:rPr>
            </w:pPr>
            <w:r w:rsidRPr="003D65BF">
              <w:rPr>
                <w:noProof/>
                <w:sz w:val="22"/>
                <w:szCs w:val="22"/>
                <w:lang w:eastAsia="en-GB"/>
              </w:rPr>
              <w:t>A</w:t>
            </w:r>
          </w:p>
        </w:tc>
        <w:tc>
          <w:tcPr>
            <w:tcW w:w="4770" w:type="dxa"/>
          </w:tcPr>
          <w:p w14:paraId="60A42A92"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sidRPr="003D65BF">
              <w:rPr>
                <w:noProof/>
                <w:sz w:val="22"/>
                <w:szCs w:val="22"/>
                <w:lang w:eastAsia="en-GB"/>
              </w:rPr>
              <w:t>2024 ETS MRV data (MWI fossil emissions)</w:t>
            </w:r>
          </w:p>
        </w:tc>
        <w:tc>
          <w:tcPr>
            <w:tcW w:w="1350" w:type="dxa"/>
          </w:tcPr>
          <w:p w14:paraId="1501FE88"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Pr>
                <w:noProof/>
                <w:sz w:val="22"/>
                <w:szCs w:val="22"/>
                <w:lang w:eastAsia="en-GB"/>
              </w:rPr>
              <w:t>38.6</w:t>
            </w:r>
          </w:p>
        </w:tc>
        <w:tc>
          <w:tcPr>
            <w:tcW w:w="1075" w:type="dxa"/>
          </w:tcPr>
          <w:p w14:paraId="088E5292"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Pr>
                <w:noProof/>
                <w:sz w:val="22"/>
                <w:szCs w:val="22"/>
                <w:lang w:eastAsia="en-GB"/>
              </w:rPr>
              <w:t>39.4</w:t>
            </w:r>
          </w:p>
        </w:tc>
      </w:tr>
      <w:tr w:rsidR="009010D9" w:rsidRPr="003D65BF" w14:paraId="1CFC372D"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895" w:type="dxa"/>
          </w:tcPr>
          <w:p w14:paraId="0EC8D875" w14:textId="77777777" w:rsidR="009010D9" w:rsidRPr="003D65BF" w:rsidRDefault="009010D9">
            <w:pPr>
              <w:spacing w:before="0"/>
              <w:rPr>
                <w:noProof/>
                <w:sz w:val="22"/>
                <w:szCs w:val="22"/>
                <w:lang w:eastAsia="en-GB"/>
              </w:rPr>
            </w:pPr>
            <w:r w:rsidRPr="003D65BF">
              <w:rPr>
                <w:noProof/>
                <w:sz w:val="22"/>
                <w:szCs w:val="22"/>
                <w:lang w:eastAsia="en-GB"/>
              </w:rPr>
              <w:t>B</w:t>
            </w:r>
          </w:p>
        </w:tc>
        <w:tc>
          <w:tcPr>
            <w:tcW w:w="4770" w:type="dxa"/>
            <w:hideMark/>
          </w:tcPr>
          <w:p w14:paraId="4A24CB82"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sidRPr="003D65BF">
              <w:rPr>
                <w:noProof/>
                <w:sz w:val="22"/>
                <w:szCs w:val="22"/>
                <w:lang w:eastAsia="en-GB"/>
              </w:rPr>
              <w:t>A plus gap filling for missing reporting data</w:t>
            </w:r>
            <w:r w:rsidRPr="003D65BF">
              <w:rPr>
                <w:rStyle w:val="FootnoteReference"/>
                <w:noProof/>
                <w:sz w:val="22"/>
                <w:szCs w:val="22"/>
                <w:lang w:eastAsia="en-GB"/>
              </w:rPr>
              <w:footnoteReference w:id="58"/>
            </w:r>
          </w:p>
        </w:tc>
        <w:tc>
          <w:tcPr>
            <w:tcW w:w="1350" w:type="dxa"/>
            <w:hideMark/>
          </w:tcPr>
          <w:p w14:paraId="00A00D40"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Pr>
                <w:noProof/>
                <w:sz w:val="22"/>
                <w:szCs w:val="22"/>
                <w:lang w:eastAsia="en-GB"/>
              </w:rPr>
              <w:t>39.2</w:t>
            </w:r>
          </w:p>
        </w:tc>
        <w:tc>
          <w:tcPr>
            <w:tcW w:w="1075" w:type="dxa"/>
          </w:tcPr>
          <w:p w14:paraId="17290D9E"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Pr>
                <w:noProof/>
                <w:sz w:val="22"/>
                <w:szCs w:val="22"/>
                <w:lang w:eastAsia="en-GB"/>
              </w:rPr>
              <w:t>39.9</w:t>
            </w:r>
          </w:p>
        </w:tc>
      </w:tr>
      <w:tr w:rsidR="009010D9" w:rsidRPr="003D65BF" w14:paraId="59A32CDF"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895" w:type="dxa"/>
          </w:tcPr>
          <w:p w14:paraId="12DD70FC" w14:textId="77777777" w:rsidR="009010D9" w:rsidRPr="003D65BF" w:rsidRDefault="009010D9">
            <w:pPr>
              <w:spacing w:before="0"/>
              <w:rPr>
                <w:noProof/>
                <w:sz w:val="22"/>
                <w:szCs w:val="22"/>
                <w:lang w:eastAsia="en-GB"/>
              </w:rPr>
            </w:pPr>
            <w:r w:rsidRPr="003D65BF">
              <w:rPr>
                <w:noProof/>
                <w:sz w:val="22"/>
                <w:szCs w:val="22"/>
                <w:lang w:eastAsia="en-GB"/>
              </w:rPr>
              <w:t>C</w:t>
            </w:r>
          </w:p>
        </w:tc>
        <w:tc>
          <w:tcPr>
            <w:tcW w:w="4770" w:type="dxa"/>
            <w:hideMark/>
          </w:tcPr>
          <w:p w14:paraId="54443525"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sidRPr="003D65BF">
              <w:rPr>
                <w:noProof/>
                <w:sz w:val="22"/>
                <w:szCs w:val="22"/>
                <w:lang w:eastAsia="en-GB"/>
              </w:rPr>
              <w:t>B plus margin for new capacity 2025-2030</w:t>
            </w:r>
            <w:r w:rsidRPr="003D65BF">
              <w:rPr>
                <w:rStyle w:val="FootnoteReference"/>
                <w:noProof/>
                <w:sz w:val="22"/>
                <w:szCs w:val="22"/>
                <w:lang w:eastAsia="en-GB"/>
              </w:rPr>
              <w:footnoteReference w:id="59"/>
            </w:r>
          </w:p>
        </w:tc>
        <w:tc>
          <w:tcPr>
            <w:tcW w:w="1350" w:type="dxa"/>
            <w:hideMark/>
          </w:tcPr>
          <w:p w14:paraId="57B7BA79"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Pr>
                <w:noProof/>
                <w:sz w:val="22"/>
                <w:szCs w:val="22"/>
                <w:lang w:eastAsia="en-GB"/>
              </w:rPr>
              <w:t>40.5</w:t>
            </w:r>
          </w:p>
        </w:tc>
        <w:tc>
          <w:tcPr>
            <w:tcW w:w="1075" w:type="dxa"/>
          </w:tcPr>
          <w:p w14:paraId="3E799703"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Pr>
                <w:noProof/>
                <w:sz w:val="22"/>
                <w:szCs w:val="22"/>
                <w:lang w:eastAsia="en-GB"/>
              </w:rPr>
              <w:t>41.2</w:t>
            </w:r>
          </w:p>
        </w:tc>
      </w:tr>
      <w:tr w:rsidR="009010D9" w:rsidRPr="003D65BF" w14:paraId="66DBF43D"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895" w:type="dxa"/>
          </w:tcPr>
          <w:p w14:paraId="63FD5E98" w14:textId="77777777" w:rsidR="009010D9" w:rsidRPr="003D65BF" w:rsidRDefault="009010D9">
            <w:pPr>
              <w:spacing w:before="0"/>
              <w:rPr>
                <w:noProof/>
                <w:sz w:val="22"/>
                <w:szCs w:val="22"/>
                <w:lang w:eastAsia="en-GB"/>
              </w:rPr>
            </w:pPr>
            <w:r w:rsidRPr="003D65BF">
              <w:rPr>
                <w:noProof/>
                <w:sz w:val="22"/>
                <w:szCs w:val="22"/>
                <w:lang w:eastAsia="en-GB"/>
              </w:rPr>
              <w:t>D</w:t>
            </w:r>
          </w:p>
        </w:tc>
        <w:tc>
          <w:tcPr>
            <w:tcW w:w="4770" w:type="dxa"/>
            <w:hideMark/>
          </w:tcPr>
          <w:p w14:paraId="0A22E987"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sidRPr="003D65BF">
              <w:rPr>
                <w:noProof/>
                <w:sz w:val="22"/>
                <w:szCs w:val="22"/>
                <w:lang w:eastAsia="en-GB"/>
              </w:rPr>
              <w:t>C plus buffer for underestimation and uncertainties</w:t>
            </w:r>
          </w:p>
        </w:tc>
        <w:tc>
          <w:tcPr>
            <w:tcW w:w="1350" w:type="dxa"/>
            <w:hideMark/>
          </w:tcPr>
          <w:p w14:paraId="7865A0A1"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Pr>
                <w:noProof/>
                <w:sz w:val="22"/>
                <w:szCs w:val="22"/>
                <w:lang w:eastAsia="en-GB"/>
              </w:rPr>
              <w:t>41.5</w:t>
            </w:r>
          </w:p>
        </w:tc>
        <w:tc>
          <w:tcPr>
            <w:tcW w:w="1075" w:type="dxa"/>
          </w:tcPr>
          <w:p w14:paraId="6DD0305B"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noProof/>
                <w:sz w:val="22"/>
                <w:szCs w:val="22"/>
                <w:lang w:eastAsia="en-GB"/>
              </w:rPr>
            </w:pPr>
            <w:r>
              <w:rPr>
                <w:noProof/>
                <w:sz w:val="22"/>
                <w:szCs w:val="22"/>
                <w:lang w:eastAsia="en-GB"/>
              </w:rPr>
              <w:t>42.2</w:t>
            </w:r>
          </w:p>
        </w:tc>
      </w:tr>
      <w:tr w:rsidR="009010D9" w:rsidRPr="003D65BF" w14:paraId="410C8201" w14:textId="77777777">
        <w:trPr>
          <w:trHeight w:val="20"/>
          <w:jc w:val="center"/>
        </w:trPr>
        <w:tc>
          <w:tcPr>
            <w:cnfStyle w:val="001000000000" w:firstRow="0" w:lastRow="0" w:firstColumn="1" w:lastColumn="0" w:oddVBand="0" w:evenVBand="0" w:oddHBand="0" w:evenHBand="0" w:firstRowFirstColumn="0" w:firstRowLastColumn="0" w:lastRowFirstColumn="0" w:lastRowLastColumn="0"/>
            <w:tcW w:w="895" w:type="dxa"/>
          </w:tcPr>
          <w:p w14:paraId="1F35B8A1" w14:textId="77777777" w:rsidR="009010D9" w:rsidRPr="003D65BF" w:rsidRDefault="009010D9">
            <w:pPr>
              <w:spacing w:before="0"/>
              <w:rPr>
                <w:noProof/>
                <w:sz w:val="22"/>
                <w:szCs w:val="22"/>
                <w:lang w:eastAsia="en-GB"/>
              </w:rPr>
            </w:pPr>
            <w:r w:rsidRPr="003D65BF">
              <w:rPr>
                <w:noProof/>
                <w:sz w:val="22"/>
                <w:szCs w:val="22"/>
                <w:lang w:eastAsia="en-GB"/>
              </w:rPr>
              <w:t>F</w:t>
            </w:r>
          </w:p>
        </w:tc>
        <w:tc>
          <w:tcPr>
            <w:tcW w:w="4770" w:type="dxa"/>
            <w:hideMark/>
          </w:tcPr>
          <w:p w14:paraId="6AF8C49D"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b/>
                <w:bCs/>
                <w:noProof/>
                <w:sz w:val="22"/>
                <w:szCs w:val="22"/>
                <w:lang w:eastAsia="en-GB"/>
              </w:rPr>
            </w:pPr>
            <w:r w:rsidRPr="003D65BF">
              <w:rPr>
                <w:b/>
                <w:bCs/>
                <w:noProof/>
                <w:sz w:val="22"/>
                <w:szCs w:val="22"/>
                <w:lang w:eastAsia="en-GB"/>
              </w:rPr>
              <w:t>Total cap 2030 (MWI only, A-D)</w:t>
            </w:r>
          </w:p>
        </w:tc>
        <w:tc>
          <w:tcPr>
            <w:tcW w:w="1350" w:type="dxa"/>
            <w:hideMark/>
          </w:tcPr>
          <w:p w14:paraId="649BA9DA"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b/>
                <w:bCs/>
                <w:noProof/>
                <w:sz w:val="22"/>
                <w:szCs w:val="22"/>
                <w:lang w:eastAsia="en-GB"/>
              </w:rPr>
            </w:pPr>
            <w:r>
              <w:rPr>
                <w:b/>
                <w:bCs/>
                <w:noProof/>
                <w:sz w:val="22"/>
                <w:szCs w:val="22"/>
                <w:lang w:eastAsia="en-GB"/>
              </w:rPr>
              <w:t>41.5</w:t>
            </w:r>
          </w:p>
        </w:tc>
        <w:tc>
          <w:tcPr>
            <w:tcW w:w="1075" w:type="dxa"/>
          </w:tcPr>
          <w:p w14:paraId="42D002E9" w14:textId="77777777" w:rsidR="009010D9" w:rsidRPr="003D65BF" w:rsidRDefault="009010D9">
            <w:pPr>
              <w:spacing w:before="0"/>
              <w:cnfStyle w:val="000000000000" w:firstRow="0" w:lastRow="0" w:firstColumn="0" w:lastColumn="0" w:oddVBand="0" w:evenVBand="0" w:oddHBand="0" w:evenHBand="0" w:firstRowFirstColumn="0" w:firstRowLastColumn="0" w:lastRowFirstColumn="0" w:lastRowLastColumn="0"/>
              <w:rPr>
                <w:b/>
                <w:bCs/>
                <w:noProof/>
                <w:sz w:val="22"/>
                <w:szCs w:val="22"/>
                <w:lang w:eastAsia="en-GB"/>
              </w:rPr>
            </w:pPr>
            <w:r>
              <w:rPr>
                <w:b/>
                <w:bCs/>
                <w:noProof/>
                <w:sz w:val="22"/>
                <w:szCs w:val="22"/>
                <w:lang w:eastAsia="en-GB"/>
              </w:rPr>
              <w:t>42.2</w:t>
            </w:r>
          </w:p>
        </w:tc>
      </w:tr>
    </w:tbl>
    <w:p w14:paraId="17E446A5" w14:textId="77777777" w:rsidR="009010D9" w:rsidRPr="003D3BB3" w:rsidRDefault="009010D9" w:rsidP="002F3B20">
      <w:pPr>
        <w:pStyle w:val="Heading3COM"/>
        <w:outlineLvl w:val="3"/>
        <w:rPr>
          <w:noProof/>
        </w:rPr>
      </w:pPr>
      <w:bookmarkStart w:id="647" w:name="_Toc230861518"/>
      <w:bookmarkStart w:id="648" w:name="_Toc232751140"/>
      <w:r>
        <w:rPr>
          <w:noProof/>
        </w:rPr>
        <w:t>Hazardous waste incineration (HWI)</w:t>
      </w:r>
      <w:bookmarkEnd w:id="647"/>
      <w:bookmarkEnd w:id="648"/>
    </w:p>
    <w:p w14:paraId="2B76D919" w14:textId="77777777" w:rsidR="009010D9" w:rsidRPr="000462AA" w:rsidRDefault="009010D9">
      <w:pPr>
        <w:rPr>
          <w:i/>
          <w:iCs/>
          <w:noProof/>
        </w:rPr>
      </w:pPr>
      <w:r w:rsidRPr="000462AA">
        <w:rPr>
          <w:i/>
          <w:iCs/>
          <w:noProof/>
        </w:rPr>
        <w:t>Regulated activity</w:t>
      </w:r>
    </w:p>
    <w:p w14:paraId="09734D8E" w14:textId="77777777" w:rsidR="009010D9" w:rsidRDefault="009010D9">
      <w:pPr>
        <w:rPr>
          <w:noProof/>
        </w:rPr>
      </w:pPr>
      <w:r>
        <w:rPr>
          <w:noProof/>
        </w:rPr>
        <w:t>Hazardous waste is waste with one or more of the hazardous properties listed in Annex III of the EU Waste Framework Directive. It covers a broad range of w</w:t>
      </w:r>
      <w:r w:rsidRPr="00D04EEF">
        <w:rPr>
          <w:noProof/>
        </w:rPr>
        <w:t>astes that because of their chemical reactivity, toxic, explosive, corrosive, radioactive or other characteristics, cause danger, or are likely to cause danger, to health or the environment.</w:t>
      </w:r>
      <w:r w:rsidRPr="00641495">
        <w:rPr>
          <w:noProof/>
        </w:rPr>
        <w:t xml:space="preserve"> </w:t>
      </w:r>
      <w:r w:rsidRPr="00117753">
        <w:rPr>
          <w:noProof/>
        </w:rPr>
        <w:t xml:space="preserve">In total, </w:t>
      </w:r>
      <w:r>
        <w:rPr>
          <w:noProof/>
        </w:rPr>
        <w:t>10.5</w:t>
      </w:r>
      <w:r w:rsidRPr="00117753">
        <w:rPr>
          <w:noProof/>
        </w:rPr>
        <w:t xml:space="preserve"> million tonnes of hazardous waste were </w:t>
      </w:r>
      <w:r>
        <w:rPr>
          <w:noProof/>
        </w:rPr>
        <w:t>incinerated</w:t>
      </w:r>
      <w:r w:rsidRPr="00117753">
        <w:rPr>
          <w:noProof/>
        </w:rPr>
        <w:t xml:space="preserve"> in the EU in 2022, </w:t>
      </w:r>
      <w:r>
        <w:rPr>
          <w:noProof/>
        </w:rPr>
        <w:t xml:space="preserve">of which </w:t>
      </w:r>
      <w:r w:rsidRPr="00C84AD5">
        <w:rPr>
          <w:noProof/>
        </w:rPr>
        <w:t>6.4</w:t>
      </w:r>
      <w:r>
        <w:rPr>
          <w:noProof/>
        </w:rPr>
        <w:t xml:space="preserve"> with </w:t>
      </w:r>
      <w:r w:rsidRPr="00C84AD5">
        <w:rPr>
          <w:noProof/>
        </w:rPr>
        <w:t xml:space="preserve">energy recovery </w:t>
      </w:r>
      <w:r>
        <w:rPr>
          <w:noProof/>
        </w:rPr>
        <w:t>and</w:t>
      </w:r>
      <w:r w:rsidRPr="00C84AD5">
        <w:rPr>
          <w:noProof/>
        </w:rPr>
        <w:t xml:space="preserve"> </w:t>
      </w:r>
      <w:r>
        <w:rPr>
          <w:noProof/>
        </w:rPr>
        <w:t>4.1</w:t>
      </w:r>
      <w:r w:rsidRPr="00C84AD5">
        <w:rPr>
          <w:noProof/>
        </w:rPr>
        <w:t xml:space="preserve"> without energy recovery</w:t>
      </w:r>
      <w:r>
        <w:rPr>
          <w:rStyle w:val="FootnoteReference"/>
          <w:noProof/>
        </w:rPr>
        <w:footnoteReference w:id="60"/>
      </w:r>
      <w:r>
        <w:rPr>
          <w:noProof/>
        </w:rPr>
        <w:t xml:space="preserve">. </w:t>
      </w:r>
      <w:r w:rsidRPr="00816574">
        <w:rPr>
          <w:noProof/>
        </w:rPr>
        <w:t>This has remained broadly stable over the past decade</w:t>
      </w:r>
      <w:r>
        <w:rPr>
          <w:noProof/>
        </w:rPr>
        <w:t xml:space="preserve">. </w:t>
      </w:r>
      <w:r w:rsidRPr="0007658B">
        <w:rPr>
          <w:noProof/>
        </w:rPr>
        <w:t>Hazardous waste incineration</w:t>
      </w:r>
      <w:r>
        <w:rPr>
          <w:noProof/>
        </w:rPr>
        <w:t xml:space="preserve"> (HWI)</w:t>
      </w:r>
      <w:r w:rsidRPr="0007658B">
        <w:rPr>
          <w:noProof/>
        </w:rPr>
        <w:t xml:space="preserve"> is regulated by the Industrial Emissions Directive, which sets strict operating conditions and technical requirements to protect human health and the environment. Facilities use high temperatures and advanced flue gas cleaning to destroy hazardous substances.</w:t>
      </w:r>
    </w:p>
    <w:p w14:paraId="27730047" w14:textId="77777777" w:rsidR="009010D9" w:rsidRPr="000462AA" w:rsidRDefault="009010D9">
      <w:pPr>
        <w:rPr>
          <w:i/>
          <w:iCs/>
          <w:noProof/>
        </w:rPr>
      </w:pPr>
      <w:r>
        <w:rPr>
          <w:i/>
          <w:iCs/>
          <w:noProof/>
        </w:rPr>
        <w:t xml:space="preserve">Emissions </w:t>
      </w:r>
    </w:p>
    <w:p w14:paraId="01DE6669" w14:textId="77777777" w:rsidR="009010D9" w:rsidRDefault="009010D9">
      <w:pPr>
        <w:rPr>
          <w:noProof/>
        </w:rPr>
      </w:pPr>
      <w:r>
        <w:rPr>
          <w:noProof/>
        </w:rPr>
        <w:t xml:space="preserve">Accurate </w:t>
      </w:r>
      <w:r w:rsidRPr="008E437D">
        <w:rPr>
          <w:noProof/>
        </w:rPr>
        <w:t xml:space="preserve">data on emissions from </w:t>
      </w:r>
      <w:r>
        <w:rPr>
          <w:noProof/>
        </w:rPr>
        <w:t>HWI</w:t>
      </w:r>
      <w:r w:rsidRPr="008E437D">
        <w:rPr>
          <w:noProof/>
        </w:rPr>
        <w:t xml:space="preserve"> in the EU are currently not available.</w:t>
      </w:r>
      <w:r>
        <w:rPr>
          <w:noProof/>
        </w:rPr>
        <w:t xml:space="preserve"> Based on default emission factors and cross-analysis of aggregate waste incineration emissions data in Appendix 1, the fossil fraction of HWI emissions in the EU-27 in addition to MWI emissions have been estimated to be around 3.15 MtCO2e (See Appendix 1, Section C).</w:t>
      </w:r>
    </w:p>
    <w:p w14:paraId="4C0B699D" w14:textId="77777777" w:rsidR="009010D9" w:rsidRPr="003F3300" w:rsidRDefault="009010D9">
      <w:pPr>
        <w:rPr>
          <w:i/>
          <w:iCs/>
          <w:noProof/>
        </w:rPr>
      </w:pPr>
      <w:r w:rsidRPr="003F3300">
        <w:rPr>
          <w:i/>
          <w:iCs/>
          <w:noProof/>
        </w:rPr>
        <w:t xml:space="preserve">Cap </w:t>
      </w:r>
    </w:p>
    <w:p w14:paraId="6CDF90F7" w14:textId="77777777" w:rsidR="009010D9" w:rsidRDefault="009010D9">
      <w:pPr>
        <w:rPr>
          <w:noProof/>
        </w:rPr>
      </w:pPr>
      <w:r>
        <w:rPr>
          <w:noProof/>
        </w:rPr>
        <w:t>The cap-setting for HWI inclusion (measures W2 and W3) would imply an increase of the EU ETS cap by the scope of HWI emissions. In view of current limitations on HWI emissions data availability, cap-setting would ideally be based on a monitoring and reporting period to gather</w:t>
      </w:r>
      <w:r w:rsidRPr="003F3300">
        <w:rPr>
          <w:noProof/>
        </w:rPr>
        <w:t xml:space="preserve"> robust and verified </w:t>
      </w:r>
      <w:r>
        <w:rPr>
          <w:noProof/>
        </w:rPr>
        <w:t xml:space="preserve">emissions </w:t>
      </w:r>
      <w:r w:rsidRPr="003F3300">
        <w:rPr>
          <w:noProof/>
        </w:rPr>
        <w:t>data with harmonised standards and rules to establish more precise data.</w:t>
      </w:r>
      <w:bookmarkStart w:id="649" w:name="_Toc195563448"/>
      <w:bookmarkStart w:id="650" w:name="_Toc212426418"/>
      <w:bookmarkStart w:id="651" w:name="_Toc734810204"/>
    </w:p>
    <w:p w14:paraId="57C937E9" w14:textId="77777777" w:rsidR="009010D9" w:rsidRPr="003D3BB3" w:rsidRDefault="009010D9" w:rsidP="002F3B20">
      <w:pPr>
        <w:pStyle w:val="Heading3COM"/>
        <w:outlineLvl w:val="3"/>
        <w:rPr>
          <w:noProof/>
        </w:rPr>
      </w:pPr>
      <w:bookmarkStart w:id="652" w:name="_Toc230861519"/>
      <w:bookmarkStart w:id="653" w:name="_Toc232751141"/>
      <w:r w:rsidRPr="003D3BB3">
        <w:rPr>
          <w:noProof/>
        </w:rPr>
        <w:t>Landfilling</w:t>
      </w:r>
      <w:bookmarkEnd w:id="649"/>
      <w:bookmarkEnd w:id="650"/>
      <w:bookmarkEnd w:id="651"/>
      <w:r>
        <w:rPr>
          <w:noProof/>
        </w:rPr>
        <w:t xml:space="preserve"> of non-hazardous waste</w:t>
      </w:r>
      <w:bookmarkEnd w:id="652"/>
      <w:bookmarkEnd w:id="653"/>
    </w:p>
    <w:p w14:paraId="5D72B9F0" w14:textId="77777777" w:rsidR="009010D9" w:rsidRPr="0012103E" w:rsidRDefault="009010D9" w:rsidP="005A793B">
      <w:pPr>
        <w:rPr>
          <w:i/>
          <w:iCs/>
          <w:noProof/>
        </w:rPr>
      </w:pPr>
      <w:r w:rsidRPr="0012103E">
        <w:rPr>
          <w:i/>
          <w:iCs/>
          <w:noProof/>
        </w:rPr>
        <w:t>Regulated activity</w:t>
      </w:r>
    </w:p>
    <w:p w14:paraId="1554134B" w14:textId="3E482920" w:rsidR="00421233" w:rsidRDefault="009010D9" w:rsidP="005A793B">
      <w:pPr>
        <w:rPr>
          <w:noProof/>
        </w:rPr>
      </w:pPr>
      <w:r>
        <w:rPr>
          <w:noProof/>
        </w:rPr>
        <w:t xml:space="preserve">Landfilling entails the deposit of waste into or onto land. It includes specially engineered landfill sites and temporary storage of over one year on permanent sites. In 2022, 137 million tonnes of waste was disposed in landfills in the EU, of which 52 </w:t>
      </w:r>
      <w:r w:rsidR="0BE7049E">
        <w:rPr>
          <w:noProof/>
        </w:rPr>
        <w:t xml:space="preserve">million </w:t>
      </w:r>
      <w:r>
        <w:rPr>
          <w:noProof/>
        </w:rPr>
        <w:t>tonnes was municipal waste, representing 23% of all municipal waste treated in the EU. The EU has seen a significant reduction in average municipal waste landfill disposal rates by 59% or 71 million tonnes from 1995 to 2023, in parallel to a substantial increase of biogenic waste going to composting and anaerobic digestion and of fossil waste going to recycling and incineration. Nevertheless, several Member States continue to be strongly reliant on landfilling for municipal waste, as illustrated in Figure 3. Across the EEA, 2.491 active landfill installations were registered in 2024</w:t>
      </w:r>
      <w:r w:rsidRPr="68648D06">
        <w:rPr>
          <w:rStyle w:val="FootnoteReference"/>
          <w:noProof/>
        </w:rPr>
        <w:footnoteReference w:id="61"/>
      </w:r>
      <w:r>
        <w:rPr>
          <w:noProof/>
        </w:rPr>
        <w:t>, in addition to at least 1,995 illegal or substandard landfills (2021)</w:t>
      </w:r>
      <w:r w:rsidRPr="68648D06">
        <w:rPr>
          <w:rStyle w:val="FootnoteReference"/>
          <w:noProof/>
        </w:rPr>
        <w:footnoteReference w:id="62"/>
      </w:r>
      <w:r>
        <w:rPr>
          <w:noProof/>
        </w:rPr>
        <w:t>.</w:t>
      </w:r>
    </w:p>
    <w:p w14:paraId="715E8DE8" w14:textId="77777777" w:rsidR="00421233" w:rsidRDefault="00421233">
      <w:pPr>
        <w:spacing w:before="0" w:line="259" w:lineRule="auto"/>
        <w:rPr>
          <w:noProof/>
        </w:rPr>
      </w:pPr>
      <w:r>
        <w:rPr>
          <w:noProof/>
        </w:rPr>
        <w:br w:type="page"/>
      </w:r>
    </w:p>
    <w:p w14:paraId="5574D553" w14:textId="77777777" w:rsidR="009010D9" w:rsidRPr="003D3BB3" w:rsidRDefault="009010D9" w:rsidP="00C92FA9">
      <w:pPr>
        <w:pStyle w:val="Figuretitle"/>
        <w:rPr>
          <w:noProof/>
        </w:rPr>
      </w:pPr>
      <w:bookmarkStart w:id="654" w:name="_Toc222740772"/>
      <w:r>
        <w:rPr>
          <w:noProof/>
        </w:rPr>
        <w:t>Share of municipal</w:t>
      </w:r>
      <w:r w:rsidRPr="09E5CE5E">
        <w:rPr>
          <w:noProof/>
        </w:rPr>
        <w:t xml:space="preserve"> waste</w:t>
      </w:r>
      <w:r>
        <w:rPr>
          <w:noProof/>
        </w:rPr>
        <w:t xml:space="preserve"> </w:t>
      </w:r>
      <w:r w:rsidRPr="09E5CE5E">
        <w:rPr>
          <w:noProof/>
        </w:rPr>
        <w:t xml:space="preserve">disposed through landfill by </w:t>
      </w:r>
      <w:r>
        <w:rPr>
          <w:noProof/>
        </w:rPr>
        <w:t>EU Member State (2010 vs 2023)</w:t>
      </w:r>
      <w:bookmarkEnd w:id="654"/>
      <w:r>
        <w:rPr>
          <w:noProof/>
        </w:rPr>
        <w:t xml:space="preserve"> </w:t>
      </w:r>
    </w:p>
    <w:p w14:paraId="444A844F" w14:textId="77777777" w:rsidR="00CC4F87" w:rsidRDefault="009010D9">
      <w:pPr>
        <w:pStyle w:val="TableFigureFootnote"/>
        <w:spacing w:before="0" w:after="0"/>
        <w:jc w:val="center"/>
        <w:rPr>
          <w:noProof/>
          <w:lang w:val="en-IE"/>
        </w:rPr>
      </w:pPr>
      <w:r>
        <w:rPr>
          <w:noProof/>
          <w:lang w:eastAsia="en-GB"/>
        </w:rPr>
        <w:drawing>
          <wp:inline distT="0" distB="0" distL="0" distR="0" wp14:anchorId="2EED430A" wp14:editId="5F31B2DE">
            <wp:extent cx="5530850" cy="2743200"/>
            <wp:effectExtent l="0" t="0" r="12700" b="0"/>
            <wp:docPr id="40116011" name="Chart 1">
              <a:extLst xmlns:a="http://schemas.openxmlformats.org/drawingml/2006/main">
                <a:ext uri="{FF2B5EF4-FFF2-40B4-BE49-F238E27FC236}">
                  <a16:creationId xmlns:a16="http://schemas.microsoft.com/office/drawing/2014/main" id="{705493B6-FB37-1F49-49EA-D3E41EE2A1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90F45A0" w14:textId="77777777" w:rsidR="009010D9" w:rsidRPr="00361325" w:rsidRDefault="009010D9">
      <w:pPr>
        <w:spacing w:before="0"/>
        <w:rPr>
          <w:i/>
          <w:iCs/>
          <w:noProof/>
          <w:sz w:val="20"/>
          <w:szCs w:val="20"/>
        </w:rPr>
      </w:pPr>
      <w:r w:rsidRPr="00361325">
        <w:rPr>
          <w:i/>
          <w:iCs/>
          <w:noProof/>
          <w:sz w:val="20"/>
          <w:szCs w:val="20"/>
        </w:rPr>
        <w:t>Source: European Commission, based on Eurostat.</w:t>
      </w:r>
    </w:p>
    <w:p w14:paraId="59EEF3CC" w14:textId="77777777" w:rsidR="009010D9" w:rsidRPr="00DA2076" w:rsidRDefault="009010D9">
      <w:pPr>
        <w:rPr>
          <w:i/>
          <w:iCs/>
          <w:noProof/>
        </w:rPr>
      </w:pPr>
      <w:bookmarkStart w:id="655" w:name="_Toc212426421"/>
      <w:bookmarkStart w:id="656" w:name="_Toc777701018"/>
      <w:bookmarkStart w:id="657" w:name="_Toc195563452"/>
      <w:r w:rsidRPr="00DA2076">
        <w:rPr>
          <w:i/>
          <w:iCs/>
          <w:noProof/>
        </w:rPr>
        <w:t xml:space="preserve">Emissions </w:t>
      </w:r>
    </w:p>
    <w:p w14:paraId="3F0BCFDF" w14:textId="77777777" w:rsidR="009010D9" w:rsidRPr="003D3BB3" w:rsidRDefault="009010D9">
      <w:pPr>
        <w:rPr>
          <w:noProof/>
        </w:rPr>
      </w:pPr>
      <w:r w:rsidRPr="003D3BB3">
        <w:rPr>
          <w:noProof/>
        </w:rPr>
        <w:t>One of the primary concerns with landfilling is the emission of landfill gases, particularly methane (CH</w:t>
      </w:r>
      <w:r w:rsidRPr="003D3BB3">
        <w:rPr>
          <w:rFonts w:ascii="Cambria Math" w:hAnsi="Cambria Math" w:cs="Cambria Math"/>
          <w:noProof/>
        </w:rPr>
        <w:t>₄</w:t>
      </w:r>
      <w:r w:rsidRPr="003D3BB3">
        <w:rPr>
          <w:noProof/>
        </w:rPr>
        <w:t>)</w:t>
      </w:r>
      <w:r>
        <w:rPr>
          <w:noProof/>
        </w:rPr>
        <w:t>.</w:t>
      </w:r>
      <w:r w:rsidRPr="003D3BB3">
        <w:rPr>
          <w:noProof/>
        </w:rPr>
        <w:t xml:space="preserve"> </w:t>
      </w:r>
      <w:r>
        <w:rPr>
          <w:noProof/>
        </w:rPr>
        <w:t>L</w:t>
      </w:r>
      <w:r w:rsidRPr="003D3BB3">
        <w:rPr>
          <w:noProof/>
        </w:rPr>
        <w:t>andfill gas is composed of around 45%-60% CH</w:t>
      </w:r>
      <w:r w:rsidRPr="00EB4AC2">
        <w:rPr>
          <w:noProof/>
          <w:vertAlign w:val="subscript"/>
        </w:rPr>
        <w:t>4</w:t>
      </w:r>
      <w:r w:rsidRPr="003D3BB3">
        <w:rPr>
          <w:noProof/>
        </w:rPr>
        <w:t xml:space="preserve"> and 40%-55% </w:t>
      </w:r>
      <w:r w:rsidRPr="002171D2">
        <w:rPr>
          <w:noProof/>
          <w:lang w:eastAsia="en-GB"/>
        </w:rPr>
        <w:t>CO</w:t>
      </w:r>
      <w:r w:rsidRPr="008C7062">
        <w:rPr>
          <w:noProof/>
          <w:vertAlign w:val="subscript"/>
          <w:lang w:eastAsia="en-GB"/>
        </w:rPr>
        <w:t>2</w:t>
      </w:r>
      <w:r w:rsidRPr="003D3BB3">
        <w:rPr>
          <w:rStyle w:val="FootnoteReference"/>
          <w:noProof/>
          <w:sz w:val="22"/>
          <w:szCs w:val="22"/>
        </w:rPr>
        <w:footnoteReference w:id="63"/>
      </w:r>
      <w:r>
        <w:rPr>
          <w:noProof/>
          <w:vertAlign w:val="subscript"/>
          <w:lang w:eastAsia="en-GB"/>
        </w:rPr>
        <w:t>.</w:t>
      </w:r>
      <w:r>
        <w:rPr>
          <w:noProof/>
        </w:rPr>
        <w:t xml:space="preserve"> However, as methane </w:t>
      </w:r>
      <w:r w:rsidRPr="003D3BB3">
        <w:rPr>
          <w:noProof/>
        </w:rPr>
        <w:t xml:space="preserve">is a potent </w:t>
      </w:r>
      <w:r>
        <w:rPr>
          <w:noProof/>
        </w:rPr>
        <w:t>GHG</w:t>
      </w:r>
      <w:r w:rsidRPr="003D3BB3">
        <w:rPr>
          <w:noProof/>
        </w:rPr>
        <w:t xml:space="preserve"> with a global warming potential approximately </w:t>
      </w:r>
      <w:r>
        <w:rPr>
          <w:noProof/>
        </w:rPr>
        <w:t>27 to 30</w:t>
      </w:r>
      <w:r w:rsidRPr="003D3BB3">
        <w:rPr>
          <w:noProof/>
        </w:rPr>
        <w:t xml:space="preserve"> times greater than carbon dioxide (CO</w:t>
      </w:r>
      <w:r w:rsidRPr="003D3BB3">
        <w:rPr>
          <w:rFonts w:ascii="Cambria Math" w:hAnsi="Cambria Math" w:cs="Cambria Math"/>
          <w:noProof/>
        </w:rPr>
        <w:t>₂</w:t>
      </w:r>
      <w:r w:rsidRPr="003D3BB3">
        <w:rPr>
          <w:noProof/>
        </w:rPr>
        <w:t>) over a 100-year period</w:t>
      </w:r>
      <w:r>
        <w:rPr>
          <w:noProof/>
        </w:rPr>
        <w:t xml:space="preserve"> and 84 to 87 times more over a 20-year period</w:t>
      </w:r>
      <w:r w:rsidRPr="003D3BB3">
        <w:rPr>
          <w:rStyle w:val="FootnoteReference"/>
          <w:noProof/>
          <w:sz w:val="22"/>
          <w:szCs w:val="22"/>
        </w:rPr>
        <w:footnoteReference w:id="64"/>
      </w:r>
      <w:r>
        <w:rPr>
          <w:noProof/>
        </w:rPr>
        <w:t>, methane represents the vast majority of GHG emissions from landfills in CO2-equivalent.</w:t>
      </w:r>
      <w:r w:rsidRPr="003D3BB3">
        <w:rPr>
          <w:noProof/>
        </w:rPr>
        <w:t xml:space="preserve"> Methane is generated from the anaerobic decomposition of organic waste, including food scraps, garden waste and paper. </w:t>
      </w:r>
      <w:r>
        <w:rPr>
          <w:noProof/>
        </w:rPr>
        <w:t xml:space="preserve">The </w:t>
      </w:r>
      <w:r w:rsidRPr="00330A96">
        <w:rPr>
          <w:noProof/>
        </w:rPr>
        <w:t xml:space="preserve">decomposition of waste in landfills is a long-term process that continues to release methane over time, </w:t>
      </w:r>
      <w:r w:rsidRPr="00CC5F65">
        <w:rPr>
          <w:noProof/>
        </w:rPr>
        <w:t>at progressively decreasing levels, for more than 50 years after disposal</w:t>
      </w:r>
      <w:r w:rsidRPr="00330A96">
        <w:rPr>
          <w:noProof/>
        </w:rPr>
        <w:t xml:space="preserve"> </w:t>
      </w:r>
      <w:r>
        <w:rPr>
          <w:noProof/>
        </w:rPr>
        <w:t>(so-called ‘historic emissions’)</w:t>
      </w:r>
      <w:r w:rsidRPr="00CC5F65">
        <w:rPr>
          <w:noProof/>
        </w:rPr>
        <w:t>.</w:t>
      </w:r>
      <w:r>
        <w:rPr>
          <w:noProof/>
        </w:rPr>
        <w:t xml:space="preserve"> </w:t>
      </w:r>
      <w:r w:rsidRPr="009956E3">
        <w:rPr>
          <w:noProof/>
        </w:rPr>
        <w:t>The main factors influencing the quantity of CH4 produced are the amount of waste disposed and the concentration of biodegradable carbon in that waste. In addition, CH4 emissions from landfills are influenced by the amount of CH4 recovered and utilized or flared</w:t>
      </w:r>
      <w:r>
        <w:rPr>
          <w:rStyle w:val="FootnoteReference"/>
          <w:noProof/>
        </w:rPr>
        <w:footnoteReference w:id="65"/>
      </w:r>
      <w:r w:rsidRPr="009956E3">
        <w:rPr>
          <w:noProof/>
        </w:rPr>
        <w:t>.</w:t>
      </w:r>
      <w:r>
        <w:rPr>
          <w:noProof/>
        </w:rPr>
        <w:t xml:space="preserve"> Fossil waste streams, such as plastics, represent only a minor fraction of GHG emissions from landfills.</w:t>
      </w:r>
      <w:r w:rsidRPr="009956E3">
        <w:rPr>
          <w:noProof/>
        </w:rPr>
        <w:t xml:space="preserve"> </w:t>
      </w:r>
    </w:p>
    <w:p w14:paraId="43327408" w14:textId="43ADB255" w:rsidR="009010D9" w:rsidRPr="00AD0955" w:rsidRDefault="009010D9">
      <w:pPr>
        <w:rPr>
          <w:noProof/>
        </w:rPr>
      </w:pPr>
      <w:r>
        <w:rPr>
          <w:noProof/>
        </w:rPr>
        <w:t>Methane from landfills continues to account for the largest share of the waste sector’s emissions in the EU</w:t>
      </w:r>
      <w:r w:rsidRPr="00160B5D">
        <w:rPr>
          <w:noProof/>
          <w:vertAlign w:val="superscript"/>
        </w:rPr>
        <w:footnoteReference w:id="66"/>
      </w:r>
      <w:r>
        <w:rPr>
          <w:noProof/>
        </w:rPr>
        <w:t>. At the same time, l</w:t>
      </w:r>
      <w:r w:rsidRPr="00DE7A76">
        <w:rPr>
          <w:noProof/>
        </w:rPr>
        <w:t xml:space="preserve">andfill emissions </w:t>
      </w:r>
      <w:r w:rsidR="5D24A131">
        <w:rPr>
          <w:noProof/>
        </w:rPr>
        <w:t xml:space="preserve">(for all solid waste) </w:t>
      </w:r>
      <w:r>
        <w:rPr>
          <w:noProof/>
        </w:rPr>
        <w:t xml:space="preserve">have decreased by 55% from 132.3 Mt CO2e since 1990 and 25% from 99.4 Mt CO2e since 2010, primarily due to a reduction in biodegradable waste being landfilled and a significant increase in landfill methane recovery and flaring. Table 3 presents the data sources and estimates for emissions from landfilling in the EU, which are explored in further detail in Appendix 1. </w:t>
      </w:r>
    </w:p>
    <w:p w14:paraId="019A1E78" w14:textId="77777777" w:rsidR="009010D9" w:rsidRPr="00245BB8" w:rsidRDefault="009010D9" w:rsidP="00C92FA9">
      <w:pPr>
        <w:pStyle w:val="Tabletitle"/>
        <w:rPr>
          <w:noProof/>
        </w:rPr>
      </w:pPr>
      <w:bookmarkStart w:id="658" w:name="_Toc222740717"/>
      <w:bookmarkStart w:id="659" w:name="_Toc234435137"/>
      <w:r w:rsidRPr="00245BB8">
        <w:rPr>
          <w:noProof/>
        </w:rPr>
        <w:t>Emission estimates on landfilling of non-hazardous waste in the EU-27</w:t>
      </w:r>
      <w:bookmarkEnd w:id="658"/>
      <w:bookmarkEnd w:id="659"/>
    </w:p>
    <w:tbl>
      <w:tblPr>
        <w:tblStyle w:val="TableGrid"/>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8"/>
        <w:gridCol w:w="2289"/>
        <w:gridCol w:w="2050"/>
        <w:gridCol w:w="2464"/>
      </w:tblGrid>
      <w:tr w:rsidR="009010D9" w:rsidRPr="009A6FB3" w14:paraId="537B82CF" w14:textId="77777777" w:rsidTr="34BC0180">
        <w:tc>
          <w:tcPr>
            <w:tcW w:w="2335" w:type="dxa"/>
          </w:tcPr>
          <w:p w14:paraId="108F809E" w14:textId="77777777" w:rsidR="009010D9" w:rsidRPr="003D65BF" w:rsidRDefault="009010D9">
            <w:pPr>
              <w:spacing w:before="0"/>
              <w:rPr>
                <w:b/>
                <w:bCs/>
                <w:noProof/>
                <w:sz w:val="22"/>
                <w:szCs w:val="22"/>
              </w:rPr>
            </w:pPr>
            <w:r w:rsidRPr="003D65BF">
              <w:rPr>
                <w:b/>
                <w:bCs/>
                <w:noProof/>
                <w:sz w:val="22"/>
                <w:szCs w:val="22"/>
              </w:rPr>
              <w:t>Source</w:t>
            </w:r>
          </w:p>
        </w:tc>
        <w:tc>
          <w:tcPr>
            <w:tcW w:w="2427" w:type="dxa"/>
          </w:tcPr>
          <w:p w14:paraId="6C45E884" w14:textId="77777777" w:rsidR="009010D9" w:rsidRPr="003D65BF" w:rsidRDefault="009010D9">
            <w:pPr>
              <w:spacing w:before="0"/>
              <w:rPr>
                <w:b/>
                <w:bCs/>
                <w:noProof/>
                <w:sz w:val="22"/>
                <w:szCs w:val="22"/>
              </w:rPr>
            </w:pPr>
            <w:r w:rsidRPr="003D65BF">
              <w:rPr>
                <w:b/>
                <w:bCs/>
                <w:noProof/>
                <w:sz w:val="22"/>
                <w:szCs w:val="22"/>
              </w:rPr>
              <w:t>Emission Year</w:t>
            </w:r>
          </w:p>
        </w:tc>
        <w:tc>
          <w:tcPr>
            <w:tcW w:w="2127" w:type="dxa"/>
          </w:tcPr>
          <w:p w14:paraId="50F6015B" w14:textId="77777777" w:rsidR="009010D9" w:rsidRPr="003D65BF" w:rsidRDefault="009010D9">
            <w:pPr>
              <w:spacing w:before="0"/>
              <w:rPr>
                <w:b/>
                <w:bCs/>
                <w:noProof/>
                <w:sz w:val="22"/>
                <w:szCs w:val="22"/>
              </w:rPr>
            </w:pPr>
            <w:r w:rsidRPr="003D65BF">
              <w:rPr>
                <w:b/>
                <w:bCs/>
                <w:noProof/>
                <w:sz w:val="22"/>
                <w:szCs w:val="22"/>
              </w:rPr>
              <w:t>Emissions (MtCO2e)</w:t>
            </w:r>
          </w:p>
        </w:tc>
        <w:tc>
          <w:tcPr>
            <w:tcW w:w="2604" w:type="dxa"/>
          </w:tcPr>
          <w:p w14:paraId="089EE9C9" w14:textId="77777777" w:rsidR="009010D9" w:rsidRPr="003D65BF" w:rsidRDefault="009010D9">
            <w:pPr>
              <w:spacing w:before="0"/>
              <w:rPr>
                <w:b/>
                <w:bCs/>
                <w:noProof/>
                <w:sz w:val="22"/>
                <w:szCs w:val="22"/>
              </w:rPr>
            </w:pPr>
            <w:r w:rsidRPr="003D65BF">
              <w:rPr>
                <w:b/>
                <w:bCs/>
                <w:noProof/>
                <w:sz w:val="22"/>
                <w:szCs w:val="22"/>
              </w:rPr>
              <w:t>Comments</w:t>
            </w:r>
          </w:p>
        </w:tc>
      </w:tr>
      <w:tr w:rsidR="009010D9" w14:paraId="06313B0D" w14:textId="77777777" w:rsidTr="34BC0180">
        <w:tc>
          <w:tcPr>
            <w:tcW w:w="2335" w:type="dxa"/>
          </w:tcPr>
          <w:p w14:paraId="44562148" w14:textId="77777777" w:rsidR="009010D9" w:rsidRPr="003D65BF" w:rsidRDefault="009010D9">
            <w:pPr>
              <w:spacing w:before="0"/>
              <w:rPr>
                <w:noProof/>
                <w:sz w:val="22"/>
                <w:szCs w:val="22"/>
              </w:rPr>
            </w:pPr>
            <w:r w:rsidRPr="003D65BF">
              <w:rPr>
                <w:noProof/>
                <w:sz w:val="22"/>
                <w:szCs w:val="22"/>
              </w:rPr>
              <w:t>UNFCCC inventory data</w:t>
            </w:r>
            <w:r>
              <w:rPr>
                <w:rStyle w:val="FootnoteReference"/>
                <w:noProof/>
                <w:sz w:val="22"/>
                <w:szCs w:val="22"/>
              </w:rPr>
              <w:footnoteReference w:id="67"/>
            </w:r>
          </w:p>
        </w:tc>
        <w:tc>
          <w:tcPr>
            <w:tcW w:w="2427" w:type="dxa"/>
            <w:vAlign w:val="center"/>
          </w:tcPr>
          <w:p w14:paraId="37479814" w14:textId="77777777" w:rsidR="009010D9" w:rsidRPr="003D65BF" w:rsidRDefault="009010D9">
            <w:pPr>
              <w:spacing w:before="0"/>
              <w:jc w:val="center"/>
              <w:rPr>
                <w:noProof/>
                <w:sz w:val="22"/>
                <w:szCs w:val="22"/>
              </w:rPr>
            </w:pPr>
            <w:r w:rsidRPr="003D65BF">
              <w:rPr>
                <w:noProof/>
                <w:sz w:val="22"/>
                <w:szCs w:val="22"/>
              </w:rPr>
              <w:t>2023</w:t>
            </w:r>
          </w:p>
        </w:tc>
        <w:tc>
          <w:tcPr>
            <w:tcW w:w="2127" w:type="dxa"/>
            <w:vAlign w:val="center"/>
          </w:tcPr>
          <w:p w14:paraId="50A217B3" w14:textId="77777777" w:rsidR="009010D9" w:rsidRPr="003D65BF" w:rsidRDefault="009010D9">
            <w:pPr>
              <w:spacing w:before="0"/>
              <w:jc w:val="center"/>
              <w:rPr>
                <w:noProof/>
                <w:sz w:val="22"/>
                <w:szCs w:val="22"/>
              </w:rPr>
            </w:pPr>
            <w:r w:rsidRPr="003D65BF">
              <w:rPr>
                <w:noProof/>
                <w:sz w:val="22"/>
                <w:szCs w:val="22"/>
              </w:rPr>
              <w:t>65.3 (managed</w:t>
            </w:r>
            <w:r>
              <w:rPr>
                <w:noProof/>
                <w:sz w:val="22"/>
                <w:szCs w:val="22"/>
              </w:rPr>
              <w:t>)</w:t>
            </w:r>
            <w:r w:rsidRPr="003D65BF">
              <w:rPr>
                <w:noProof/>
                <w:sz w:val="22"/>
                <w:szCs w:val="22"/>
              </w:rPr>
              <w:t xml:space="preserve"> </w:t>
            </w:r>
          </w:p>
          <w:p w14:paraId="7573FF19" w14:textId="77777777" w:rsidR="009010D9" w:rsidRPr="003D65BF" w:rsidRDefault="009010D9">
            <w:pPr>
              <w:spacing w:before="0"/>
              <w:jc w:val="center"/>
              <w:rPr>
                <w:noProof/>
                <w:sz w:val="22"/>
                <w:szCs w:val="22"/>
              </w:rPr>
            </w:pPr>
            <w:r w:rsidRPr="003D65BF">
              <w:rPr>
                <w:noProof/>
                <w:sz w:val="22"/>
                <w:szCs w:val="22"/>
              </w:rPr>
              <w:t>8.6 (unmanaged)</w:t>
            </w:r>
          </w:p>
        </w:tc>
        <w:tc>
          <w:tcPr>
            <w:tcW w:w="2604" w:type="dxa"/>
          </w:tcPr>
          <w:p w14:paraId="7E0E5073" w14:textId="737BA401" w:rsidR="009010D9" w:rsidRPr="003D65BF" w:rsidRDefault="009010D9">
            <w:pPr>
              <w:spacing w:before="0"/>
              <w:rPr>
                <w:noProof/>
                <w:sz w:val="22"/>
                <w:szCs w:val="22"/>
              </w:rPr>
            </w:pPr>
            <w:r w:rsidRPr="34BC0180">
              <w:rPr>
                <w:noProof/>
                <w:sz w:val="22"/>
                <w:szCs w:val="22"/>
              </w:rPr>
              <w:t xml:space="preserve">Scope covering emissions from historical disposal of </w:t>
            </w:r>
            <w:r w:rsidR="0FEFE8FE" w:rsidRPr="34BC0180">
              <w:rPr>
                <w:noProof/>
                <w:sz w:val="22"/>
                <w:szCs w:val="22"/>
              </w:rPr>
              <w:t xml:space="preserve">all </w:t>
            </w:r>
            <w:r w:rsidRPr="34BC0180">
              <w:rPr>
                <w:noProof/>
                <w:sz w:val="22"/>
                <w:szCs w:val="22"/>
              </w:rPr>
              <w:t>solid waste</w:t>
            </w:r>
          </w:p>
        </w:tc>
      </w:tr>
      <w:tr w:rsidR="009010D9" w14:paraId="48BF66E4" w14:textId="77777777" w:rsidTr="34BC0180">
        <w:tc>
          <w:tcPr>
            <w:tcW w:w="2335" w:type="dxa"/>
          </w:tcPr>
          <w:p w14:paraId="29B30B29" w14:textId="77777777" w:rsidR="009010D9" w:rsidRPr="003D65BF" w:rsidRDefault="009010D9">
            <w:pPr>
              <w:spacing w:before="0"/>
              <w:rPr>
                <w:noProof/>
                <w:sz w:val="22"/>
                <w:szCs w:val="22"/>
              </w:rPr>
            </w:pPr>
            <w:r w:rsidRPr="003D65BF">
              <w:rPr>
                <w:noProof/>
                <w:sz w:val="22"/>
                <w:szCs w:val="22"/>
              </w:rPr>
              <w:t>Default emission factor</w:t>
            </w:r>
          </w:p>
        </w:tc>
        <w:tc>
          <w:tcPr>
            <w:tcW w:w="2427" w:type="dxa"/>
            <w:vAlign w:val="center"/>
          </w:tcPr>
          <w:p w14:paraId="54BFE887" w14:textId="77777777" w:rsidR="009010D9" w:rsidRPr="003D65BF" w:rsidRDefault="009010D9">
            <w:pPr>
              <w:spacing w:before="0"/>
              <w:jc w:val="center"/>
              <w:rPr>
                <w:noProof/>
                <w:sz w:val="22"/>
                <w:szCs w:val="22"/>
              </w:rPr>
            </w:pPr>
            <w:r w:rsidRPr="003D65BF">
              <w:rPr>
                <w:noProof/>
                <w:sz w:val="22"/>
                <w:szCs w:val="22"/>
              </w:rPr>
              <w:t>2022</w:t>
            </w:r>
          </w:p>
        </w:tc>
        <w:tc>
          <w:tcPr>
            <w:tcW w:w="2127" w:type="dxa"/>
            <w:vAlign w:val="center"/>
          </w:tcPr>
          <w:p w14:paraId="61486B91" w14:textId="77777777" w:rsidR="009010D9" w:rsidRPr="003D65BF" w:rsidRDefault="009010D9">
            <w:pPr>
              <w:spacing w:before="0"/>
              <w:jc w:val="center"/>
              <w:rPr>
                <w:noProof/>
                <w:sz w:val="22"/>
                <w:szCs w:val="22"/>
              </w:rPr>
            </w:pPr>
            <w:r w:rsidRPr="003D65BF">
              <w:rPr>
                <w:noProof/>
                <w:sz w:val="22"/>
                <w:szCs w:val="22"/>
              </w:rPr>
              <w:t>82.2</w:t>
            </w:r>
          </w:p>
        </w:tc>
        <w:tc>
          <w:tcPr>
            <w:tcW w:w="2604" w:type="dxa"/>
          </w:tcPr>
          <w:p w14:paraId="3253826D" w14:textId="7B7EBCFA" w:rsidR="009010D9" w:rsidRPr="003D65BF" w:rsidRDefault="009010D9">
            <w:pPr>
              <w:spacing w:before="0"/>
              <w:rPr>
                <w:noProof/>
                <w:sz w:val="22"/>
                <w:szCs w:val="22"/>
              </w:rPr>
            </w:pPr>
            <w:r w:rsidRPr="34BC0180">
              <w:rPr>
                <w:noProof/>
                <w:sz w:val="22"/>
                <w:szCs w:val="22"/>
              </w:rPr>
              <w:t xml:space="preserve">Scope covering emissions from future disposal of </w:t>
            </w:r>
            <w:r w:rsidR="4486D078" w:rsidRPr="34BC0180">
              <w:rPr>
                <w:noProof/>
                <w:sz w:val="22"/>
                <w:szCs w:val="22"/>
              </w:rPr>
              <w:t xml:space="preserve">all </w:t>
            </w:r>
            <w:r w:rsidRPr="34BC0180">
              <w:rPr>
                <w:noProof/>
                <w:sz w:val="22"/>
                <w:szCs w:val="22"/>
              </w:rPr>
              <w:t>solid waste</w:t>
            </w:r>
          </w:p>
        </w:tc>
      </w:tr>
      <w:tr w:rsidR="34BC0180" w14:paraId="3AB5C0B1" w14:textId="77777777" w:rsidTr="34BC0180">
        <w:trPr>
          <w:trHeight w:val="300"/>
        </w:trPr>
        <w:tc>
          <w:tcPr>
            <w:tcW w:w="2208" w:type="dxa"/>
          </w:tcPr>
          <w:p w14:paraId="4BEEA7E6" w14:textId="2DED890C" w:rsidR="36D6EDB7" w:rsidRDefault="36D6EDB7" w:rsidP="34BC0180">
            <w:pPr>
              <w:rPr>
                <w:noProof/>
              </w:rPr>
            </w:pPr>
            <w:r w:rsidRPr="34BC0180">
              <w:rPr>
                <w:noProof/>
                <w:sz w:val="22"/>
                <w:szCs w:val="22"/>
              </w:rPr>
              <w:t>Default emission factor</w:t>
            </w:r>
          </w:p>
        </w:tc>
        <w:tc>
          <w:tcPr>
            <w:tcW w:w="2289" w:type="dxa"/>
            <w:vAlign w:val="center"/>
          </w:tcPr>
          <w:p w14:paraId="639F91CD" w14:textId="5A8DB6BE" w:rsidR="36D6EDB7" w:rsidRDefault="36D6EDB7" w:rsidP="34BC0180">
            <w:pPr>
              <w:jc w:val="center"/>
              <w:rPr>
                <w:noProof/>
              </w:rPr>
            </w:pPr>
            <w:r w:rsidRPr="34BC0180">
              <w:rPr>
                <w:noProof/>
                <w:sz w:val="22"/>
                <w:szCs w:val="22"/>
              </w:rPr>
              <w:t>2022</w:t>
            </w:r>
          </w:p>
        </w:tc>
        <w:tc>
          <w:tcPr>
            <w:tcW w:w="2050" w:type="dxa"/>
            <w:vAlign w:val="center"/>
          </w:tcPr>
          <w:p w14:paraId="638C09B7" w14:textId="3132A7F4" w:rsidR="36D6EDB7" w:rsidRDefault="36D6EDB7" w:rsidP="34BC0180">
            <w:pPr>
              <w:jc w:val="center"/>
              <w:rPr>
                <w:noProof/>
              </w:rPr>
            </w:pPr>
            <w:r w:rsidRPr="34BC0180">
              <w:rPr>
                <w:noProof/>
                <w:sz w:val="22"/>
                <w:szCs w:val="22"/>
              </w:rPr>
              <w:t>31.2</w:t>
            </w:r>
          </w:p>
        </w:tc>
        <w:tc>
          <w:tcPr>
            <w:tcW w:w="2464" w:type="dxa"/>
          </w:tcPr>
          <w:p w14:paraId="41491ED5" w14:textId="19B2915E" w:rsidR="36D6EDB7" w:rsidRDefault="36D6EDB7" w:rsidP="34BC0180">
            <w:pPr>
              <w:rPr>
                <w:noProof/>
              </w:rPr>
            </w:pPr>
            <w:r w:rsidRPr="34BC0180">
              <w:rPr>
                <w:noProof/>
                <w:sz w:val="22"/>
                <w:szCs w:val="22"/>
              </w:rPr>
              <w:t>Scope covering emissions from future disposal of only municipal waste</w:t>
            </w:r>
          </w:p>
        </w:tc>
      </w:tr>
    </w:tbl>
    <w:p w14:paraId="71DB03C1" w14:textId="77777777" w:rsidR="009010D9" w:rsidRPr="00B34FB1" w:rsidRDefault="009010D9">
      <w:pPr>
        <w:rPr>
          <w:i/>
          <w:iCs/>
          <w:noProof/>
        </w:rPr>
      </w:pPr>
      <w:r>
        <w:rPr>
          <w:i/>
          <w:iCs/>
          <w:noProof/>
        </w:rPr>
        <w:t xml:space="preserve">Cap </w:t>
      </w:r>
    </w:p>
    <w:p w14:paraId="7A2BF587" w14:textId="77777777" w:rsidR="009010D9" w:rsidRDefault="009010D9">
      <w:pPr>
        <w:rPr>
          <w:noProof/>
        </w:rPr>
      </w:pPr>
      <w:r>
        <w:rPr>
          <w:noProof/>
        </w:rPr>
        <w:t xml:space="preserve">The cap-setting for the inclusion of non-hazardous landfills (measure W3) implies an increase of the existing cap by the scope of non-hazardous landfill emissions. Current EU-wide data on GHG emissions from landfills are mainly calculation-based, with constraints on accurateness in absence of comprehensive measurement-based data (see Section 1.4.3. for further discussion). The determination of the cap would therefore ideally be based on </w:t>
      </w:r>
      <w:r w:rsidRPr="00DB15F2">
        <w:rPr>
          <w:noProof/>
        </w:rPr>
        <w:t xml:space="preserve">a monitoring and reporting period to gather </w:t>
      </w:r>
      <w:r>
        <w:rPr>
          <w:noProof/>
        </w:rPr>
        <w:t xml:space="preserve">robust and verified data based on harmonised standards and rules. </w:t>
      </w:r>
    </w:p>
    <w:p w14:paraId="037723F9" w14:textId="77777777" w:rsidR="009010D9" w:rsidRDefault="009010D9">
      <w:pPr>
        <w:pStyle w:val="Body"/>
        <w:rPr>
          <w:rFonts w:ascii="Times New Roman" w:hAnsi="Times New Roman"/>
          <w:noProof/>
        </w:rPr>
      </w:pPr>
      <w:r w:rsidRPr="0027000B">
        <w:rPr>
          <w:rFonts w:ascii="Times New Roman" w:hAnsi="Times New Roman"/>
          <w:noProof/>
        </w:rPr>
        <w:t xml:space="preserve">In addition, </w:t>
      </w:r>
      <w:r>
        <w:rPr>
          <w:rFonts w:ascii="Times New Roman" w:hAnsi="Times New Roman"/>
          <w:noProof/>
        </w:rPr>
        <w:t>an inclusion of landfill emissions in</w:t>
      </w:r>
      <w:r w:rsidRPr="0027000B">
        <w:rPr>
          <w:rFonts w:ascii="Times New Roman" w:hAnsi="Times New Roman"/>
          <w:noProof/>
        </w:rPr>
        <w:t xml:space="preserve"> the EU ETS would </w:t>
      </w:r>
      <w:r>
        <w:rPr>
          <w:rFonts w:ascii="Times New Roman" w:hAnsi="Times New Roman"/>
          <w:noProof/>
        </w:rPr>
        <w:t>need</w:t>
      </w:r>
      <w:r w:rsidRPr="0027000B">
        <w:rPr>
          <w:rFonts w:ascii="Times New Roman" w:hAnsi="Times New Roman"/>
          <w:noProof/>
        </w:rPr>
        <w:t xml:space="preserve"> to determine </w:t>
      </w:r>
      <w:r>
        <w:rPr>
          <w:rFonts w:ascii="Times New Roman" w:hAnsi="Times New Roman"/>
          <w:noProof/>
        </w:rPr>
        <w:t xml:space="preserve">the scope of emissions </w:t>
      </w:r>
      <w:r w:rsidRPr="0027000B">
        <w:rPr>
          <w:rFonts w:ascii="Times New Roman" w:hAnsi="Times New Roman"/>
          <w:noProof/>
        </w:rPr>
        <w:t xml:space="preserve">under the cap, i.e. only ‘future’ emissions (resulting from waste disposed in landfills as of the date of inclusion) or also ‘historical’ emissions (resulting from the gradual decay of waste disposed in landfills prior to the date of inclusion). </w:t>
      </w:r>
      <w:r>
        <w:rPr>
          <w:rFonts w:ascii="Times New Roman" w:hAnsi="Times New Roman"/>
          <w:noProof/>
        </w:rPr>
        <w:t>Based on the data</w:t>
      </w:r>
      <w:r w:rsidRPr="0027000B">
        <w:rPr>
          <w:rFonts w:ascii="Times New Roman" w:hAnsi="Times New Roman"/>
          <w:noProof/>
        </w:rPr>
        <w:t xml:space="preserve"> explored in this section, the emissions covered would vary from 73.9 MtCO2eq in 2022 in the latter case to 82.2 MtCO2eq in the former case. </w:t>
      </w:r>
    </w:p>
    <w:p w14:paraId="0CABB88A" w14:textId="77777777" w:rsidR="009010D9" w:rsidRPr="0027000B" w:rsidRDefault="009010D9" w:rsidP="002F3B20">
      <w:pPr>
        <w:pStyle w:val="Heading3COM"/>
        <w:outlineLvl w:val="3"/>
        <w:rPr>
          <w:noProof/>
        </w:rPr>
      </w:pPr>
      <w:bookmarkStart w:id="660" w:name="_Toc230861520"/>
      <w:bookmarkStart w:id="661" w:name="_Toc232751142"/>
      <w:r>
        <w:rPr>
          <w:noProof/>
        </w:rPr>
        <w:t>D</w:t>
      </w:r>
      <w:r w:rsidRPr="0027000B">
        <w:rPr>
          <w:noProof/>
        </w:rPr>
        <w:t xml:space="preserve">iscarded </w:t>
      </w:r>
      <w:r>
        <w:rPr>
          <w:noProof/>
        </w:rPr>
        <w:t>measures</w:t>
      </w:r>
      <w:bookmarkEnd w:id="660"/>
      <w:bookmarkEnd w:id="661"/>
      <w:r w:rsidRPr="0027000B">
        <w:rPr>
          <w:noProof/>
        </w:rPr>
        <w:t xml:space="preserve"> </w:t>
      </w:r>
    </w:p>
    <w:p w14:paraId="32D338A3" w14:textId="77777777" w:rsidR="009010D9" w:rsidRDefault="009010D9">
      <w:pPr>
        <w:pStyle w:val="Body"/>
        <w:rPr>
          <w:rFonts w:ascii="Times New Roman" w:hAnsi="Times New Roman"/>
          <w:noProof/>
        </w:rPr>
      </w:pPr>
      <w:r w:rsidRPr="00D31860">
        <w:rPr>
          <w:rFonts w:ascii="Times New Roman" w:hAnsi="Times New Roman"/>
          <w:b/>
          <w:bCs/>
          <w:noProof/>
        </w:rPr>
        <w:t xml:space="preserve">Chemical </w:t>
      </w:r>
      <w:r>
        <w:rPr>
          <w:rFonts w:ascii="Times New Roman" w:hAnsi="Times New Roman"/>
          <w:b/>
          <w:bCs/>
          <w:noProof/>
        </w:rPr>
        <w:t>r</w:t>
      </w:r>
      <w:r w:rsidRPr="00D31860">
        <w:rPr>
          <w:rFonts w:ascii="Times New Roman" w:hAnsi="Times New Roman"/>
          <w:b/>
          <w:bCs/>
          <w:noProof/>
        </w:rPr>
        <w:t>ecycling</w:t>
      </w:r>
      <w:bookmarkEnd w:id="655"/>
      <w:bookmarkEnd w:id="656"/>
      <w:bookmarkEnd w:id="657"/>
      <w:r>
        <w:rPr>
          <w:rFonts w:ascii="Times New Roman" w:hAnsi="Times New Roman"/>
          <w:b/>
          <w:bCs/>
          <w:noProof/>
        </w:rPr>
        <w:t xml:space="preserve"> (W4)</w:t>
      </w:r>
      <w:r w:rsidRPr="00D31860">
        <w:rPr>
          <w:rFonts w:ascii="Times New Roman" w:hAnsi="Times New Roman"/>
          <w:b/>
          <w:bCs/>
          <w:noProof/>
        </w:rPr>
        <w:t xml:space="preserve">: </w:t>
      </w:r>
      <w:r>
        <w:rPr>
          <w:rFonts w:ascii="Times New Roman" w:hAnsi="Times New Roman"/>
          <w:noProof/>
        </w:rPr>
        <w:t>c</w:t>
      </w:r>
      <w:r w:rsidRPr="00D31860">
        <w:rPr>
          <w:rFonts w:ascii="Times New Roman" w:hAnsi="Times New Roman"/>
          <w:noProof/>
        </w:rPr>
        <w:t xml:space="preserve">hemical recycling is a form of plastic </w:t>
      </w:r>
      <w:r>
        <w:rPr>
          <w:rFonts w:ascii="Times New Roman" w:hAnsi="Times New Roman"/>
          <w:noProof/>
        </w:rPr>
        <w:t>waste treatment</w:t>
      </w:r>
      <w:r w:rsidRPr="00D31860">
        <w:rPr>
          <w:rFonts w:ascii="Times New Roman" w:hAnsi="Times New Roman"/>
          <w:noProof/>
        </w:rPr>
        <w:t xml:space="preserve"> breaking plastic waste down into original chemical components</w:t>
      </w:r>
      <w:r>
        <w:rPr>
          <w:rFonts w:ascii="Times New Roman" w:hAnsi="Times New Roman"/>
          <w:noProof/>
        </w:rPr>
        <w:t xml:space="preserve">, enabling to </w:t>
      </w:r>
      <w:r w:rsidRPr="002E37BF">
        <w:rPr>
          <w:rFonts w:ascii="Times New Roman" w:hAnsi="Times New Roman"/>
          <w:noProof/>
        </w:rPr>
        <w:t>recover or convert plastic waste stream</w:t>
      </w:r>
      <w:r>
        <w:rPr>
          <w:rFonts w:ascii="Times New Roman" w:hAnsi="Times New Roman"/>
          <w:noProof/>
        </w:rPr>
        <w:t>s</w:t>
      </w:r>
      <w:r w:rsidRPr="002E37BF">
        <w:rPr>
          <w:rFonts w:ascii="Times New Roman" w:hAnsi="Times New Roman"/>
          <w:noProof/>
        </w:rPr>
        <w:t xml:space="preserve"> which</w:t>
      </w:r>
      <w:r>
        <w:rPr>
          <w:rFonts w:ascii="Times New Roman" w:hAnsi="Times New Roman"/>
          <w:noProof/>
        </w:rPr>
        <w:t xml:space="preserve"> are</w:t>
      </w:r>
      <w:r w:rsidRPr="002E37BF">
        <w:rPr>
          <w:rFonts w:ascii="Times New Roman" w:hAnsi="Times New Roman"/>
          <w:noProof/>
        </w:rPr>
        <w:t xml:space="preserve"> </w:t>
      </w:r>
      <w:r w:rsidRPr="006A62B8">
        <w:rPr>
          <w:rFonts w:ascii="Times New Roman" w:hAnsi="Times New Roman"/>
          <w:noProof/>
        </w:rPr>
        <w:t>difficult or impossible to mechanically recycle and deliver higher quality and technical performance of recycled outputs</w:t>
      </w:r>
      <w:r w:rsidRPr="002E37BF">
        <w:rPr>
          <w:rStyle w:val="FootnoteReference"/>
          <w:rFonts w:ascii="Times New Roman" w:hAnsi="Times New Roman"/>
          <w:noProof/>
        </w:rPr>
        <w:footnoteReference w:id="68"/>
      </w:r>
      <w:r w:rsidRPr="002E37BF">
        <w:rPr>
          <w:rFonts w:ascii="Times New Roman" w:hAnsi="Times New Roman"/>
          <w:noProof/>
        </w:rPr>
        <w:t>.</w:t>
      </w:r>
      <w:r>
        <w:rPr>
          <w:rFonts w:ascii="Times New Roman" w:hAnsi="Times New Roman"/>
          <w:noProof/>
        </w:rPr>
        <w:t xml:space="preserve"> Chemical recycling is a part of the chemical sector not covered as a separate activity under the EU ETS</w:t>
      </w:r>
      <w:r>
        <w:rPr>
          <w:rStyle w:val="FootnoteReference"/>
          <w:rFonts w:ascii="Times New Roman" w:hAnsi="Times New Roman"/>
          <w:noProof/>
        </w:rPr>
        <w:footnoteReference w:id="69"/>
      </w:r>
      <w:r>
        <w:rPr>
          <w:rFonts w:ascii="Times New Roman" w:hAnsi="Times New Roman"/>
          <w:noProof/>
        </w:rPr>
        <w:t>. It covers a range of methods and technologies, including pyrolysis, gasification, depolymerization and solvolysis.</w:t>
      </w:r>
      <w:r w:rsidRPr="002E37BF">
        <w:rPr>
          <w:rFonts w:ascii="Times New Roman" w:hAnsi="Times New Roman"/>
          <w:noProof/>
        </w:rPr>
        <w:t xml:space="preserve"> </w:t>
      </w:r>
      <w:r>
        <w:rPr>
          <w:rFonts w:ascii="Times New Roman" w:hAnsi="Times New Roman"/>
          <w:noProof/>
        </w:rPr>
        <w:t>It</w:t>
      </w:r>
      <w:r w:rsidRPr="00D31860">
        <w:rPr>
          <w:rFonts w:ascii="Times New Roman" w:hAnsi="Times New Roman"/>
          <w:noProof/>
        </w:rPr>
        <w:t xml:space="preserve"> is </w:t>
      </w:r>
      <w:r w:rsidRPr="00800AD9">
        <w:rPr>
          <w:rFonts w:ascii="Times New Roman" w:hAnsi="Times New Roman"/>
          <w:noProof/>
        </w:rPr>
        <w:t>an emerging technology with currently limited commercial operation</w:t>
      </w:r>
      <w:r>
        <w:rPr>
          <w:rFonts w:ascii="Times New Roman" w:hAnsi="Times New Roman"/>
          <w:noProof/>
        </w:rPr>
        <w:t xml:space="preserve"> in the EU</w:t>
      </w:r>
      <w:r w:rsidRPr="00800AD9">
        <w:rPr>
          <w:rFonts w:ascii="Times New Roman" w:hAnsi="Times New Roman"/>
          <w:noProof/>
        </w:rPr>
        <w:t xml:space="preserve">, recycling less than 0.2% of plastic waste, but expected to scale-up in the future. </w:t>
      </w:r>
      <w:r w:rsidRPr="005415A6">
        <w:rPr>
          <w:rFonts w:ascii="Times New Roman" w:hAnsi="Times New Roman"/>
          <w:noProof/>
        </w:rPr>
        <w:t xml:space="preserve">Data on emissions from </w:t>
      </w:r>
      <w:r>
        <w:rPr>
          <w:rFonts w:ascii="Times New Roman" w:hAnsi="Times New Roman"/>
          <w:noProof/>
        </w:rPr>
        <w:t>chemical</w:t>
      </w:r>
      <w:r w:rsidRPr="005415A6">
        <w:rPr>
          <w:rFonts w:ascii="Times New Roman" w:hAnsi="Times New Roman"/>
          <w:noProof/>
        </w:rPr>
        <w:t xml:space="preserve"> recycling in the EU are</w:t>
      </w:r>
      <w:r>
        <w:rPr>
          <w:rFonts w:ascii="Times New Roman" w:hAnsi="Times New Roman"/>
          <w:noProof/>
        </w:rPr>
        <w:t xml:space="preserve"> currently</w:t>
      </w:r>
      <w:r w:rsidRPr="005415A6">
        <w:rPr>
          <w:rFonts w:ascii="Times New Roman" w:hAnsi="Times New Roman"/>
          <w:noProof/>
        </w:rPr>
        <w:t xml:space="preserve"> not available. </w:t>
      </w:r>
      <w:r>
        <w:rPr>
          <w:rFonts w:ascii="Times New Roman" w:hAnsi="Times New Roman"/>
          <w:noProof/>
        </w:rPr>
        <w:t>Some c</w:t>
      </w:r>
      <w:r w:rsidRPr="00800AD9">
        <w:rPr>
          <w:rFonts w:ascii="Times New Roman" w:hAnsi="Times New Roman"/>
          <w:noProof/>
        </w:rPr>
        <w:t xml:space="preserve">hemical recycling </w:t>
      </w:r>
      <w:r>
        <w:rPr>
          <w:rFonts w:ascii="Times New Roman" w:hAnsi="Times New Roman"/>
          <w:noProof/>
        </w:rPr>
        <w:t>processes</w:t>
      </w:r>
      <w:r w:rsidRPr="00800AD9">
        <w:rPr>
          <w:rFonts w:ascii="Times New Roman" w:hAnsi="Times New Roman"/>
          <w:noProof/>
        </w:rPr>
        <w:t xml:space="preserve"> </w:t>
      </w:r>
      <w:r>
        <w:rPr>
          <w:rFonts w:ascii="Times New Roman" w:hAnsi="Times New Roman"/>
          <w:noProof/>
        </w:rPr>
        <w:t>are characterised by a high energy intensity, in particular pyrolysis and gasification. T</w:t>
      </w:r>
      <w:r w:rsidRPr="00800AD9">
        <w:rPr>
          <w:rFonts w:ascii="Times New Roman" w:hAnsi="Times New Roman"/>
          <w:noProof/>
        </w:rPr>
        <w:t>he</w:t>
      </w:r>
      <w:r>
        <w:rPr>
          <w:rFonts w:ascii="Times New Roman" w:hAnsi="Times New Roman"/>
          <w:noProof/>
        </w:rPr>
        <w:t>ir</w:t>
      </w:r>
      <w:r w:rsidRPr="00800AD9">
        <w:rPr>
          <w:rFonts w:ascii="Times New Roman" w:hAnsi="Times New Roman"/>
          <w:noProof/>
        </w:rPr>
        <w:t xml:space="preserve"> overall contribution to EU GHG emissions would be dependent on the future scale-up and </w:t>
      </w:r>
      <w:r>
        <w:rPr>
          <w:rFonts w:ascii="Times New Roman" w:hAnsi="Times New Roman"/>
          <w:noProof/>
        </w:rPr>
        <w:t>application</w:t>
      </w:r>
      <w:r>
        <w:rPr>
          <w:rStyle w:val="FootnoteReference"/>
          <w:rFonts w:ascii="Times New Roman" w:hAnsi="Times New Roman"/>
          <w:noProof/>
        </w:rPr>
        <w:footnoteReference w:id="70"/>
      </w:r>
      <w:r w:rsidRPr="00800AD9">
        <w:rPr>
          <w:rFonts w:ascii="Times New Roman" w:hAnsi="Times New Roman"/>
          <w:noProof/>
        </w:rPr>
        <w:t xml:space="preserve"> of these technologies, </w:t>
      </w:r>
      <w:r>
        <w:rPr>
          <w:rFonts w:ascii="Times New Roman" w:hAnsi="Times New Roman"/>
          <w:noProof/>
        </w:rPr>
        <w:t>as well as</w:t>
      </w:r>
      <w:r w:rsidRPr="00800AD9">
        <w:rPr>
          <w:rFonts w:ascii="Times New Roman" w:hAnsi="Times New Roman"/>
          <w:noProof/>
        </w:rPr>
        <w:t xml:space="preserve"> on the life-cycle carbon footprint of the recycled materials compared to virgin alternatives</w:t>
      </w:r>
      <w:r>
        <w:rPr>
          <w:rFonts w:ascii="Times New Roman" w:hAnsi="Times New Roman"/>
          <w:noProof/>
        </w:rPr>
        <w:t xml:space="preserve">. </w:t>
      </w:r>
      <w:r w:rsidRPr="189409FA">
        <w:rPr>
          <w:rFonts w:ascii="Times New Roman" w:hAnsi="Times New Roman"/>
          <w:noProof/>
        </w:rPr>
        <w:t xml:space="preserve">From an environmental point of view, chemical recycling complements mechanical recycling for otherwise difficult or impossible to recycle waste streams, positively contributing to the waste hierarchy, while mechanical recycling technologies are in general preferable to chemical recycling technologies where mechanical recycling can produce recyclates with similar quality or performance characteristics.  </w:t>
      </w:r>
    </w:p>
    <w:p w14:paraId="6C308906" w14:textId="77777777" w:rsidR="009010D9" w:rsidRDefault="009010D9">
      <w:pPr>
        <w:pStyle w:val="Body"/>
        <w:rPr>
          <w:rFonts w:ascii="Times New Roman" w:hAnsi="Times New Roman"/>
          <w:noProof/>
        </w:rPr>
      </w:pPr>
      <w:r w:rsidRPr="007C180B">
        <w:rPr>
          <w:rFonts w:ascii="Times New Roman" w:hAnsi="Times New Roman"/>
          <w:b/>
          <w:bCs/>
          <w:noProof/>
        </w:rPr>
        <w:t>Mechanical recycling (W5):</w:t>
      </w:r>
      <w:r w:rsidRPr="00800AD9">
        <w:rPr>
          <w:rFonts w:ascii="Times New Roman" w:hAnsi="Times New Roman"/>
          <w:noProof/>
        </w:rPr>
        <w:t xml:space="preserve"> </w:t>
      </w:r>
      <w:r w:rsidRPr="007C180B">
        <w:rPr>
          <w:rFonts w:ascii="Times New Roman" w:hAnsi="Times New Roman"/>
          <w:noProof/>
        </w:rPr>
        <w:t xml:space="preserve">mechanical recycling would in most cases establish an end of waste status, </w:t>
      </w:r>
      <w:r>
        <w:rPr>
          <w:rFonts w:ascii="Times New Roman" w:hAnsi="Times New Roman"/>
          <w:noProof/>
        </w:rPr>
        <w:t>higher up the waste hierarchy than</w:t>
      </w:r>
      <w:r w:rsidRPr="007C180B">
        <w:rPr>
          <w:rFonts w:ascii="Times New Roman" w:hAnsi="Times New Roman"/>
          <w:noProof/>
        </w:rPr>
        <w:t xml:space="preserve"> incineration </w:t>
      </w:r>
      <w:r>
        <w:rPr>
          <w:rFonts w:ascii="Times New Roman" w:hAnsi="Times New Roman"/>
          <w:noProof/>
        </w:rPr>
        <w:t>or landfilling</w:t>
      </w:r>
      <w:r w:rsidRPr="007C180B">
        <w:rPr>
          <w:rFonts w:ascii="Times New Roman" w:hAnsi="Times New Roman"/>
          <w:noProof/>
        </w:rPr>
        <w:t xml:space="preserve">. Recycling activities are very variable, </w:t>
      </w:r>
      <w:r>
        <w:rPr>
          <w:rFonts w:ascii="Times New Roman" w:hAnsi="Times New Roman"/>
          <w:noProof/>
        </w:rPr>
        <w:t>treating</w:t>
      </w:r>
      <w:r w:rsidRPr="007C180B">
        <w:rPr>
          <w:rFonts w:ascii="Times New Roman" w:hAnsi="Times New Roman"/>
          <w:noProof/>
        </w:rPr>
        <w:t xml:space="preserve"> a variety of outputs</w:t>
      </w:r>
      <w:r>
        <w:rPr>
          <w:rStyle w:val="FootnoteReference"/>
          <w:rFonts w:ascii="Times New Roman" w:hAnsi="Times New Roman"/>
          <w:noProof/>
        </w:rPr>
        <w:footnoteReference w:id="71"/>
      </w:r>
      <w:r>
        <w:rPr>
          <w:rFonts w:ascii="Times New Roman" w:hAnsi="Times New Roman"/>
          <w:noProof/>
        </w:rPr>
        <w:t xml:space="preserve"> and employing </w:t>
      </w:r>
      <w:r w:rsidRPr="007C180B">
        <w:rPr>
          <w:rFonts w:ascii="Times New Roman" w:hAnsi="Times New Roman"/>
          <w:noProof/>
        </w:rPr>
        <w:t>different technologies.</w:t>
      </w:r>
      <w:r>
        <w:rPr>
          <w:rFonts w:ascii="Times New Roman" w:hAnsi="Times New Roman"/>
          <w:noProof/>
        </w:rPr>
        <w:t xml:space="preserve"> Data on emissions from mechanical recycling in the EU are not available. However, m</w:t>
      </w:r>
      <w:r w:rsidRPr="00674C3A">
        <w:rPr>
          <w:rFonts w:ascii="Times New Roman" w:hAnsi="Times New Roman"/>
          <w:noProof/>
        </w:rPr>
        <w:t xml:space="preserve">echanical recycling is primarily an energy-intensive process </w:t>
      </w:r>
      <w:r>
        <w:rPr>
          <w:rFonts w:ascii="Times New Roman" w:hAnsi="Times New Roman"/>
          <w:noProof/>
        </w:rPr>
        <w:t xml:space="preserve">with </w:t>
      </w:r>
      <w:r w:rsidRPr="00674C3A">
        <w:rPr>
          <w:rFonts w:ascii="Times New Roman" w:hAnsi="Times New Roman"/>
          <w:noProof/>
        </w:rPr>
        <w:t xml:space="preserve">the associated emissions </w:t>
      </w:r>
      <w:r>
        <w:rPr>
          <w:rFonts w:ascii="Times New Roman" w:hAnsi="Times New Roman"/>
          <w:noProof/>
        </w:rPr>
        <w:t>from</w:t>
      </w:r>
      <w:r w:rsidRPr="00674C3A">
        <w:rPr>
          <w:rFonts w:ascii="Times New Roman" w:hAnsi="Times New Roman"/>
          <w:noProof/>
        </w:rPr>
        <w:t xml:space="preserve"> the power sector already covered by the EU ETS</w:t>
      </w:r>
      <w:r>
        <w:rPr>
          <w:rFonts w:ascii="Times New Roman" w:hAnsi="Times New Roman"/>
          <w:noProof/>
        </w:rPr>
        <w:t>, while recycled</w:t>
      </w:r>
      <w:r w:rsidRPr="00231744">
        <w:rPr>
          <w:rFonts w:ascii="Times New Roman" w:hAnsi="Times New Roman"/>
          <w:noProof/>
        </w:rPr>
        <w:t xml:space="preserve"> </w:t>
      </w:r>
      <w:r>
        <w:rPr>
          <w:rFonts w:ascii="Times New Roman" w:hAnsi="Times New Roman"/>
          <w:noProof/>
        </w:rPr>
        <w:t>materials</w:t>
      </w:r>
      <w:r w:rsidRPr="00231744">
        <w:rPr>
          <w:rFonts w:ascii="Times New Roman" w:hAnsi="Times New Roman"/>
          <w:noProof/>
        </w:rPr>
        <w:t xml:space="preserve"> </w:t>
      </w:r>
      <w:r>
        <w:rPr>
          <w:rFonts w:ascii="Times New Roman" w:hAnsi="Times New Roman"/>
          <w:noProof/>
        </w:rPr>
        <w:t xml:space="preserve">generally have a </w:t>
      </w:r>
      <w:r w:rsidRPr="00231744">
        <w:rPr>
          <w:rFonts w:ascii="Times New Roman" w:hAnsi="Times New Roman"/>
          <w:noProof/>
        </w:rPr>
        <w:t>better carbon footprint across the lifecycle compared to virgin products</w:t>
      </w:r>
      <w:r>
        <w:rPr>
          <w:rStyle w:val="FootnoteReference"/>
          <w:rFonts w:ascii="Times New Roman" w:hAnsi="Times New Roman"/>
          <w:noProof/>
        </w:rPr>
        <w:footnoteReference w:id="72"/>
      </w:r>
      <w:r w:rsidRPr="00674C3A">
        <w:rPr>
          <w:rFonts w:ascii="Times New Roman" w:hAnsi="Times New Roman"/>
          <w:noProof/>
        </w:rPr>
        <w:t>.</w:t>
      </w:r>
      <w:r>
        <w:rPr>
          <w:rFonts w:ascii="Times New Roman" w:hAnsi="Times New Roman"/>
          <w:noProof/>
        </w:rPr>
        <w:t xml:space="preserve"> </w:t>
      </w:r>
      <w:r w:rsidRPr="005709F1">
        <w:rPr>
          <w:rFonts w:ascii="Times New Roman" w:hAnsi="Times New Roman"/>
          <w:noProof/>
        </w:rPr>
        <w:t xml:space="preserve">The application of </w:t>
      </w:r>
      <w:r>
        <w:rPr>
          <w:rFonts w:ascii="Times New Roman" w:hAnsi="Times New Roman"/>
          <w:noProof/>
        </w:rPr>
        <w:t>the</w:t>
      </w:r>
      <w:r w:rsidRPr="005709F1">
        <w:rPr>
          <w:rFonts w:ascii="Times New Roman" w:hAnsi="Times New Roman"/>
          <w:noProof/>
        </w:rPr>
        <w:t xml:space="preserve"> carbon price signal to these waste management processes would not </w:t>
      </w:r>
      <w:r>
        <w:rPr>
          <w:rFonts w:ascii="Times New Roman" w:hAnsi="Times New Roman"/>
          <w:noProof/>
        </w:rPr>
        <w:t xml:space="preserve">be expected to </w:t>
      </w:r>
      <w:r w:rsidRPr="005709F1">
        <w:rPr>
          <w:rFonts w:ascii="Times New Roman" w:hAnsi="Times New Roman"/>
          <w:noProof/>
        </w:rPr>
        <w:t xml:space="preserve">cover a substantial additional volume of emissions, while under the waste hierarchy </w:t>
      </w:r>
      <w:r>
        <w:rPr>
          <w:rFonts w:ascii="Times New Roman" w:hAnsi="Times New Roman"/>
          <w:noProof/>
        </w:rPr>
        <w:t>mechanical recycling is</w:t>
      </w:r>
      <w:r w:rsidRPr="005709F1">
        <w:rPr>
          <w:rFonts w:ascii="Times New Roman" w:hAnsi="Times New Roman"/>
          <w:noProof/>
        </w:rPr>
        <w:t xml:space="preserve"> preferable compared to incineration or landfilling, thus limiting the reach of the carbon price incentive from an overall environmental perspective.</w:t>
      </w:r>
    </w:p>
    <w:p w14:paraId="1D0593C8" w14:textId="77777777" w:rsidR="009010D9" w:rsidRDefault="009010D9">
      <w:pPr>
        <w:pStyle w:val="Body"/>
        <w:rPr>
          <w:rFonts w:ascii="Times New Roman" w:hAnsi="Times New Roman"/>
          <w:noProof/>
        </w:rPr>
      </w:pPr>
      <w:r w:rsidRPr="008A7A8E">
        <w:rPr>
          <w:rFonts w:ascii="Times New Roman" w:hAnsi="Times New Roman"/>
          <w:b/>
          <w:bCs/>
          <w:noProof/>
        </w:rPr>
        <w:t>Composting and anaerobic digestion (W6):</w:t>
      </w:r>
      <w:r>
        <w:rPr>
          <w:rFonts w:ascii="Times New Roman" w:hAnsi="Times New Roman"/>
          <w:noProof/>
        </w:rPr>
        <w:t xml:space="preserve"> </w:t>
      </w:r>
      <w:r w:rsidRPr="008A7A8E">
        <w:rPr>
          <w:rFonts w:ascii="Times New Roman" w:hAnsi="Times New Roman"/>
          <w:noProof/>
        </w:rPr>
        <w:t xml:space="preserve">composting and anaerobic digestion </w:t>
      </w:r>
      <w:r>
        <w:rPr>
          <w:rFonts w:ascii="Times New Roman" w:hAnsi="Times New Roman"/>
          <w:noProof/>
        </w:rPr>
        <w:t xml:space="preserve">are biological processes. </w:t>
      </w:r>
      <w:r w:rsidRPr="0040363E">
        <w:rPr>
          <w:rFonts w:ascii="Times New Roman" w:hAnsi="Times New Roman"/>
          <w:noProof/>
        </w:rPr>
        <w:t xml:space="preserve">For composting the decomposition of organic waste takes place under aerobic conditions </w:t>
      </w:r>
      <w:r>
        <w:rPr>
          <w:rFonts w:ascii="Times New Roman" w:hAnsi="Times New Roman"/>
          <w:noProof/>
        </w:rPr>
        <w:t xml:space="preserve">primarily resulting in biogenic </w:t>
      </w:r>
      <w:r w:rsidRPr="008A7A8E">
        <w:rPr>
          <w:rFonts w:ascii="Times New Roman" w:hAnsi="Times New Roman"/>
          <w:noProof/>
        </w:rPr>
        <w:t>CO</w:t>
      </w:r>
      <w:r w:rsidRPr="008A7A8E">
        <w:rPr>
          <w:rFonts w:ascii="Times New Roman" w:hAnsi="Times New Roman"/>
          <w:noProof/>
          <w:vertAlign w:val="subscript"/>
        </w:rPr>
        <w:t>2</w:t>
      </w:r>
      <w:r>
        <w:rPr>
          <w:rFonts w:ascii="Times New Roman" w:hAnsi="Times New Roman"/>
          <w:noProof/>
          <w:vertAlign w:val="subscript"/>
        </w:rPr>
        <w:t xml:space="preserve"> </w:t>
      </w:r>
      <w:r w:rsidRPr="00D21B55">
        <w:rPr>
          <w:rFonts w:ascii="Times New Roman" w:hAnsi="Times New Roman"/>
          <w:noProof/>
        </w:rPr>
        <w:t>emissions</w:t>
      </w:r>
      <w:r>
        <w:rPr>
          <w:rFonts w:ascii="Times New Roman" w:hAnsi="Times New Roman"/>
          <w:noProof/>
        </w:rPr>
        <w:t xml:space="preserve">, which would be zero-rated under the EU ETS. </w:t>
      </w:r>
      <w:r w:rsidRPr="00896BC3">
        <w:rPr>
          <w:rFonts w:ascii="Times New Roman" w:hAnsi="Times New Roman"/>
          <w:noProof/>
        </w:rPr>
        <w:t xml:space="preserve">The remaining GHG emissions </w:t>
      </w:r>
      <w:r>
        <w:rPr>
          <w:rFonts w:ascii="Times New Roman" w:hAnsi="Times New Roman"/>
          <w:noProof/>
        </w:rPr>
        <w:t xml:space="preserve">from N2O and CH4 </w:t>
      </w:r>
      <w:r w:rsidRPr="00896BC3">
        <w:rPr>
          <w:rFonts w:ascii="Times New Roman" w:hAnsi="Times New Roman"/>
          <w:noProof/>
        </w:rPr>
        <w:t>are relatively modest</w:t>
      </w:r>
      <w:r>
        <w:rPr>
          <w:rFonts w:ascii="Times New Roman" w:hAnsi="Times New Roman"/>
          <w:noProof/>
        </w:rPr>
        <w:t>, with composting being substantially less methane-intensive than landfilling and overall accounting for only 2.8 MtCO2e emissions from CH4 in 2023 (compared to 76-84 MtCO2e from landfills) and 1.7 MtCO2e from N20</w:t>
      </w:r>
      <w:r w:rsidRPr="00687E76">
        <w:rPr>
          <w:rStyle w:val="FootnoteReference"/>
          <w:rFonts w:ascii="Times New Roman" w:hAnsi="Times New Roman"/>
          <w:noProof/>
        </w:rPr>
        <w:footnoteReference w:id="73"/>
      </w:r>
      <w:r>
        <w:rPr>
          <w:rFonts w:ascii="Times New Roman" w:hAnsi="Times New Roman"/>
          <w:noProof/>
        </w:rPr>
        <w:t>.</w:t>
      </w:r>
      <w:r w:rsidRPr="00896BC3">
        <w:rPr>
          <w:rFonts w:ascii="Times New Roman" w:hAnsi="Times New Roman"/>
          <w:noProof/>
        </w:rPr>
        <w:t xml:space="preserve"> </w:t>
      </w:r>
      <w:r>
        <w:rPr>
          <w:rFonts w:ascii="Times New Roman" w:hAnsi="Times New Roman"/>
          <w:noProof/>
        </w:rPr>
        <w:t>A</w:t>
      </w:r>
      <w:r w:rsidRPr="008A7A8E">
        <w:rPr>
          <w:rFonts w:ascii="Times New Roman" w:hAnsi="Times New Roman"/>
          <w:noProof/>
        </w:rPr>
        <w:t xml:space="preserve">naerobic digestion </w:t>
      </w:r>
      <w:r>
        <w:rPr>
          <w:rFonts w:ascii="Times New Roman" w:hAnsi="Times New Roman"/>
          <w:noProof/>
        </w:rPr>
        <w:t xml:space="preserve">is smaller than composting both in terms of volumes and associated emissions. It is a closed process by design for the recovery of methane for renewable energy, although </w:t>
      </w:r>
      <w:r w:rsidRPr="008A7A8E">
        <w:rPr>
          <w:rFonts w:ascii="Times New Roman" w:hAnsi="Times New Roman"/>
          <w:noProof/>
        </w:rPr>
        <w:t xml:space="preserve">subject to </w:t>
      </w:r>
      <w:r>
        <w:rPr>
          <w:rFonts w:ascii="Times New Roman" w:hAnsi="Times New Roman"/>
          <w:noProof/>
        </w:rPr>
        <w:t xml:space="preserve">some </w:t>
      </w:r>
      <w:r w:rsidRPr="008A7A8E">
        <w:rPr>
          <w:rFonts w:ascii="Times New Roman" w:hAnsi="Times New Roman"/>
          <w:noProof/>
        </w:rPr>
        <w:t>release of fugitive methane emissions</w:t>
      </w:r>
      <w:r>
        <w:rPr>
          <w:rFonts w:ascii="Times New Roman" w:hAnsi="Times New Roman"/>
          <w:noProof/>
        </w:rPr>
        <w:t xml:space="preserve"> amounting to 2.0 MtCO2e in 2023, at a more limited scale compared to composting and landfilling and with </w:t>
      </w:r>
      <w:r w:rsidRPr="008A7A8E">
        <w:rPr>
          <w:rFonts w:ascii="Times New Roman" w:hAnsi="Times New Roman"/>
          <w:noProof/>
        </w:rPr>
        <w:t xml:space="preserve">remediation possible. </w:t>
      </w:r>
      <w:r>
        <w:rPr>
          <w:rFonts w:ascii="Times New Roman" w:hAnsi="Times New Roman"/>
          <w:noProof/>
        </w:rPr>
        <w:t xml:space="preserve">Under the waste hierarchy, anaerobic digestion and composting are </w:t>
      </w:r>
      <w:r w:rsidRPr="000361B7">
        <w:rPr>
          <w:rFonts w:ascii="Times New Roman" w:hAnsi="Times New Roman"/>
          <w:noProof/>
        </w:rPr>
        <w:t>preferable</w:t>
      </w:r>
      <w:r>
        <w:rPr>
          <w:rFonts w:ascii="Times New Roman" w:hAnsi="Times New Roman"/>
          <w:noProof/>
        </w:rPr>
        <w:t xml:space="preserve"> as a form of recovery and recycling contributing to the reduction of organic waste. Consequently, the application of the</w:t>
      </w:r>
      <w:r w:rsidRPr="00660916">
        <w:rPr>
          <w:rFonts w:ascii="Times New Roman" w:hAnsi="Times New Roman"/>
          <w:noProof/>
        </w:rPr>
        <w:t xml:space="preserve"> carbon price</w:t>
      </w:r>
      <w:r>
        <w:rPr>
          <w:rFonts w:ascii="Times New Roman" w:hAnsi="Times New Roman"/>
          <w:noProof/>
        </w:rPr>
        <w:t xml:space="preserve"> signal to these waste management processes would</w:t>
      </w:r>
      <w:r w:rsidRPr="00660916">
        <w:rPr>
          <w:rFonts w:ascii="Times New Roman" w:hAnsi="Times New Roman"/>
          <w:noProof/>
        </w:rPr>
        <w:t xml:space="preserve"> </w:t>
      </w:r>
      <w:r>
        <w:rPr>
          <w:rFonts w:ascii="Times New Roman" w:hAnsi="Times New Roman"/>
          <w:noProof/>
        </w:rPr>
        <w:t>not</w:t>
      </w:r>
      <w:r w:rsidRPr="00660916">
        <w:rPr>
          <w:rFonts w:ascii="Times New Roman" w:hAnsi="Times New Roman"/>
          <w:noProof/>
        </w:rPr>
        <w:t xml:space="preserve"> </w:t>
      </w:r>
      <w:r>
        <w:rPr>
          <w:rFonts w:ascii="Times New Roman" w:hAnsi="Times New Roman"/>
          <w:noProof/>
        </w:rPr>
        <w:t xml:space="preserve">cover </w:t>
      </w:r>
      <w:r w:rsidRPr="00660916">
        <w:rPr>
          <w:rFonts w:ascii="Times New Roman" w:hAnsi="Times New Roman"/>
          <w:noProof/>
        </w:rPr>
        <w:t xml:space="preserve">substantial </w:t>
      </w:r>
      <w:r>
        <w:rPr>
          <w:rFonts w:ascii="Times New Roman" w:hAnsi="Times New Roman"/>
          <w:noProof/>
        </w:rPr>
        <w:t xml:space="preserve">additional </w:t>
      </w:r>
      <w:r w:rsidRPr="00660916">
        <w:rPr>
          <w:rFonts w:ascii="Times New Roman" w:hAnsi="Times New Roman"/>
          <w:noProof/>
        </w:rPr>
        <w:t>volume</w:t>
      </w:r>
      <w:r>
        <w:rPr>
          <w:rFonts w:ascii="Times New Roman" w:hAnsi="Times New Roman"/>
          <w:noProof/>
        </w:rPr>
        <w:t>s</w:t>
      </w:r>
      <w:r w:rsidRPr="00660916">
        <w:rPr>
          <w:rFonts w:ascii="Times New Roman" w:hAnsi="Times New Roman"/>
          <w:noProof/>
        </w:rPr>
        <w:t xml:space="preserve"> of emissions</w:t>
      </w:r>
      <w:r>
        <w:rPr>
          <w:rFonts w:ascii="Times New Roman" w:hAnsi="Times New Roman"/>
          <w:noProof/>
        </w:rPr>
        <w:t>, while not being coherent with the objective of the waste hierarchy incentivising these processes, limiting the reach of the carbon price incentive from an overall environmental perspective.</w:t>
      </w:r>
    </w:p>
    <w:p w14:paraId="66492B42" w14:textId="4EB67203" w:rsidR="009010D9" w:rsidRPr="007E5C48" w:rsidRDefault="009010D9" w:rsidP="00C92FA9">
      <w:pPr>
        <w:rPr>
          <w:noProof/>
        </w:rPr>
      </w:pPr>
      <w:r w:rsidRPr="7559BC76">
        <w:rPr>
          <w:b/>
          <w:bCs/>
          <w:noProof/>
        </w:rPr>
        <w:t>Carbon taxation:</w:t>
      </w:r>
      <w:r w:rsidRPr="7559BC76">
        <w:rPr>
          <w:noProof/>
        </w:rPr>
        <w:t xml:space="preserve"> as an alternative to cap-and-trade systems, carbon taxation can offer predictable marginal costs and a simplified legal structure, while raising stable revenue without the complexity of allowance auctions or registries. Conversely, taxation can also be less predictable over time in view of discretionary decisions on design and levels, which undermines efficiency and investment predictability. Contrary to cap-and-trade systems taxation does not guarantee the achievement of emissions reductions in absence of a cap on total emissions, while carrying a higher aggregate cost due to the lack of market flexibility steering the most cost-efficient decarbonisation routes. Harmonised taxation at EU-level would carry an additional procedural complexity due to the unanimity requirement as a fiscal measure. On the other hand, national taxation reflects the current policy situation, characterised by a lack of harmonisation and risk of tax competition. Currently only one third of EU Member States have some form of taxation on waste incineration in place, of which only two apply a carbon tax (the Netherlands and Norway). With few exceptions, taxation levels are substantially below both current and projected future ETS prices, averaging EUR 19 to 29 across the EU</w:t>
      </w:r>
      <w:r>
        <w:rPr>
          <w:rStyle w:val="FootnoteReference"/>
          <w:noProof/>
        </w:rPr>
        <w:footnoteReference w:id="74"/>
      </w:r>
      <w:r w:rsidRPr="7559BC76">
        <w:rPr>
          <w:noProof/>
        </w:rPr>
        <w:t>. For landfilling, all but five Member States apply taxation, and levels are generally higher than for waste incineration, averaging EUR 39 to 46</w:t>
      </w:r>
      <w:r>
        <w:rPr>
          <w:rStyle w:val="FootnoteReference"/>
          <w:noProof/>
        </w:rPr>
        <w:footnoteReference w:id="75"/>
      </w:r>
      <w:r w:rsidRPr="7559BC76">
        <w:rPr>
          <w:noProof/>
        </w:rPr>
        <w:t>. For these reasons, this measure was discarded as an option to address emissions from the waste management sector, either harmonised at EU-level or for Member State implementation.</w:t>
      </w:r>
    </w:p>
    <w:p w14:paraId="200D74CB" w14:textId="77777777" w:rsidR="009010D9" w:rsidRPr="003D3BB3" w:rsidRDefault="009010D9" w:rsidP="002F3B20">
      <w:pPr>
        <w:pStyle w:val="Heading2COM"/>
        <w:outlineLvl w:val="2"/>
        <w15:collapsed w:val="0"/>
        <w:rPr>
          <w:noProof/>
        </w:rPr>
      </w:pPr>
      <w:bookmarkStart w:id="662" w:name="_Toc211284568"/>
      <w:bookmarkStart w:id="663" w:name="_Toc212426427"/>
      <w:bookmarkStart w:id="664" w:name="_Toc916846308"/>
      <w:bookmarkStart w:id="665" w:name="_Hlk211861791"/>
      <w:r>
        <w:rPr>
          <w:noProof/>
        </w:rPr>
        <w:t xml:space="preserve"> </w:t>
      </w:r>
      <w:bookmarkStart w:id="666" w:name="_Toc230861521"/>
      <w:bookmarkStart w:id="667" w:name="_Toc232751143"/>
      <w:r>
        <w:rPr>
          <w:noProof/>
        </w:rPr>
        <w:t>Carbon price signal and e</w:t>
      </w:r>
      <w:r w:rsidRPr="003D3BB3">
        <w:rPr>
          <w:noProof/>
        </w:rPr>
        <w:t xml:space="preserve">mission </w:t>
      </w:r>
      <w:r>
        <w:rPr>
          <w:noProof/>
        </w:rPr>
        <w:t>a</w:t>
      </w:r>
      <w:r w:rsidRPr="003D3BB3">
        <w:rPr>
          <w:noProof/>
        </w:rPr>
        <w:t>batement</w:t>
      </w:r>
      <w:bookmarkEnd w:id="666"/>
      <w:bookmarkEnd w:id="667"/>
      <w:r w:rsidRPr="003D3BB3">
        <w:rPr>
          <w:noProof/>
        </w:rPr>
        <w:t xml:space="preserve"> </w:t>
      </w:r>
      <w:bookmarkEnd w:id="662"/>
      <w:bookmarkEnd w:id="663"/>
      <w:bookmarkEnd w:id="664"/>
    </w:p>
    <w:p w14:paraId="3F466637" w14:textId="77777777" w:rsidR="009010D9" w:rsidRDefault="009010D9" w:rsidP="00C92FA9">
      <w:pPr>
        <w:rPr>
          <w:noProof/>
        </w:rPr>
      </w:pPr>
      <w:r>
        <w:rPr>
          <w:noProof/>
        </w:rPr>
        <w:t>T</w:t>
      </w:r>
      <w:r w:rsidRPr="0027000B">
        <w:rPr>
          <w:noProof/>
        </w:rPr>
        <w:t>he application of the carbon price to waste incineration and landfilling can drive emissions reductions, depend</w:t>
      </w:r>
      <w:r>
        <w:rPr>
          <w:noProof/>
        </w:rPr>
        <w:t>ing</w:t>
      </w:r>
      <w:r w:rsidRPr="0027000B">
        <w:rPr>
          <w:noProof/>
        </w:rPr>
        <w:t xml:space="preserve"> on the carbon cost for operators, the carbon cost</w:t>
      </w:r>
      <w:r>
        <w:rPr>
          <w:noProof/>
        </w:rPr>
        <w:t xml:space="preserve"> passthrough</w:t>
      </w:r>
      <w:r w:rsidRPr="0027000B">
        <w:rPr>
          <w:noProof/>
        </w:rPr>
        <w:t xml:space="preserve"> in the waste value chain</w:t>
      </w:r>
      <w:r>
        <w:rPr>
          <w:noProof/>
        </w:rPr>
        <w:t xml:space="preserve"> </w:t>
      </w:r>
      <w:r w:rsidRPr="0027000B">
        <w:rPr>
          <w:noProof/>
        </w:rPr>
        <w:t xml:space="preserve">and available </w:t>
      </w:r>
      <w:r>
        <w:rPr>
          <w:noProof/>
        </w:rPr>
        <w:t>cost-effective emissions abatement pathways</w:t>
      </w:r>
      <w:r w:rsidRPr="0027000B">
        <w:rPr>
          <w:noProof/>
        </w:rPr>
        <w:t xml:space="preserve"> at different levels of the waste </w:t>
      </w:r>
      <w:r>
        <w:rPr>
          <w:noProof/>
        </w:rPr>
        <w:t>value</w:t>
      </w:r>
      <w:r w:rsidRPr="0027000B">
        <w:rPr>
          <w:noProof/>
        </w:rPr>
        <w:t xml:space="preserve"> chain. </w:t>
      </w:r>
      <w:bookmarkStart w:id="668" w:name="_Toc193287261"/>
      <w:bookmarkStart w:id="669" w:name="_Toc193377905"/>
      <w:bookmarkStart w:id="670" w:name="_Toc193377955"/>
      <w:bookmarkStart w:id="671" w:name="_Toc195565247"/>
      <w:bookmarkStart w:id="672" w:name="_Toc212426428"/>
      <w:bookmarkStart w:id="673" w:name="_Toc165452984"/>
      <w:bookmarkEnd w:id="668"/>
      <w:bookmarkEnd w:id="669"/>
      <w:bookmarkEnd w:id="670"/>
    </w:p>
    <w:p w14:paraId="0ACC16FD" w14:textId="77777777" w:rsidR="009010D9" w:rsidRDefault="009010D9" w:rsidP="00C92FA9">
      <w:pPr>
        <w:rPr>
          <w:noProof/>
        </w:rPr>
      </w:pPr>
      <w:r w:rsidRPr="009B7D65">
        <w:rPr>
          <w:noProof/>
        </w:rPr>
        <w:t xml:space="preserve">The overall carbon cost </w:t>
      </w:r>
      <w:r>
        <w:rPr>
          <w:noProof/>
        </w:rPr>
        <w:t>for</w:t>
      </w:r>
      <w:r w:rsidRPr="009B7D65">
        <w:rPr>
          <w:noProof/>
        </w:rPr>
        <w:t xml:space="preserve"> operators depends on multiple factors including total </w:t>
      </w:r>
      <w:r>
        <w:rPr>
          <w:noProof/>
        </w:rPr>
        <w:t>volume of waste treated</w:t>
      </w:r>
      <w:r w:rsidRPr="009B7D65">
        <w:rPr>
          <w:noProof/>
        </w:rPr>
        <w:t xml:space="preserve">, waste composition </w:t>
      </w:r>
      <w:r>
        <w:rPr>
          <w:noProof/>
        </w:rPr>
        <w:t>(fossil vs biogenic fractions)</w:t>
      </w:r>
      <w:r w:rsidRPr="009B7D65">
        <w:rPr>
          <w:noProof/>
        </w:rPr>
        <w:t xml:space="preserve">, the </w:t>
      </w:r>
      <w:r>
        <w:rPr>
          <w:noProof/>
        </w:rPr>
        <w:t>EU ETS</w:t>
      </w:r>
      <w:r w:rsidRPr="009B7D65">
        <w:rPr>
          <w:noProof/>
        </w:rPr>
        <w:t xml:space="preserve"> price, </w:t>
      </w:r>
      <w:r>
        <w:rPr>
          <w:noProof/>
        </w:rPr>
        <w:t>the ability to pass on carbon costs to other actors, elasticities, and the availability and cost-effectiveness of decarbonisation pathways and removals generated</w:t>
      </w:r>
      <w:r w:rsidRPr="009B7D65">
        <w:rPr>
          <w:noProof/>
        </w:rPr>
        <w:t xml:space="preserve">. </w:t>
      </w:r>
    </w:p>
    <w:p w14:paraId="529A9491" w14:textId="77777777" w:rsidR="009010D9" w:rsidRPr="009B7D65" w:rsidRDefault="009010D9" w:rsidP="00C92FA9">
      <w:pPr>
        <w:rPr>
          <w:noProof/>
        </w:rPr>
      </w:pPr>
      <w:r w:rsidRPr="00A77FB2">
        <w:rPr>
          <w:noProof/>
        </w:rPr>
        <w:t xml:space="preserve">The baseline assumes no EU ETS carbon cost </w:t>
      </w:r>
      <w:r>
        <w:rPr>
          <w:noProof/>
        </w:rPr>
        <w:t xml:space="preserve">and </w:t>
      </w:r>
      <w:r w:rsidRPr="00A77FB2">
        <w:rPr>
          <w:noProof/>
        </w:rPr>
        <w:t>an average gate fee for municipal waste incinerators of EUR 100 per tonne of waste</w:t>
      </w:r>
      <w:r>
        <w:rPr>
          <w:rStyle w:val="FootnoteReference"/>
          <w:noProof/>
        </w:rPr>
        <w:footnoteReference w:id="76"/>
      </w:r>
      <w:r>
        <w:rPr>
          <w:noProof/>
        </w:rPr>
        <w:t xml:space="preserve"> </w:t>
      </w:r>
      <w:r w:rsidRPr="00A77FB2">
        <w:rPr>
          <w:noProof/>
        </w:rPr>
        <w:t xml:space="preserve">(not considering separate taxes </w:t>
      </w:r>
      <w:r>
        <w:rPr>
          <w:noProof/>
        </w:rPr>
        <w:t xml:space="preserve">or levies </w:t>
      </w:r>
      <w:r w:rsidRPr="00A77FB2">
        <w:rPr>
          <w:noProof/>
        </w:rPr>
        <w:t xml:space="preserve">on waste incineration, which could be modulated to compensate the additional carbon cost). </w:t>
      </w:r>
      <w:r>
        <w:rPr>
          <w:noProof/>
        </w:rPr>
        <w:t>For the inclusion of municipal waste incineration, assuming</w:t>
      </w:r>
      <w:r w:rsidRPr="22FEA6BF">
        <w:rPr>
          <w:noProof/>
        </w:rPr>
        <w:t xml:space="preserve"> a carbon price of EUR 110 per tonne CO2e in 2030, 1 tonne of municipal waste incinerated being associated with</w:t>
      </w:r>
      <w:r>
        <w:rPr>
          <w:noProof/>
        </w:rPr>
        <w:t xml:space="preserve"> 0.7-1.2 tonne of CO2 of which 50% fossil CO2,</w:t>
      </w:r>
      <w:r w:rsidRPr="22FEA6BF">
        <w:rPr>
          <w:noProof/>
        </w:rPr>
        <w:t xml:space="preserve"> and not </w:t>
      </w:r>
      <w:r>
        <w:rPr>
          <w:noProof/>
        </w:rPr>
        <w:t>integrating emissions abatement incentivised by the carbon price,</w:t>
      </w:r>
      <w:r w:rsidRPr="22FEA6BF">
        <w:rPr>
          <w:noProof/>
        </w:rPr>
        <w:t xml:space="preserve"> the average </w:t>
      </w:r>
      <w:r>
        <w:rPr>
          <w:noProof/>
        </w:rPr>
        <w:t xml:space="preserve">effective </w:t>
      </w:r>
      <w:r w:rsidRPr="22FEA6BF">
        <w:rPr>
          <w:noProof/>
        </w:rPr>
        <w:t xml:space="preserve">carbon cost per tonne of municipal waste </w:t>
      </w:r>
      <w:r>
        <w:rPr>
          <w:noProof/>
        </w:rPr>
        <w:t xml:space="preserve">incinerated </w:t>
      </w:r>
      <w:r w:rsidRPr="22FEA6BF">
        <w:rPr>
          <w:noProof/>
        </w:rPr>
        <w:t xml:space="preserve">is estimated to </w:t>
      </w:r>
      <w:r>
        <w:rPr>
          <w:noProof/>
        </w:rPr>
        <w:t>range between</w:t>
      </w:r>
      <w:r w:rsidRPr="22FEA6BF">
        <w:rPr>
          <w:noProof/>
        </w:rPr>
        <w:t xml:space="preserve"> EUR </w:t>
      </w:r>
      <w:r>
        <w:rPr>
          <w:noProof/>
        </w:rPr>
        <w:t>38.5 and 66 (2030), at which level the carbon cost would add 38.5%-66% to the gate fee when fully passed through to waste suppliers</w:t>
      </w:r>
      <w:r w:rsidRPr="22FEA6BF">
        <w:rPr>
          <w:noProof/>
        </w:rPr>
        <w:t xml:space="preserve">. The cost </w:t>
      </w:r>
      <w:r>
        <w:rPr>
          <w:noProof/>
        </w:rPr>
        <w:t>would</w:t>
      </w:r>
      <w:r w:rsidRPr="22FEA6BF">
        <w:rPr>
          <w:noProof/>
        </w:rPr>
        <w:t xml:space="preserve"> further increase </w:t>
      </w:r>
      <w:r>
        <w:rPr>
          <w:noProof/>
        </w:rPr>
        <w:t>in case the</w:t>
      </w:r>
      <w:r w:rsidRPr="22FEA6BF">
        <w:rPr>
          <w:noProof/>
        </w:rPr>
        <w:t xml:space="preserve"> ETS price increase</w:t>
      </w:r>
      <w:r>
        <w:rPr>
          <w:noProof/>
        </w:rPr>
        <w:t>s</w:t>
      </w:r>
      <w:r w:rsidRPr="22FEA6BF">
        <w:rPr>
          <w:noProof/>
        </w:rPr>
        <w:t xml:space="preserve"> towards 2040. </w:t>
      </w:r>
    </w:p>
    <w:p w14:paraId="0F426269" w14:textId="77777777" w:rsidR="009010D9" w:rsidRDefault="009010D9" w:rsidP="00C92FA9">
      <w:pPr>
        <w:rPr>
          <w:noProof/>
        </w:rPr>
      </w:pPr>
      <w:r w:rsidRPr="009B7D65">
        <w:rPr>
          <w:noProof/>
        </w:rPr>
        <w:t xml:space="preserve">For landfills, </w:t>
      </w:r>
      <w:r w:rsidRPr="00E64C65">
        <w:rPr>
          <w:noProof/>
        </w:rPr>
        <w:t xml:space="preserve">the baseline assumes </w:t>
      </w:r>
      <w:r>
        <w:rPr>
          <w:noProof/>
        </w:rPr>
        <w:t xml:space="preserve">no EU ETS carbon cost and </w:t>
      </w:r>
      <w:r w:rsidRPr="00E64C65">
        <w:rPr>
          <w:noProof/>
        </w:rPr>
        <w:t>generally lower gate fees than for municipal waste incineration, at EUR 50 per tonne of non-hazardous waste on average (separate landfill taxes not included, which could be modulated to compensate the additional carbon cost)</w:t>
      </w:r>
      <w:r>
        <w:rPr>
          <w:rStyle w:val="FootnoteReference"/>
          <w:noProof/>
        </w:rPr>
        <w:footnoteReference w:id="77"/>
      </w:r>
      <w:r>
        <w:rPr>
          <w:noProof/>
        </w:rPr>
        <w:t xml:space="preserve">. </w:t>
      </w:r>
      <w:r w:rsidRPr="00E64C65">
        <w:rPr>
          <w:noProof/>
        </w:rPr>
        <w:t xml:space="preserve">For </w:t>
      </w:r>
      <w:r>
        <w:rPr>
          <w:noProof/>
        </w:rPr>
        <w:t>landfills,</w:t>
      </w:r>
      <w:r w:rsidRPr="00E64C65">
        <w:rPr>
          <w:noProof/>
        </w:rPr>
        <w:t xml:space="preserve"> </w:t>
      </w:r>
      <w:r w:rsidRPr="009B7D65">
        <w:rPr>
          <w:noProof/>
        </w:rPr>
        <w:t>assuming an emissions factor of 0.6 CO2e for methane</w:t>
      </w:r>
      <w:r>
        <w:rPr>
          <w:rStyle w:val="FootnoteReference"/>
          <w:noProof/>
        </w:rPr>
        <w:footnoteReference w:id="78"/>
      </w:r>
      <w:r w:rsidRPr="009B7D65">
        <w:rPr>
          <w:noProof/>
        </w:rPr>
        <w:t xml:space="preserve">, the average carbon cost per tonne of landfilled waste is estimated to amount to EUR </w:t>
      </w:r>
      <w:r>
        <w:rPr>
          <w:noProof/>
        </w:rPr>
        <w:t>66 on average</w:t>
      </w:r>
      <w:r w:rsidRPr="009B7D65">
        <w:rPr>
          <w:noProof/>
        </w:rPr>
        <w:t xml:space="preserve">, </w:t>
      </w:r>
      <w:r>
        <w:rPr>
          <w:noProof/>
        </w:rPr>
        <w:t>which would more than double the average gate fee when fully passed through to the waste supplier. The cost would  further increase</w:t>
      </w:r>
      <w:r w:rsidRPr="009B7D65">
        <w:rPr>
          <w:noProof/>
        </w:rPr>
        <w:t xml:space="preserve"> as ETS prices increase towards 2040.</w:t>
      </w:r>
      <w:r>
        <w:rPr>
          <w:noProof/>
        </w:rPr>
        <w:t xml:space="preserve">  </w:t>
      </w:r>
    </w:p>
    <w:p w14:paraId="00C6008F" w14:textId="77777777" w:rsidR="009010D9" w:rsidRDefault="009010D9" w:rsidP="00C92FA9">
      <w:pPr>
        <w:rPr>
          <w:noProof/>
        </w:rPr>
      </w:pPr>
      <w:r>
        <w:rPr>
          <w:noProof/>
        </w:rPr>
        <w:t xml:space="preserve">The carbon price signal is expected to provide an economic incentive to reduce emissions from waste incineration and landfilling, mitigating carbon costs and buffering against future carbon price increases, provided cost-effective decarbonisation pathways are available. Action to abate emissions can be incentivised at installation level (see Section 1.3.2.) and in the waste value chain (see Section 1.3.1.). </w:t>
      </w:r>
    </w:p>
    <w:p w14:paraId="47101A15" w14:textId="77777777" w:rsidR="009010D9" w:rsidRDefault="009010D9" w:rsidP="002F3B20">
      <w:pPr>
        <w:pStyle w:val="Heading3COM"/>
        <w:outlineLvl w:val="3"/>
        <w:rPr>
          <w:noProof/>
        </w:rPr>
      </w:pPr>
      <w:bookmarkStart w:id="674" w:name="_Toc230861522"/>
      <w:bookmarkStart w:id="675" w:name="_Toc232751144"/>
      <w:r>
        <w:rPr>
          <w:noProof/>
        </w:rPr>
        <w:t>Ability to pass-on the carbon cost and emissions abatement in the waste value chain</w:t>
      </w:r>
      <w:bookmarkEnd w:id="674"/>
      <w:bookmarkEnd w:id="675"/>
      <w:r>
        <w:rPr>
          <w:noProof/>
        </w:rPr>
        <w:t xml:space="preserve"> </w:t>
      </w:r>
      <w:bookmarkStart w:id="676" w:name="_Toc195565261"/>
    </w:p>
    <w:bookmarkEnd w:id="676"/>
    <w:p w14:paraId="4FC570F2" w14:textId="77777777" w:rsidR="009010D9" w:rsidRDefault="009010D9">
      <w:pPr>
        <w:rPr>
          <w:noProof/>
        </w:rPr>
      </w:pPr>
      <w:r w:rsidRPr="00E5316D">
        <w:rPr>
          <w:noProof/>
        </w:rPr>
        <w:t xml:space="preserve">One of the most effective ways to ensure that no fossil carbon at stack </w:t>
      </w:r>
      <w:r>
        <w:rPr>
          <w:noProof/>
        </w:rPr>
        <w:t>(incineration) or methane (landfills) is emitted</w:t>
      </w:r>
      <w:r w:rsidRPr="00E5316D">
        <w:rPr>
          <w:noProof/>
        </w:rPr>
        <w:t xml:space="preserve"> is source reduction or elimination. </w:t>
      </w:r>
      <w:r>
        <w:rPr>
          <w:noProof/>
        </w:rPr>
        <w:t>The carbon cost passthrough from waste disposal operators to waste collection authorities, notably local authorities, and other waste suppliers, such as commercial actors or recyclers, should incentivise action by</w:t>
      </w:r>
      <w:r w:rsidRPr="003D22FA">
        <w:rPr>
          <w:noProof/>
        </w:rPr>
        <w:t xml:space="preserve"> </w:t>
      </w:r>
      <w:r>
        <w:rPr>
          <w:noProof/>
        </w:rPr>
        <w:t>waste collection authorities</w:t>
      </w:r>
      <w:r w:rsidRPr="003D22FA">
        <w:rPr>
          <w:noProof/>
        </w:rPr>
        <w:t xml:space="preserve"> and </w:t>
      </w:r>
      <w:r>
        <w:rPr>
          <w:noProof/>
        </w:rPr>
        <w:t>other waste suppliers</w:t>
      </w:r>
      <w:r w:rsidRPr="003D22FA">
        <w:rPr>
          <w:noProof/>
        </w:rPr>
        <w:t xml:space="preserve"> to reduce </w:t>
      </w:r>
      <w:r>
        <w:rPr>
          <w:noProof/>
        </w:rPr>
        <w:t xml:space="preserve">residual </w:t>
      </w:r>
      <w:r w:rsidRPr="003D22FA">
        <w:rPr>
          <w:noProof/>
        </w:rPr>
        <w:t>waste streams and the carbon</w:t>
      </w:r>
      <w:r>
        <w:rPr>
          <w:noProof/>
        </w:rPr>
        <w:t>/methane</w:t>
      </w:r>
      <w:r w:rsidRPr="003D22FA">
        <w:rPr>
          <w:noProof/>
        </w:rPr>
        <w:t xml:space="preserve"> content in </w:t>
      </w:r>
      <w:r>
        <w:rPr>
          <w:noProof/>
        </w:rPr>
        <w:t xml:space="preserve">residual </w:t>
      </w:r>
      <w:r w:rsidRPr="003D22FA">
        <w:rPr>
          <w:noProof/>
        </w:rPr>
        <w:t>waste streams</w:t>
      </w:r>
      <w:r>
        <w:rPr>
          <w:noProof/>
        </w:rPr>
        <w:t xml:space="preserve"> sent</w:t>
      </w:r>
      <w:r w:rsidRPr="003D22FA">
        <w:rPr>
          <w:noProof/>
        </w:rPr>
        <w:t xml:space="preserve"> for </w:t>
      </w:r>
      <w:r>
        <w:rPr>
          <w:noProof/>
        </w:rPr>
        <w:t xml:space="preserve">disposal. The ability to do so is subject to the price elasticities in the sector, the contractual arrangements in place, and complementary policies and measures including targeted reinvestment of EU ETS revenues (see Section 1.3.4.). </w:t>
      </w:r>
    </w:p>
    <w:p w14:paraId="648AC6A2" w14:textId="77777777" w:rsidR="009010D9" w:rsidRDefault="009010D9">
      <w:pPr>
        <w:rPr>
          <w:noProof/>
        </w:rPr>
      </w:pPr>
      <w:r>
        <w:rPr>
          <w:noProof/>
        </w:rPr>
        <w:t>Evidence indicates policy-relevant price elasticities for the demand for residual waste disposal ranging from -0.2 to -0.4, implying a 10-20% reduction potential in incineration in response to an average increase in disposal costs by EUR 50 (2030), and cross-price elasticities for diversion to recycling ranging from  +0.32 to +0.45</w:t>
      </w:r>
      <w:r>
        <w:rPr>
          <w:rStyle w:val="FootnoteReference"/>
          <w:noProof/>
        </w:rPr>
        <w:footnoteReference w:id="79"/>
      </w:r>
      <w:r>
        <w:rPr>
          <w:noProof/>
        </w:rPr>
        <w:t xml:space="preserve">, implying an 16-22.5% increase potential in waste diverted from incineration to recycling. Elasticities are highest for higher price signals and for targeted weight-based or Pay-As-You-Throw waste collection systems for non-recyclable waste. Evidence on price elasticities for hazardous waste and for landfilling is more limited due to the wide variety of waste types under this category. </w:t>
      </w:r>
    </w:p>
    <w:p w14:paraId="3AF32312" w14:textId="77777777" w:rsidR="009010D9" w:rsidRDefault="009010D9">
      <w:pPr>
        <w:rPr>
          <w:noProof/>
        </w:rPr>
      </w:pPr>
      <w:r>
        <w:rPr>
          <w:noProof/>
        </w:rPr>
        <w:t>The carbon price incentive can improve circularity and reduce waste handling costs through improved waste prevention and separate collection. Consider a stylised example of a waste supplier (e.g. a shopping centre) with a current total waste volume of 150 tonnes per month and a waste handling ratio of 67% recycled and 33% sent to incineration as mixed municipal waste at a gate fee of EUR 100 per tonne of waste, leading to a mixed waste handling cost of EUR 4.950 per month. If the carbon price is passed through increasing the gate fee by 40% and the shopping centre improves its waste prevention and separate collection to reduce its share of mixed municipal waste sent to incineration by one third to 22%, then the mixed waste handling cost decreases by 6.5% to EUR 4.620 per month compared to the current situation</w:t>
      </w:r>
      <w:r w:rsidRPr="0829F498">
        <w:rPr>
          <w:noProof/>
          <w:vertAlign w:val="superscript"/>
        </w:rPr>
        <w:footnoteReference w:id="80"/>
      </w:r>
      <w:r>
        <w:rPr>
          <w:noProof/>
        </w:rPr>
        <w:t>.</w:t>
      </w:r>
    </w:p>
    <w:p w14:paraId="1C954ACC" w14:textId="77777777" w:rsidR="009010D9" w:rsidRDefault="009010D9">
      <w:pPr>
        <w:rPr>
          <w:noProof/>
        </w:rPr>
      </w:pPr>
      <w:r>
        <w:rPr>
          <w:noProof/>
        </w:rPr>
        <w:t>Selected circular economy measures that can steer the collection and disposal of municipal waste in line with the higher steps of the waste hierarchy, reduce emissions at disposal stage and help manage the impact of the carbon cost include:</w:t>
      </w:r>
    </w:p>
    <w:p w14:paraId="2663451C" w14:textId="77777777" w:rsidR="009010D9" w:rsidRDefault="009010D9">
      <w:pPr>
        <w:rPr>
          <w:noProof/>
        </w:rPr>
      </w:pPr>
      <w:r w:rsidRPr="00E4136C">
        <w:rPr>
          <w:b/>
          <w:bCs/>
          <w:noProof/>
        </w:rPr>
        <w:t>Improved separate waste collection</w:t>
      </w:r>
      <w:r>
        <w:rPr>
          <w:b/>
          <w:bCs/>
          <w:noProof/>
        </w:rPr>
        <w:t xml:space="preserve"> to improve recycling</w:t>
      </w:r>
      <w:r w:rsidRPr="00E4136C">
        <w:rPr>
          <w:b/>
          <w:bCs/>
          <w:noProof/>
        </w:rPr>
        <w:t>:</w:t>
      </w:r>
      <w:r>
        <w:rPr>
          <w:noProof/>
        </w:rPr>
        <w:t xml:space="preserve"> Recycling (both of fossil and biogenic waste streams) is key to reduce emissions from waste management, with t</w:t>
      </w:r>
      <w:r w:rsidRPr="006A2F59">
        <w:rPr>
          <w:noProof/>
        </w:rPr>
        <w:t xml:space="preserve">he net climate change impacts of the waste management system the lowest </w:t>
      </w:r>
      <w:r>
        <w:rPr>
          <w:noProof/>
        </w:rPr>
        <w:t xml:space="preserve">in </w:t>
      </w:r>
      <w:r w:rsidRPr="006A2F59">
        <w:rPr>
          <w:noProof/>
        </w:rPr>
        <w:t>Member States recycling the most</w:t>
      </w:r>
      <w:r>
        <w:rPr>
          <w:rStyle w:val="FootnoteReference"/>
          <w:noProof/>
        </w:rPr>
        <w:footnoteReference w:id="81"/>
      </w:r>
      <w:r>
        <w:rPr>
          <w:noProof/>
        </w:rPr>
        <w:t>.</w:t>
      </w:r>
      <w:r w:rsidRPr="006A2F59">
        <w:rPr>
          <w:noProof/>
        </w:rPr>
        <w:t xml:space="preserve"> </w:t>
      </w:r>
      <w:r>
        <w:rPr>
          <w:noProof/>
        </w:rPr>
        <w:t xml:space="preserve">However, separate collection </w:t>
      </w:r>
      <w:r w:rsidRPr="00D74547">
        <w:rPr>
          <w:noProof/>
        </w:rPr>
        <w:t xml:space="preserve">of </w:t>
      </w:r>
      <w:r>
        <w:rPr>
          <w:noProof/>
        </w:rPr>
        <w:t>polymers and textiles (with significant impacts from incineration) that could otherwise be recycled remains overall low</w:t>
      </w:r>
      <w:r>
        <w:rPr>
          <w:rStyle w:val="FootnoteReference"/>
          <w:noProof/>
        </w:rPr>
        <w:footnoteReference w:id="82"/>
      </w:r>
      <w:r>
        <w:rPr>
          <w:noProof/>
        </w:rPr>
        <w:t>. Depending on national variations, approximately 70% of the waste gathered as mixed municipal waste could be collected separately and recycled in a Member State with an average EU recycling rate like Finland</w:t>
      </w:r>
      <w:r w:rsidRPr="00D74547">
        <w:rPr>
          <w:noProof/>
          <w:vertAlign w:val="superscript"/>
        </w:rPr>
        <w:footnoteReference w:id="83"/>
      </w:r>
      <w:r>
        <w:rPr>
          <w:noProof/>
        </w:rPr>
        <w:t>. The greatest share of fossil CO2 in this recyclable share comes from plastic waste, which is estimated to contain 69% of fossil carbon out of the weight of the dry material. The carbon cost passthrough from operators to waste disposal authorities is expected to incentivise action to reduce residual waste and increase recycling. Improving separate waste collection to reduce the volume of residual waste and increase the range of recyclables collected, especially those with a high fossil carbon content, can result in twofold savings by decreasing GHG emissions and by reducing disposal costs for local authorities, especially in the early years, by up to 37-56%</w:t>
      </w:r>
      <w:r>
        <w:rPr>
          <w:rStyle w:val="FootnoteReference"/>
          <w:noProof/>
        </w:rPr>
        <w:footnoteReference w:id="84"/>
      </w:r>
      <w:r>
        <w:rPr>
          <w:noProof/>
        </w:rPr>
        <w:t xml:space="preserve">. The potential depends on the current performance of local authorities, with lower performing systems having a higher reduction potential, while higher performing systems are expected to face a lower carbon cost due to the measures already in place. Early action is important, as improved separate waste collection can reduce the carbon cost in the shorter term and savings can be invested in future service improvements. </w:t>
      </w:r>
      <w:r w:rsidRPr="00FB39F8">
        <w:rPr>
          <w:noProof/>
        </w:rPr>
        <w:t>In addition, improved upstream infrastructure to process and recycle the existing and other fossil streams will be necessary to achieve the requirements</w:t>
      </w:r>
      <w:r>
        <w:rPr>
          <w:noProof/>
        </w:rPr>
        <w:t xml:space="preserve"> and could be supported through revenues from carbon pricing</w:t>
      </w:r>
      <w:r w:rsidRPr="00FB39F8">
        <w:rPr>
          <w:noProof/>
        </w:rPr>
        <w:t>.</w:t>
      </w:r>
    </w:p>
    <w:p w14:paraId="495F0436" w14:textId="77777777" w:rsidR="009010D9" w:rsidRDefault="009010D9">
      <w:pPr>
        <w:rPr>
          <w:noProof/>
        </w:rPr>
      </w:pPr>
      <w:r>
        <w:rPr>
          <w:b/>
          <w:bCs/>
          <w:noProof/>
        </w:rPr>
        <w:t xml:space="preserve">Improved biogenic waste collection and treatment: </w:t>
      </w:r>
      <w:r w:rsidRPr="00545431">
        <w:rPr>
          <w:noProof/>
        </w:rPr>
        <w:t>For landfills,</w:t>
      </w:r>
      <w:r>
        <w:rPr>
          <w:i/>
          <w:iCs/>
          <w:noProof/>
        </w:rPr>
        <w:t xml:space="preserve"> </w:t>
      </w:r>
      <w:r>
        <w:rPr>
          <w:noProof/>
        </w:rPr>
        <w:t>r</w:t>
      </w:r>
      <w:r w:rsidRPr="003D3BB3">
        <w:rPr>
          <w:noProof/>
        </w:rPr>
        <w:t>educing the amount of organic waste sent to landfills is one of the most effective ways to lower GHG emissions.</w:t>
      </w:r>
      <w:r>
        <w:rPr>
          <w:noProof/>
        </w:rPr>
        <w:t xml:space="preserve"> Separate collection of </w:t>
      </w:r>
      <w:r w:rsidRPr="00176C9A">
        <w:rPr>
          <w:noProof/>
        </w:rPr>
        <w:t>biowaste (with significant impacts from landfilling)</w:t>
      </w:r>
      <w:r>
        <w:rPr>
          <w:noProof/>
        </w:rPr>
        <w:t xml:space="preserve"> remains overall low.</w:t>
      </w:r>
      <w:r w:rsidRPr="00176C9A">
        <w:rPr>
          <w:noProof/>
        </w:rPr>
        <w:t xml:space="preserve"> </w:t>
      </w:r>
      <w:r>
        <w:rPr>
          <w:noProof/>
        </w:rPr>
        <w:t>Through separate collection</w:t>
      </w:r>
      <w:r w:rsidRPr="00881C75">
        <w:rPr>
          <w:noProof/>
        </w:rPr>
        <w:t xml:space="preserve"> </w:t>
      </w:r>
      <w:r>
        <w:rPr>
          <w:noProof/>
        </w:rPr>
        <w:t>of</w:t>
      </w:r>
      <w:r w:rsidRPr="003D3BB3">
        <w:rPr>
          <w:noProof/>
        </w:rPr>
        <w:t xml:space="preserve"> food, paper, and garden waste,</w:t>
      </w:r>
      <w:r>
        <w:rPr>
          <w:noProof/>
        </w:rPr>
        <w:t xml:space="preserve"> b</w:t>
      </w:r>
      <w:r w:rsidRPr="003D3BB3">
        <w:rPr>
          <w:noProof/>
        </w:rPr>
        <w:t xml:space="preserve">iodegradable waste can be diverted to alternative treatments such as composting, anaerobic digestion (AD), or biogas production. Implementing local or extended policies that ban biodegradable waste from landfills can further reinforce these efforts. </w:t>
      </w:r>
      <w:r>
        <w:rPr>
          <w:noProof/>
        </w:rPr>
        <w:t>In addition</w:t>
      </w:r>
      <w:r w:rsidRPr="003D3BB3">
        <w:rPr>
          <w:noProof/>
        </w:rPr>
        <w:t xml:space="preserve">, Mechanical-Biological Treatment (MBT) can pre-treat waste before it reaches landfills by extracting recyclables and reducing organic content, which will lead to a reduction in associated methane emissions. Combining these policies can be particularly effective at reducing the amount of GHG emissions produced by landfills. </w:t>
      </w:r>
      <w:r>
        <w:rPr>
          <w:noProof/>
        </w:rPr>
        <w:t>However, this only affects emissions from future landfill disposal but does not address emissions from historic disposal in landfills, for which measures at installation-level are needed (see Section 1.3.2.).</w:t>
      </w:r>
      <w:r w:rsidRPr="003D3BB3">
        <w:rPr>
          <w:noProof/>
        </w:rPr>
        <w:t xml:space="preserve"> </w:t>
      </w:r>
    </w:p>
    <w:p w14:paraId="5D315891" w14:textId="77777777" w:rsidR="009010D9" w:rsidRDefault="009010D9">
      <w:pPr>
        <w:rPr>
          <w:noProof/>
        </w:rPr>
      </w:pPr>
      <w:r w:rsidRPr="218432BA">
        <w:rPr>
          <w:b/>
          <w:bCs/>
          <w:noProof/>
        </w:rPr>
        <w:t xml:space="preserve">Pay-as-you-Throw schemes (PAYT): </w:t>
      </w:r>
      <w:r>
        <w:rPr>
          <w:noProof/>
        </w:rPr>
        <w:t>PAYT schemes involve households or commercial actors paying corresponding to the amount of residual waste they produce. This can be enacted through residual waste bags costing more than recycling or biowaste bags, or through the cost of residual waste disposal being variable by weight. PAYT measures incentivise better sorting of waste through making recycling the cheaper option and have been widely used across Europe at different scales. For example, Parma in Emilia Romagna, Italy (population of 200,000), has achieved a waste separation rate of over 80% and a 65% decrease in residual waste generation 3 years after PAYT implementation. PAYT was enacted by equipping residual waste bins with transponders associated to each user and charging them for extra deliveries beyond the minimum included in their waste bill (to avoid littering). As well as door-to-door collection, the city set up eco-stations in park-and ride-facilities, accessible 24/7 with a badge or health insurance card, with volumetric-controlled doors for residual waste to track residual waste outside of collections and prevent littering. Further selected case studies are listed in Appendix 2.</w:t>
      </w:r>
    </w:p>
    <w:p w14:paraId="491FA16B" w14:textId="77777777" w:rsidR="009010D9" w:rsidRPr="009325D0" w:rsidRDefault="009010D9">
      <w:pPr>
        <w:rPr>
          <w:noProof/>
        </w:rPr>
      </w:pPr>
      <w:r w:rsidRPr="0829F498">
        <w:rPr>
          <w:b/>
          <w:bCs/>
          <w:noProof/>
        </w:rPr>
        <w:t>Improved recycling efficiency:</w:t>
      </w:r>
      <w:r>
        <w:rPr>
          <w:noProof/>
        </w:rPr>
        <w:t xml:space="preserve"> the estimated recycling efficiency (i.e. the share of plastic waste being recycled out of the total input to a recycling plant) in mechanical recycling varies for each type of waste. The average recycling efficiency in conventional mechanical recycling plants ranges between 66% and 88%</w:t>
      </w:r>
      <w:r>
        <w:rPr>
          <w:rStyle w:val="FootnoteReference"/>
          <w:noProof/>
        </w:rPr>
        <w:footnoteReference w:id="85"/>
      </w:r>
      <w:r w:rsidRPr="0829F498">
        <w:rPr>
          <w:noProof/>
          <w:vertAlign w:val="superscript"/>
        </w:rPr>
        <w:t>,</w:t>
      </w:r>
      <w:r>
        <w:rPr>
          <w:rStyle w:val="FootnoteReference"/>
          <w:noProof/>
        </w:rPr>
        <w:footnoteReference w:id="86"/>
      </w:r>
      <w:r>
        <w:rPr>
          <w:noProof/>
        </w:rPr>
        <w:t>, and 71% to 93% in the 25% most advanced facilities, implying a 23% average reject rate in conventional and 15% average reject rate in modern facilities</w:t>
      </w:r>
      <w:r>
        <w:rPr>
          <w:rStyle w:val="FootnoteReference"/>
          <w:noProof/>
        </w:rPr>
        <w:footnoteReference w:id="87"/>
      </w:r>
      <w:r>
        <w:rPr>
          <w:noProof/>
        </w:rPr>
        <w:t>. Residues are generally sent to incineration and, to a lesser extent, landfills and other uses already covered by the EU ETS such as solid recovered fuel. To fulfil the ambitious recycling targets set at EU level, the improvement of the efficiency of the collection and recycling systems is imperative. This includes improvements in mechanical recycling and the further development and scaling of advanced and chemical recycling technologies. The carbon price on disposal of rejects can provide a complementary financial incentive and support from ETS revenues to optimise collection, sorting and recycling systems. The cost-passthrough is estimated to add around EUR 33 per tonne of plastic waste bale received and processed in recycling, or a 5-6% increase on the total cost for recyclers</w:t>
      </w:r>
      <w:r w:rsidRPr="00B83C87">
        <w:rPr>
          <w:noProof/>
        </w:rPr>
        <w:t>￼</w:t>
      </w:r>
      <w:r>
        <w:rPr>
          <w:noProof/>
        </w:rPr>
        <w:t>.</w:t>
      </w:r>
      <w:r w:rsidRPr="00DD4022">
        <w:rPr>
          <w:noProof/>
        </w:rPr>
        <w:t xml:space="preserve">The effectiveness of the carbon price </w:t>
      </w:r>
      <w:r>
        <w:rPr>
          <w:noProof/>
        </w:rPr>
        <w:t xml:space="preserve">cost passthrough </w:t>
      </w:r>
      <w:r w:rsidRPr="00DD4022">
        <w:rPr>
          <w:noProof/>
        </w:rPr>
        <w:t xml:space="preserve">in incentivising action to reduce residual waste and increase recycling depends </w:t>
      </w:r>
      <w:r>
        <w:rPr>
          <w:noProof/>
        </w:rPr>
        <w:t xml:space="preserve">not only on elasticities but also </w:t>
      </w:r>
      <w:r w:rsidRPr="00DD4022">
        <w:rPr>
          <w:noProof/>
        </w:rPr>
        <w:t xml:space="preserve">on the ability of operators to pass </w:t>
      </w:r>
      <w:r>
        <w:rPr>
          <w:noProof/>
        </w:rPr>
        <w:t>on</w:t>
      </w:r>
      <w:r w:rsidRPr="00DD4022">
        <w:rPr>
          <w:noProof/>
        </w:rPr>
        <w:t xml:space="preserve"> the carbon cost</w:t>
      </w:r>
      <w:r>
        <w:rPr>
          <w:noProof/>
        </w:rPr>
        <w:t xml:space="preserve"> </w:t>
      </w:r>
      <w:r w:rsidRPr="00DD4022">
        <w:rPr>
          <w:noProof/>
        </w:rPr>
        <w:t>in gate fees</w:t>
      </w:r>
      <w:r w:rsidRPr="00DD4022">
        <w:rPr>
          <w:rStyle w:val="FootnoteReference"/>
          <w:noProof/>
        </w:rPr>
        <w:footnoteReference w:id="88"/>
      </w:r>
      <w:r w:rsidRPr="00DD4022">
        <w:rPr>
          <w:noProof/>
        </w:rPr>
        <w:t xml:space="preserve"> </w:t>
      </w:r>
      <w:r>
        <w:rPr>
          <w:noProof/>
        </w:rPr>
        <w:t>through</w:t>
      </w:r>
      <w:r w:rsidRPr="00DD4022">
        <w:rPr>
          <w:noProof/>
        </w:rPr>
        <w:t xml:space="preserve"> contractual provisions. Contracts between waste incineration or landfill operators and public or private waste suppliers </w:t>
      </w:r>
      <w:r>
        <w:rPr>
          <w:noProof/>
        </w:rPr>
        <w:t>establish</w:t>
      </w:r>
      <w:r w:rsidRPr="00DD4022">
        <w:rPr>
          <w:noProof/>
        </w:rPr>
        <w:t xml:space="preserve"> how certain cost categories are transferred from the operator to the local authority or </w:t>
      </w:r>
      <w:r>
        <w:rPr>
          <w:noProof/>
        </w:rPr>
        <w:t>other specific</w:t>
      </w:r>
      <w:r w:rsidRPr="00DD4022">
        <w:rPr>
          <w:noProof/>
        </w:rPr>
        <w:t xml:space="preserve"> waste supplier</w:t>
      </w:r>
      <w:r>
        <w:rPr>
          <w:noProof/>
        </w:rPr>
        <w:t>s such as commercial or industrial actors</w:t>
      </w:r>
      <w:r w:rsidRPr="00DD4022">
        <w:rPr>
          <w:noProof/>
        </w:rPr>
        <w:t xml:space="preserve">. Contracts </w:t>
      </w:r>
      <w:r>
        <w:rPr>
          <w:noProof/>
        </w:rPr>
        <w:t xml:space="preserve">take varying formats (public service contracts with local authorities, or commercial contracts with other waste suppliers) and </w:t>
      </w:r>
      <w:r w:rsidRPr="00DD4022">
        <w:rPr>
          <w:noProof/>
        </w:rPr>
        <w:t>duration</w:t>
      </w:r>
      <w:r>
        <w:rPr>
          <w:noProof/>
        </w:rPr>
        <w:t>s</w:t>
      </w:r>
      <w:r w:rsidRPr="00DD4022">
        <w:rPr>
          <w:noProof/>
        </w:rPr>
        <w:t xml:space="preserve"> </w:t>
      </w:r>
      <w:r>
        <w:rPr>
          <w:noProof/>
        </w:rPr>
        <w:t>(e.g. generally ranging between</w:t>
      </w:r>
      <w:r w:rsidRPr="00DD4022">
        <w:rPr>
          <w:noProof/>
        </w:rPr>
        <w:t xml:space="preserve"> </w:t>
      </w:r>
      <w:r>
        <w:rPr>
          <w:noProof/>
        </w:rPr>
        <w:t>5</w:t>
      </w:r>
      <w:r w:rsidRPr="00DD4022">
        <w:rPr>
          <w:noProof/>
        </w:rPr>
        <w:t xml:space="preserve"> to 20 years</w:t>
      </w:r>
      <w:r>
        <w:rPr>
          <w:noProof/>
        </w:rPr>
        <w:t xml:space="preserve"> for public service contracts)</w:t>
      </w:r>
      <w:r w:rsidRPr="00DD4022">
        <w:rPr>
          <w:noProof/>
        </w:rPr>
        <w:t xml:space="preserve">. The carbon cost passthrough mechanism can be devised either as a lump sum in gate fees, fixing the carbon cost over a set period to allow for more predictable planning; through a modulated approach </w:t>
      </w:r>
      <w:r>
        <w:rPr>
          <w:noProof/>
        </w:rPr>
        <w:t>differentiating</w:t>
      </w:r>
      <w:r w:rsidRPr="00DD4022">
        <w:rPr>
          <w:noProof/>
        </w:rPr>
        <w:t xml:space="preserve"> the gate fee depending on the emissions intensity of waste that is being disposed</w:t>
      </w:r>
      <w:r>
        <w:rPr>
          <w:noProof/>
        </w:rPr>
        <w:t xml:space="preserve"> </w:t>
      </w:r>
      <w:r w:rsidRPr="00DD4022">
        <w:rPr>
          <w:noProof/>
        </w:rPr>
        <w:t xml:space="preserve">to encourage upstream actors to reduce the amount of </w:t>
      </w:r>
      <w:r>
        <w:rPr>
          <w:noProof/>
        </w:rPr>
        <w:t>specific</w:t>
      </w:r>
      <w:r w:rsidRPr="00DD4022">
        <w:rPr>
          <w:noProof/>
        </w:rPr>
        <w:t xml:space="preserve"> waste streams sent to incineration or disposal; or based on performance-based contracts, rewarding improvements in efficiency and investment in lower-emission technologies. To facilitate the implementation of cost passthrough mechanisms in </w:t>
      </w:r>
      <w:r>
        <w:rPr>
          <w:noProof/>
        </w:rPr>
        <w:t>public service</w:t>
      </w:r>
      <w:r w:rsidRPr="00DD4022">
        <w:rPr>
          <w:noProof/>
        </w:rPr>
        <w:t xml:space="preserve"> contracts, a transitional period could help</w:t>
      </w:r>
      <w:r>
        <w:rPr>
          <w:noProof/>
        </w:rPr>
        <w:t xml:space="preserve"> to anticipate and prepare for the needed changes</w:t>
      </w:r>
      <w:r w:rsidRPr="00DD4022">
        <w:rPr>
          <w:noProof/>
        </w:rPr>
        <w:t>.</w:t>
      </w:r>
      <w:r w:rsidRPr="7DEBE5AD">
        <w:rPr>
          <w:noProof/>
        </w:rPr>
        <w:t xml:space="preserve"> </w:t>
      </w:r>
    </w:p>
    <w:p w14:paraId="5D80718B" w14:textId="77777777" w:rsidR="009010D9" w:rsidRPr="007E5C48" w:rsidRDefault="009010D9" w:rsidP="002F3B20">
      <w:pPr>
        <w:pStyle w:val="Heading3COM"/>
        <w:outlineLvl w:val="3"/>
        <w:rPr>
          <w:noProof/>
        </w:rPr>
      </w:pPr>
      <w:bookmarkStart w:id="677" w:name="_Toc230861523"/>
      <w:bookmarkStart w:id="678" w:name="_Toc232751145"/>
      <w:r w:rsidRPr="007E5C48">
        <w:rPr>
          <w:noProof/>
        </w:rPr>
        <w:t xml:space="preserve">Emission abatement at </w:t>
      </w:r>
      <w:r>
        <w:rPr>
          <w:noProof/>
        </w:rPr>
        <w:t>installation</w:t>
      </w:r>
      <w:r w:rsidRPr="007E5C48">
        <w:rPr>
          <w:noProof/>
        </w:rPr>
        <w:t xml:space="preserve"> level</w:t>
      </w:r>
      <w:bookmarkEnd w:id="677"/>
      <w:bookmarkEnd w:id="678"/>
      <w:r w:rsidRPr="007E5C48">
        <w:rPr>
          <w:noProof/>
        </w:rPr>
        <w:t xml:space="preserve"> </w:t>
      </w:r>
      <w:bookmarkEnd w:id="671"/>
      <w:bookmarkEnd w:id="672"/>
      <w:bookmarkEnd w:id="673"/>
    </w:p>
    <w:p w14:paraId="2390BC03" w14:textId="77777777" w:rsidR="009010D9" w:rsidRDefault="009010D9">
      <w:pPr>
        <w:rPr>
          <w:noProof/>
        </w:rPr>
      </w:pPr>
      <w:r w:rsidRPr="00D0232C">
        <w:rPr>
          <w:noProof/>
        </w:rPr>
        <w:t xml:space="preserve">Carbon pricing </w:t>
      </w:r>
      <w:r>
        <w:rPr>
          <w:noProof/>
        </w:rPr>
        <w:t xml:space="preserve">also </w:t>
      </w:r>
      <w:r w:rsidRPr="00D0232C">
        <w:rPr>
          <w:noProof/>
        </w:rPr>
        <w:t xml:space="preserve">creates economic incentives to </w:t>
      </w:r>
      <w:r>
        <w:rPr>
          <w:noProof/>
        </w:rPr>
        <w:t>mitigate</w:t>
      </w:r>
      <w:r w:rsidRPr="00D0232C">
        <w:rPr>
          <w:noProof/>
        </w:rPr>
        <w:t xml:space="preserve"> emissions</w:t>
      </w:r>
      <w:r>
        <w:rPr>
          <w:noProof/>
        </w:rPr>
        <w:t xml:space="preserve"> at the stage of waste disposal, with several pathways for cost and emissions abatement available to </w:t>
      </w:r>
      <w:r w:rsidRPr="00AE2A22">
        <w:rPr>
          <w:noProof/>
        </w:rPr>
        <w:t xml:space="preserve">waste </w:t>
      </w:r>
      <w:r>
        <w:rPr>
          <w:noProof/>
        </w:rPr>
        <w:t xml:space="preserve">disposal operators: </w:t>
      </w:r>
    </w:p>
    <w:p w14:paraId="028982C1" w14:textId="77777777" w:rsidR="009010D9" w:rsidRPr="00C4437D" w:rsidRDefault="009010D9">
      <w:pPr>
        <w:pStyle w:val="Body"/>
        <w:rPr>
          <w:rFonts w:ascii="Times New Roman" w:hAnsi="Times New Roman"/>
          <w:i/>
          <w:iCs/>
          <w:noProof/>
        </w:rPr>
      </w:pPr>
      <w:r w:rsidRPr="00C4437D">
        <w:rPr>
          <w:rFonts w:ascii="Times New Roman" w:hAnsi="Times New Roman"/>
          <w:i/>
          <w:iCs/>
          <w:noProof/>
        </w:rPr>
        <w:t xml:space="preserve">Waste incineration </w:t>
      </w:r>
    </w:p>
    <w:p w14:paraId="7069DA69" w14:textId="77777777" w:rsidR="009010D9" w:rsidRPr="003D3BB3" w:rsidRDefault="009010D9" w:rsidP="00B042A2">
      <w:pPr>
        <w:rPr>
          <w:noProof/>
        </w:rPr>
      </w:pPr>
      <w:r w:rsidRPr="00EC68C7">
        <w:rPr>
          <w:b/>
          <w:bCs/>
          <w:noProof/>
        </w:rPr>
        <w:t>Mixed waste sorting (MWS) to reduce emissions before incineration</w:t>
      </w:r>
      <w:r>
        <w:rPr>
          <w:b/>
          <w:bCs/>
          <w:noProof/>
        </w:rPr>
        <w:t xml:space="preserve">: </w:t>
      </w:r>
      <w:r>
        <w:rPr>
          <w:noProof/>
        </w:rPr>
        <w:t>S</w:t>
      </w:r>
      <w:r w:rsidRPr="003D3BB3">
        <w:rPr>
          <w:noProof/>
        </w:rPr>
        <w:t xml:space="preserve">orting </w:t>
      </w:r>
      <w:r>
        <w:rPr>
          <w:noProof/>
        </w:rPr>
        <w:t>allows to</w:t>
      </w:r>
      <w:r w:rsidRPr="003D3BB3">
        <w:rPr>
          <w:noProof/>
        </w:rPr>
        <w:t xml:space="preserve"> </w:t>
      </w:r>
      <w:r>
        <w:rPr>
          <w:noProof/>
        </w:rPr>
        <w:t>reduce CO2 emissions</w:t>
      </w:r>
      <w:r w:rsidRPr="003D3BB3">
        <w:rPr>
          <w:noProof/>
        </w:rPr>
        <w:t xml:space="preserve"> and improve overall energy efficiency </w:t>
      </w:r>
      <w:r>
        <w:rPr>
          <w:noProof/>
        </w:rPr>
        <w:t>of waste incineration by extracting</w:t>
      </w:r>
      <w:r w:rsidRPr="00AE5F28">
        <w:rPr>
          <w:noProof/>
        </w:rPr>
        <w:t xml:space="preserve"> high-carbon-content and </w:t>
      </w:r>
      <w:r w:rsidRPr="00080821">
        <w:rPr>
          <w:noProof/>
        </w:rPr>
        <w:t>recyclable materials, preventing their incineration</w:t>
      </w:r>
      <w:r w:rsidRPr="003D3BB3">
        <w:rPr>
          <w:rStyle w:val="FootnoteReference"/>
          <w:noProof/>
          <w:sz w:val="22"/>
          <w:szCs w:val="22"/>
        </w:rPr>
        <w:footnoteReference w:id="89"/>
      </w:r>
      <w:r w:rsidRPr="003D3BB3">
        <w:rPr>
          <w:noProof/>
        </w:rPr>
        <w:t xml:space="preserve">. </w:t>
      </w:r>
      <w:r>
        <w:rPr>
          <w:noProof/>
        </w:rPr>
        <w:t xml:space="preserve">It can be implemented either downstream or at installation-level. </w:t>
      </w:r>
      <w:r w:rsidRPr="003D3BB3">
        <w:rPr>
          <w:noProof/>
        </w:rPr>
        <w:t>A report by Eunomia Research and Consulting (ERC) estimate</w:t>
      </w:r>
      <w:r>
        <w:rPr>
          <w:noProof/>
        </w:rPr>
        <w:t>d</w:t>
      </w:r>
      <w:r w:rsidRPr="003D3BB3">
        <w:rPr>
          <w:noProof/>
        </w:rPr>
        <w:t xml:space="preserve"> that MWS could save between 10.2 and 23.3 MtCO</w:t>
      </w:r>
      <w:r w:rsidRPr="003D3BB3">
        <w:rPr>
          <w:noProof/>
          <w:vertAlign w:val="subscript"/>
        </w:rPr>
        <w:t>2</w:t>
      </w:r>
      <w:r w:rsidRPr="003D3BB3">
        <w:rPr>
          <w:noProof/>
        </w:rPr>
        <w:t xml:space="preserve">e </w:t>
      </w:r>
      <w:r>
        <w:rPr>
          <w:noProof/>
        </w:rPr>
        <w:t xml:space="preserve">annually </w:t>
      </w:r>
      <w:r w:rsidRPr="003D3BB3">
        <w:rPr>
          <w:noProof/>
        </w:rPr>
        <w:t>across the waste</w:t>
      </w:r>
      <w:r>
        <w:rPr>
          <w:noProof/>
        </w:rPr>
        <w:t xml:space="preserve"> management</w:t>
      </w:r>
      <w:r w:rsidRPr="003D3BB3">
        <w:rPr>
          <w:noProof/>
        </w:rPr>
        <w:t xml:space="preserve"> sector in the EU</w:t>
      </w:r>
      <w:r w:rsidRPr="003D3BB3">
        <w:rPr>
          <w:rStyle w:val="FootnoteReference"/>
          <w:noProof/>
          <w:sz w:val="22"/>
          <w:szCs w:val="22"/>
        </w:rPr>
        <w:footnoteReference w:id="90"/>
      </w:r>
      <w:r>
        <w:rPr>
          <w:noProof/>
        </w:rPr>
        <w:t>, which would represent savings of 5-10% of total EU waste management emissions (including waste-to-energy, landfilling and other activities), while another recent study found a 20% emissions reduction potential specifically for waste incineration in Sweden from the implementation of MWS</w:t>
      </w:r>
      <w:r>
        <w:rPr>
          <w:rStyle w:val="FootnoteReference"/>
          <w:noProof/>
        </w:rPr>
        <w:footnoteReference w:id="91"/>
      </w:r>
      <w:r>
        <w:rPr>
          <w:noProof/>
        </w:rPr>
        <w:t>. Selected case studies are presented in Appendix 2. In terms of cost-effectiveness, cost of mixed waste sorting for MWI emissions reductions has been estimated at around 24 EUR/tonne of waste treated in the UK</w:t>
      </w:r>
      <w:r>
        <w:rPr>
          <w:rStyle w:val="FootnoteReference"/>
          <w:noProof/>
        </w:rPr>
        <w:footnoteReference w:id="92"/>
      </w:r>
      <w:r>
        <w:rPr>
          <w:noProof/>
        </w:rPr>
        <w:t xml:space="preserve">, with cost-effectiveness increasing as the carbon content of waste increases, while costs </w:t>
      </w:r>
      <w:r w:rsidRPr="003D3BB3">
        <w:rPr>
          <w:noProof/>
        </w:rPr>
        <w:t xml:space="preserve">associated with </w:t>
      </w:r>
      <w:r>
        <w:rPr>
          <w:noProof/>
        </w:rPr>
        <w:t xml:space="preserve">implementing </w:t>
      </w:r>
      <w:r w:rsidRPr="003D3BB3">
        <w:rPr>
          <w:noProof/>
        </w:rPr>
        <w:t>Material Recovery and Biological Treatment (MRBT) systems, which combines mechanical sorting and biological processes to manage leftover mixed waste</w:t>
      </w:r>
      <w:r>
        <w:rPr>
          <w:noProof/>
        </w:rPr>
        <w:t>, have been estimated to range from 2 to 13 EUR/tonne of waste treated</w:t>
      </w:r>
      <w:r w:rsidRPr="003D3BB3">
        <w:rPr>
          <w:rStyle w:val="FootnoteReference"/>
          <w:noProof/>
          <w:sz w:val="22"/>
          <w:szCs w:val="22"/>
        </w:rPr>
        <w:footnoteReference w:id="93"/>
      </w:r>
      <w:r>
        <w:rPr>
          <w:noProof/>
        </w:rPr>
        <w:t xml:space="preserve"> in high-capacity (200kt) facilities, depending on regional factors such as labour and energy costs. In addition, MWS applied at installation level can also generate economic benefits for operators as the gate fee is received for the initial volume of residual waste, while recyclable fractions subsequently sorted out can be sold to the recycling industry. While these studies have different geographical and sectoral scopes, the results and the case studies in Appendix 2 indicate MWS is a cost-effective abatement option for municipal waste incineration</w:t>
      </w:r>
      <w:r w:rsidRPr="003D3BB3">
        <w:rPr>
          <w:noProof/>
        </w:rPr>
        <w:t>.</w:t>
      </w:r>
      <w:r>
        <w:rPr>
          <w:noProof/>
        </w:rPr>
        <w:t xml:space="preserve"> </w:t>
      </w:r>
    </w:p>
    <w:p w14:paraId="27ECE61C" w14:textId="77777777" w:rsidR="009010D9" w:rsidRDefault="009010D9">
      <w:pPr>
        <w:rPr>
          <w:noProof/>
        </w:rPr>
      </w:pPr>
      <w:r w:rsidRPr="003D529B">
        <w:rPr>
          <w:b/>
          <w:bCs/>
          <w:noProof/>
        </w:rPr>
        <w:t>Fuel switch and alternative feedstocks during incineration:</w:t>
      </w:r>
      <w:r>
        <w:rPr>
          <w:noProof/>
        </w:rPr>
        <w:t xml:space="preserve"> Compared to other sectors, a fuel switch is not a general decarbonisation pathway for the municipal waste incineration sector. A secondary</w:t>
      </w:r>
      <w:r w:rsidRPr="003D3BB3">
        <w:rPr>
          <w:noProof/>
        </w:rPr>
        <w:t xml:space="preserve"> </w:t>
      </w:r>
      <w:r>
        <w:rPr>
          <w:noProof/>
        </w:rPr>
        <w:t>path</w:t>
      </w:r>
      <w:r w:rsidRPr="003D3BB3">
        <w:rPr>
          <w:noProof/>
        </w:rPr>
        <w:t>way to reduce incineration emissions involves replacing auxiliary fossil fuel by biofuels or other renewable alternatives</w:t>
      </w:r>
      <w:r>
        <w:rPr>
          <w:rStyle w:val="FootnoteReference"/>
          <w:noProof/>
        </w:rPr>
        <w:footnoteReference w:id="94"/>
      </w:r>
      <w:r w:rsidRPr="003D3BB3">
        <w:rPr>
          <w:noProof/>
        </w:rPr>
        <w:t>. However, these emissions generally represent</w:t>
      </w:r>
      <w:r>
        <w:rPr>
          <w:noProof/>
        </w:rPr>
        <w:t xml:space="preserve"> only</w:t>
      </w:r>
      <w:r w:rsidRPr="003D3BB3">
        <w:rPr>
          <w:noProof/>
        </w:rPr>
        <w:t xml:space="preserve"> a low ratio of total emissions from a waste incinerator. </w:t>
      </w:r>
      <w:r>
        <w:rPr>
          <w:noProof/>
        </w:rPr>
        <w:t>Fuel switching i</w:t>
      </w:r>
      <w:r w:rsidRPr="003D3BB3">
        <w:rPr>
          <w:noProof/>
        </w:rPr>
        <w:t xml:space="preserve">n hazardous waste incinerators could be more relevant, as auxiliary burners need to be lighted with a higher frequency to maintain the 1,100C temperature requirement in the secondary chamber. </w:t>
      </w:r>
      <w:r>
        <w:rPr>
          <w:noProof/>
        </w:rPr>
        <w:t>No detailed</w:t>
      </w:r>
      <w:r w:rsidRPr="003D3BB3">
        <w:rPr>
          <w:noProof/>
        </w:rPr>
        <w:t xml:space="preserve"> information </w:t>
      </w:r>
      <w:r>
        <w:rPr>
          <w:noProof/>
        </w:rPr>
        <w:t xml:space="preserve">was </w:t>
      </w:r>
      <w:r w:rsidRPr="003D3BB3">
        <w:rPr>
          <w:noProof/>
        </w:rPr>
        <w:t xml:space="preserve">available on the costs associated with fuel switching and alternative feedstocks. </w:t>
      </w:r>
    </w:p>
    <w:p w14:paraId="4644833C" w14:textId="77777777" w:rsidR="009010D9" w:rsidRDefault="009010D9">
      <w:pPr>
        <w:rPr>
          <w:noProof/>
        </w:rPr>
      </w:pPr>
      <w:r w:rsidRPr="09E5CE5E">
        <w:rPr>
          <w:b/>
          <w:bCs/>
          <w:noProof/>
        </w:rPr>
        <w:t>Process optimisation</w:t>
      </w:r>
      <w:r>
        <w:rPr>
          <w:b/>
          <w:bCs/>
          <w:noProof/>
        </w:rPr>
        <w:t xml:space="preserve"> during incineration</w:t>
      </w:r>
      <w:r w:rsidRPr="09E5CE5E">
        <w:rPr>
          <w:b/>
          <w:bCs/>
          <w:noProof/>
        </w:rPr>
        <w:t>:</w:t>
      </w:r>
      <w:r>
        <w:rPr>
          <w:noProof/>
        </w:rPr>
        <w:t xml:space="preserve"> Process optimisation enables plants to deliver a higher amount of energy, as power, heat or both, when burning the same amount of municipal solid waste. Examples include improved combustion efficiency by optimising oxygen supply and temperature, advanced monitoring and control systems to optimise combustion efficiency and minimise excess air, and upgrading boilers, heat recovery systems and turbines to maximise energy output per unit of waste. These result in a lower carbon intensity per kWh of energy produced or delivered, reducing the carbon cost.  </w:t>
      </w:r>
    </w:p>
    <w:p w14:paraId="4D6B5E14" w14:textId="77777777" w:rsidR="009010D9" w:rsidRDefault="009010D9">
      <w:pPr>
        <w:spacing w:after="60"/>
        <w:rPr>
          <w:rFonts w:eastAsia="Arial" w:cs="Arial"/>
          <w:noProof/>
        </w:rPr>
      </w:pPr>
      <w:r w:rsidRPr="008272C6">
        <w:rPr>
          <w:b/>
          <w:bCs/>
          <w:noProof/>
        </w:rPr>
        <w:t xml:space="preserve">Carbon capture, utilisation and storage (CCU/S) to sequester emissions after incineration: </w:t>
      </w:r>
      <w:bookmarkStart w:id="679" w:name="_Toc195539226"/>
      <w:bookmarkEnd w:id="679"/>
      <w:r w:rsidRPr="001C24DF">
        <w:rPr>
          <w:noProof/>
        </w:rPr>
        <w:t xml:space="preserve">Carbon capture provides a twofold contribution to GHG reductions </w:t>
      </w:r>
      <w:r>
        <w:rPr>
          <w:noProof/>
        </w:rPr>
        <w:t xml:space="preserve">in the incineration sector </w:t>
      </w:r>
      <w:r w:rsidRPr="001C24DF">
        <w:rPr>
          <w:noProof/>
        </w:rPr>
        <w:t xml:space="preserve">by preventing the release of carbon of fossil origin and </w:t>
      </w:r>
      <w:r>
        <w:rPr>
          <w:noProof/>
        </w:rPr>
        <w:t xml:space="preserve">by </w:t>
      </w:r>
      <w:r w:rsidRPr="001C24DF">
        <w:rPr>
          <w:noProof/>
        </w:rPr>
        <w:t xml:space="preserve">removing carbon of biogenic origin, generating negative emissions. </w:t>
      </w:r>
      <w:r w:rsidRPr="00A4121A">
        <w:rPr>
          <w:noProof/>
        </w:rPr>
        <w:t xml:space="preserve">CCU/S </w:t>
      </w:r>
      <w:r>
        <w:rPr>
          <w:noProof/>
        </w:rPr>
        <w:t>can capture up to 90% of residual CO2 before emission at stack</w:t>
      </w:r>
      <w:r>
        <w:rPr>
          <w:rStyle w:val="FootnoteReference"/>
          <w:noProof/>
        </w:rPr>
        <w:footnoteReference w:id="95"/>
      </w:r>
      <w:r>
        <w:rPr>
          <w:noProof/>
        </w:rPr>
        <w:t xml:space="preserve">, and either permanently fixate or store it (CCS) or use it in downstream industrial applications (CCU). Experience from Member States who have already applied a carbon price on waste incineration indicates growing interest in carbon capture at incineration facilities (see Appendix 2 for selected case studies). </w:t>
      </w:r>
      <w:r w:rsidRPr="0BA99412">
        <w:rPr>
          <w:rFonts w:eastAsia="Arial" w:cs="Arial"/>
          <w:noProof/>
        </w:rPr>
        <w:t>The business case for cost-effective carbon capture implementation in MWI is driven by the investment and operational cost of carbon capture technologies, the carbon price, and additional factors:</w:t>
      </w:r>
    </w:p>
    <w:p w14:paraId="2B04F178" w14:textId="77777777" w:rsidR="009010D9" w:rsidRPr="00087A48" w:rsidRDefault="009010D9" w:rsidP="0018561F">
      <w:pPr>
        <w:pStyle w:val="ListParagraph"/>
        <w:numPr>
          <w:ilvl w:val="0"/>
          <w:numId w:val="57"/>
        </w:numPr>
        <w:spacing w:line="259" w:lineRule="auto"/>
        <w:contextualSpacing/>
        <w:rPr>
          <w:rFonts w:eastAsia="Arial"/>
          <w:noProof/>
        </w:rPr>
      </w:pPr>
      <w:r w:rsidRPr="00C92FA9">
        <w:rPr>
          <w:rFonts w:eastAsia="Arial"/>
          <w:noProof/>
        </w:rPr>
        <w:t xml:space="preserve">the cost of </w:t>
      </w:r>
      <w:r w:rsidRPr="0085116B">
        <w:rPr>
          <w:rFonts w:eastAsia="Arial"/>
          <w:b/>
          <w:bCs/>
          <w:noProof/>
        </w:rPr>
        <w:t>carbon capture</w:t>
      </w:r>
      <w:r w:rsidRPr="0081111C">
        <w:rPr>
          <w:rFonts w:eastAsia="Arial"/>
          <w:noProof/>
        </w:rPr>
        <w:t xml:space="preserve"> in waste-to-energy installations has </w:t>
      </w:r>
      <w:r w:rsidRPr="0829F498">
        <w:rPr>
          <w:rFonts w:eastAsia="Arial"/>
          <w:noProof/>
        </w:rPr>
        <w:t xml:space="preserve">variously </w:t>
      </w:r>
      <w:r w:rsidRPr="00087A48">
        <w:rPr>
          <w:rFonts w:eastAsia="Arial"/>
          <w:noProof/>
        </w:rPr>
        <w:t xml:space="preserve">been estimated to range from </w:t>
      </w:r>
      <w:r w:rsidRPr="004909BA">
        <w:rPr>
          <w:rFonts w:eastAsia="Arial"/>
          <w:noProof/>
        </w:rPr>
        <w:t>EUR</w:t>
      </w:r>
      <w:r w:rsidRPr="00087A48">
        <w:rPr>
          <w:rFonts w:eastAsia="Arial"/>
          <w:noProof/>
        </w:rPr>
        <w:t xml:space="preserve"> </w:t>
      </w:r>
      <w:r w:rsidRPr="0829F498">
        <w:rPr>
          <w:rFonts w:eastAsia="Arial"/>
          <w:noProof/>
        </w:rPr>
        <w:t>40-75</w:t>
      </w:r>
      <w:r w:rsidRPr="004909BA">
        <w:rPr>
          <w:rFonts w:eastAsia="Arial"/>
          <w:noProof/>
        </w:rPr>
        <w:t>/tonne of CO2</w:t>
      </w:r>
      <w:r w:rsidRPr="004909BA">
        <w:rPr>
          <w:rFonts w:eastAsia="Arial"/>
          <w:noProof/>
          <w:vertAlign w:val="superscript"/>
        </w:rPr>
        <w:footnoteReference w:id="96"/>
      </w:r>
      <w:r w:rsidRPr="004909BA">
        <w:rPr>
          <w:rFonts w:eastAsia="Arial"/>
          <w:noProof/>
        </w:rPr>
        <w:t xml:space="preserve"> </w:t>
      </w:r>
      <w:r w:rsidRPr="0829F498">
        <w:rPr>
          <w:rFonts w:eastAsia="Arial"/>
          <w:noProof/>
        </w:rPr>
        <w:t xml:space="preserve">(CAPEX) </w:t>
      </w:r>
      <w:r w:rsidRPr="00087A48">
        <w:rPr>
          <w:rFonts w:eastAsia="Arial"/>
          <w:noProof/>
        </w:rPr>
        <w:t xml:space="preserve">to </w:t>
      </w:r>
      <w:r w:rsidRPr="004909BA">
        <w:rPr>
          <w:rFonts w:eastAsia="Arial"/>
          <w:noProof/>
        </w:rPr>
        <w:t>EUR 76-127/tonne of CO2</w:t>
      </w:r>
      <w:r w:rsidRPr="004909BA">
        <w:rPr>
          <w:rFonts w:eastAsia="Arial"/>
          <w:noProof/>
          <w:vertAlign w:val="superscript"/>
        </w:rPr>
        <w:footnoteReference w:id="97"/>
      </w:r>
      <w:r w:rsidRPr="0829F498">
        <w:rPr>
          <w:rFonts w:eastAsia="Arial"/>
          <w:noProof/>
        </w:rPr>
        <w:t xml:space="preserve"> (total CAPEX and OPEX)</w:t>
      </w:r>
      <w:r>
        <w:rPr>
          <w:noProof/>
        </w:rPr>
        <w:t xml:space="preserve">, which is </w:t>
      </w:r>
      <w:r w:rsidRPr="00384427">
        <w:rPr>
          <w:noProof/>
        </w:rPr>
        <w:t xml:space="preserve">lower than for </w:t>
      </w:r>
      <w:r>
        <w:rPr>
          <w:noProof/>
        </w:rPr>
        <w:t xml:space="preserve">most </w:t>
      </w:r>
      <w:r w:rsidRPr="00384427">
        <w:rPr>
          <w:noProof/>
        </w:rPr>
        <w:t xml:space="preserve">other </w:t>
      </w:r>
      <w:r>
        <w:rPr>
          <w:noProof/>
        </w:rPr>
        <w:t xml:space="preserve">hard-to-abate </w:t>
      </w:r>
      <w:r w:rsidRPr="00384427">
        <w:rPr>
          <w:noProof/>
        </w:rPr>
        <w:t>industrial sectors</w:t>
      </w:r>
      <w:r>
        <w:rPr>
          <w:rStyle w:val="FootnoteReference"/>
          <w:noProof/>
        </w:rPr>
        <w:footnoteReference w:id="98"/>
      </w:r>
      <w:r>
        <w:rPr>
          <w:noProof/>
        </w:rPr>
        <w:t>, to EUR172/tonne of CO2</w:t>
      </w:r>
      <w:r>
        <w:rPr>
          <w:rStyle w:val="FootnoteReference"/>
          <w:noProof/>
        </w:rPr>
        <w:footnoteReference w:id="99"/>
      </w:r>
      <w:r>
        <w:rPr>
          <w:noProof/>
        </w:rPr>
        <w:t xml:space="preserve"> (total CAPEX and OPEX), which is comparable to other industrial sectors. These </w:t>
      </w:r>
      <w:r w:rsidRPr="00087A48">
        <w:rPr>
          <w:noProof/>
        </w:rPr>
        <w:t xml:space="preserve">costs </w:t>
      </w:r>
      <w:r w:rsidRPr="004909BA">
        <w:rPr>
          <w:rFonts w:eastAsia="Arial"/>
          <w:noProof/>
        </w:rPr>
        <w:t xml:space="preserve">expected to come </w:t>
      </w:r>
      <w:r>
        <w:rPr>
          <w:rFonts w:eastAsia="Arial"/>
          <w:noProof/>
        </w:rPr>
        <w:t xml:space="preserve">further </w:t>
      </w:r>
      <w:r w:rsidRPr="004909BA">
        <w:rPr>
          <w:rFonts w:eastAsia="Arial"/>
          <w:noProof/>
        </w:rPr>
        <w:t>down as technologies mature and become more widely adopted</w:t>
      </w:r>
      <w:r w:rsidRPr="0829F498">
        <w:rPr>
          <w:rFonts w:eastAsia="Arial"/>
          <w:noProof/>
          <w:sz w:val="22"/>
          <w:vertAlign w:val="superscript"/>
        </w:rPr>
        <w:footnoteReference w:id="100"/>
      </w:r>
      <w:r w:rsidRPr="00087A48">
        <w:rPr>
          <w:rFonts w:eastAsia="Arial"/>
          <w:noProof/>
          <w:vertAlign w:val="superscript"/>
        </w:rPr>
        <w:t>,</w:t>
      </w:r>
      <w:r w:rsidRPr="004909BA">
        <w:rPr>
          <w:rFonts w:eastAsia="Arial"/>
          <w:noProof/>
          <w:vertAlign w:val="superscript"/>
        </w:rPr>
        <w:footnoteReference w:id="101"/>
      </w:r>
      <w:r>
        <w:rPr>
          <w:rFonts w:eastAsia="Arial"/>
          <w:noProof/>
          <w:vertAlign w:val="superscript"/>
        </w:rPr>
        <w:t>,</w:t>
      </w:r>
      <w:r>
        <w:rPr>
          <w:rStyle w:val="FootnoteReference"/>
          <w:rFonts w:eastAsia="Arial"/>
          <w:noProof/>
        </w:rPr>
        <w:footnoteReference w:id="102"/>
      </w:r>
      <w:r>
        <w:rPr>
          <w:rFonts w:eastAsia="Arial"/>
          <w:noProof/>
          <w:vertAlign w:val="superscript"/>
        </w:rPr>
        <w:t xml:space="preserve"> </w:t>
      </w:r>
      <w:r w:rsidRPr="0829F498">
        <w:rPr>
          <w:rFonts w:eastAsia="Arial"/>
          <w:noProof/>
        </w:rPr>
        <w:t>and exclude the potential to generate biogenic carbon removals and negative emissions, which is significant in the sector compared to other industrial sectors</w:t>
      </w:r>
      <w:r w:rsidRPr="004909BA">
        <w:rPr>
          <w:rFonts w:eastAsia="Arial"/>
          <w:noProof/>
        </w:rPr>
        <w:t>.</w:t>
      </w:r>
      <w:r>
        <w:rPr>
          <w:rFonts w:eastAsia="Arial"/>
          <w:noProof/>
        </w:rPr>
        <w:t xml:space="preserve"> Taken into account</w:t>
      </w:r>
      <w:r w:rsidRPr="0829F498">
        <w:rPr>
          <w:rFonts w:eastAsia="Arial"/>
          <w:noProof/>
        </w:rPr>
        <w:t xml:space="preserve"> the potential to </w:t>
      </w:r>
      <w:r>
        <w:rPr>
          <w:rFonts w:eastAsia="Arial"/>
          <w:noProof/>
        </w:rPr>
        <w:t xml:space="preserve">also </w:t>
      </w:r>
      <w:r w:rsidRPr="0829F498">
        <w:rPr>
          <w:rFonts w:eastAsia="Arial"/>
          <w:noProof/>
        </w:rPr>
        <w:t xml:space="preserve">generate and integrate carbon removals, a positive business case for </w:t>
      </w:r>
      <w:r w:rsidRPr="00087A48">
        <w:rPr>
          <w:rFonts w:eastAsia="Arial"/>
          <w:noProof/>
        </w:rPr>
        <w:t xml:space="preserve">carbon capture is expected </w:t>
      </w:r>
      <w:r>
        <w:rPr>
          <w:rFonts w:eastAsia="Arial"/>
          <w:noProof/>
        </w:rPr>
        <w:t>by the mid-2030s</w:t>
      </w:r>
      <w:r w:rsidRPr="00087A48">
        <w:rPr>
          <w:rFonts w:eastAsia="Arial"/>
          <w:noProof/>
        </w:rPr>
        <w:t>.</w:t>
      </w:r>
    </w:p>
    <w:p w14:paraId="77B05804" w14:textId="77777777" w:rsidR="009010D9" w:rsidRPr="0081111C" w:rsidRDefault="009010D9" w:rsidP="0018561F">
      <w:pPr>
        <w:pStyle w:val="ListParagraph"/>
        <w:numPr>
          <w:ilvl w:val="0"/>
          <w:numId w:val="57"/>
        </w:numPr>
        <w:spacing w:line="259" w:lineRule="auto"/>
        <w:contextualSpacing/>
        <w:rPr>
          <w:rFonts w:eastAsia="Arial"/>
          <w:noProof/>
        </w:rPr>
      </w:pPr>
      <w:r w:rsidRPr="0081111C">
        <w:rPr>
          <w:rFonts w:eastAsia="Arial"/>
          <w:noProof/>
        </w:rPr>
        <w:t xml:space="preserve">the </w:t>
      </w:r>
      <w:r w:rsidRPr="00087A48">
        <w:rPr>
          <w:rFonts w:eastAsia="Arial"/>
          <w:noProof/>
        </w:rPr>
        <w:t xml:space="preserve">integration of carbon </w:t>
      </w:r>
      <w:r w:rsidRPr="00C92FA9">
        <w:rPr>
          <w:noProof/>
        </w:rPr>
        <w:t>removals</w:t>
      </w:r>
      <w:r w:rsidRPr="0081111C">
        <w:rPr>
          <w:rFonts w:eastAsia="Arial"/>
          <w:noProof/>
        </w:rPr>
        <w:t xml:space="preserve"> under the EU ETS</w:t>
      </w:r>
      <w:r>
        <w:rPr>
          <w:rFonts w:eastAsia="Arial"/>
          <w:noProof/>
        </w:rPr>
        <w:t>, allowing</w:t>
      </w:r>
      <w:r w:rsidRPr="0081111C">
        <w:rPr>
          <w:rFonts w:eastAsia="Arial"/>
          <w:noProof/>
        </w:rPr>
        <w:t xml:space="preserve"> to generate </w:t>
      </w:r>
      <w:r w:rsidRPr="00087A48">
        <w:rPr>
          <w:rFonts w:eastAsia="Arial"/>
          <w:b/>
          <w:bCs/>
          <w:noProof/>
        </w:rPr>
        <w:t xml:space="preserve">revenue from removals from the biogenic fraction of </w:t>
      </w:r>
      <w:r>
        <w:rPr>
          <w:rFonts w:eastAsia="Arial"/>
          <w:b/>
          <w:bCs/>
          <w:noProof/>
        </w:rPr>
        <w:t>MWI</w:t>
      </w:r>
      <w:r w:rsidRPr="00087A48">
        <w:rPr>
          <w:rFonts w:eastAsia="Arial"/>
          <w:b/>
          <w:bCs/>
          <w:noProof/>
        </w:rPr>
        <w:t xml:space="preserve"> emissions</w:t>
      </w:r>
      <w:r w:rsidRPr="0081111C">
        <w:rPr>
          <w:rFonts w:eastAsia="Arial"/>
          <w:noProof/>
        </w:rPr>
        <w:t xml:space="preserve">, </w:t>
      </w:r>
      <w:r>
        <w:rPr>
          <w:rFonts w:eastAsia="Arial"/>
          <w:noProof/>
        </w:rPr>
        <w:t>supporting</w:t>
      </w:r>
      <w:r w:rsidRPr="0081111C">
        <w:rPr>
          <w:rFonts w:eastAsia="Arial"/>
          <w:noProof/>
        </w:rPr>
        <w:t xml:space="preserve"> the business case for carbon capture implementation.</w:t>
      </w:r>
    </w:p>
    <w:p w14:paraId="432D7FF9" w14:textId="77777777" w:rsidR="009010D9" w:rsidRDefault="009010D9" w:rsidP="0018561F">
      <w:pPr>
        <w:pStyle w:val="ListParagraph"/>
        <w:numPr>
          <w:ilvl w:val="0"/>
          <w:numId w:val="57"/>
        </w:numPr>
        <w:spacing w:line="259" w:lineRule="auto"/>
        <w:contextualSpacing/>
        <w:rPr>
          <w:rFonts w:eastAsia="Arial"/>
          <w:noProof/>
        </w:rPr>
      </w:pPr>
      <w:r w:rsidRPr="00814E28">
        <w:rPr>
          <w:rFonts w:eastAsia="Arial"/>
          <w:noProof/>
        </w:rPr>
        <w:t xml:space="preserve">implementation of </w:t>
      </w:r>
      <w:r w:rsidRPr="00087A48">
        <w:rPr>
          <w:rFonts w:eastAsia="Arial"/>
          <w:b/>
          <w:bCs/>
          <w:noProof/>
        </w:rPr>
        <w:t>waste heat recovery</w:t>
      </w:r>
      <w:r w:rsidRPr="00814E28">
        <w:rPr>
          <w:rFonts w:eastAsia="Arial"/>
          <w:noProof/>
        </w:rPr>
        <w:t xml:space="preserve"> to </w:t>
      </w:r>
      <w:r>
        <w:rPr>
          <w:rFonts w:eastAsia="Arial"/>
          <w:noProof/>
        </w:rPr>
        <w:t>offset</w:t>
      </w:r>
      <w:r w:rsidRPr="00814E28">
        <w:rPr>
          <w:rFonts w:eastAsia="Arial"/>
          <w:noProof/>
        </w:rPr>
        <w:t xml:space="preserve"> the loss in heat output from the operation of carbon capture technology, </w:t>
      </w:r>
      <w:r>
        <w:rPr>
          <w:rFonts w:eastAsia="Arial"/>
          <w:noProof/>
        </w:rPr>
        <w:t>minimising</w:t>
      </w:r>
      <w:r w:rsidRPr="00814E28">
        <w:rPr>
          <w:rFonts w:eastAsia="Arial"/>
          <w:noProof/>
        </w:rPr>
        <w:t xml:space="preserve"> the </w:t>
      </w:r>
      <w:r>
        <w:rPr>
          <w:rFonts w:eastAsia="Arial"/>
          <w:noProof/>
        </w:rPr>
        <w:t>reduction in heat available for supply to district heating networks (where applicable)</w:t>
      </w:r>
      <w:r>
        <w:rPr>
          <w:rStyle w:val="FootnoteReference"/>
          <w:rFonts w:eastAsia="Arial"/>
          <w:noProof/>
        </w:rPr>
        <w:footnoteReference w:id="103"/>
      </w:r>
      <w:r>
        <w:rPr>
          <w:rFonts w:eastAsia="Arial"/>
          <w:noProof/>
        </w:rPr>
        <w:t>. In addition, innovation in advanced solvent systems can contribute to reduce energy requirements of solvent regeneration in the future.</w:t>
      </w:r>
      <w:r w:rsidRPr="00814E28">
        <w:rPr>
          <w:rFonts w:eastAsia="Arial"/>
          <w:noProof/>
        </w:rPr>
        <w:t xml:space="preserve"> </w:t>
      </w:r>
    </w:p>
    <w:p w14:paraId="43934A4D" w14:textId="77777777" w:rsidR="009010D9" w:rsidRPr="0085116B" w:rsidRDefault="009010D9" w:rsidP="0018561F">
      <w:pPr>
        <w:pStyle w:val="ListParagraph"/>
        <w:numPr>
          <w:ilvl w:val="0"/>
          <w:numId w:val="57"/>
        </w:numPr>
        <w:spacing w:line="259" w:lineRule="auto"/>
        <w:contextualSpacing/>
        <w:rPr>
          <w:rFonts w:eastAsia="Arial"/>
          <w:noProof/>
        </w:rPr>
      </w:pPr>
      <w:r w:rsidRPr="0085116B">
        <w:rPr>
          <w:rFonts w:eastAsia="Arial"/>
          <w:noProof/>
        </w:rPr>
        <w:t xml:space="preserve">a </w:t>
      </w:r>
      <w:r w:rsidRPr="0085116B">
        <w:rPr>
          <w:rFonts w:eastAsia="Arial"/>
          <w:b/>
          <w:bCs/>
          <w:noProof/>
        </w:rPr>
        <w:t>predictable timescale and financial support to plan and invest</w:t>
      </w:r>
      <w:r w:rsidRPr="0085116B">
        <w:rPr>
          <w:rFonts w:eastAsia="Arial"/>
          <w:noProof/>
        </w:rPr>
        <w:t xml:space="preserve"> in carbon capture technology, with other abatement options offering pathways to reduce the carbon cost in the shorter-term until the implementation of carbon capture over time. Financial support and a transition period could complement the economic incentive of the carbon price. Financial support is currently already available under the Innovation Fund and the Modernisation Fund.</w:t>
      </w:r>
    </w:p>
    <w:p w14:paraId="04963375" w14:textId="77777777" w:rsidR="009010D9" w:rsidRDefault="009010D9" w:rsidP="0018561F">
      <w:pPr>
        <w:pStyle w:val="ListParagraph"/>
        <w:numPr>
          <w:ilvl w:val="0"/>
          <w:numId w:val="57"/>
        </w:numPr>
        <w:spacing w:line="259" w:lineRule="auto"/>
        <w:contextualSpacing/>
        <w:rPr>
          <w:rFonts w:eastAsia="Arial"/>
          <w:noProof/>
        </w:rPr>
      </w:pPr>
      <w:r w:rsidRPr="0829F498">
        <w:rPr>
          <w:rFonts w:eastAsia="Arial"/>
          <w:noProof/>
        </w:rPr>
        <w:t>waste incineration infrastructure is generally modern and technically advanced, with long operational lifespans, making it well-suited for CCUS retrofitting. In the UK – with a similar market structure as the EU27 – 60-65% of 57 installations, covering 74-78% of total emissions from the sector, have been found to be CCUS compatible</w:t>
      </w:r>
      <w:r>
        <w:rPr>
          <w:rStyle w:val="FootnoteReference"/>
          <w:rFonts w:eastAsia="Arial"/>
          <w:noProof/>
        </w:rPr>
        <w:footnoteReference w:id="104"/>
      </w:r>
      <w:r w:rsidRPr="0829F498">
        <w:rPr>
          <w:rFonts w:eastAsia="Arial"/>
          <w:noProof/>
        </w:rPr>
        <w:t>. F</w:t>
      </w:r>
      <w:r>
        <w:rPr>
          <w:rFonts w:eastAsia="Arial"/>
          <w:noProof/>
        </w:rPr>
        <w:t xml:space="preserve">urther </w:t>
      </w:r>
      <w:r w:rsidRPr="00087A48">
        <w:rPr>
          <w:rFonts w:eastAsia="Arial"/>
          <w:b/>
          <w:bCs/>
          <w:noProof/>
        </w:rPr>
        <w:t>development of smaller modular units</w:t>
      </w:r>
      <w:r>
        <w:rPr>
          <w:rFonts w:eastAsia="Arial"/>
          <w:noProof/>
        </w:rPr>
        <w:t xml:space="preserve"> and the implementation of </w:t>
      </w:r>
      <w:r w:rsidRPr="00087A48">
        <w:rPr>
          <w:rFonts w:eastAsia="Arial"/>
          <w:b/>
          <w:bCs/>
          <w:noProof/>
        </w:rPr>
        <w:t>CCS-readiness mandates</w:t>
      </w:r>
      <w:r>
        <w:rPr>
          <w:rStyle w:val="FootnoteReference"/>
          <w:rFonts w:eastAsia="Arial"/>
          <w:b/>
          <w:bCs/>
          <w:noProof/>
        </w:rPr>
        <w:footnoteReference w:id="105"/>
      </w:r>
      <w:r>
        <w:rPr>
          <w:rFonts w:eastAsia="Arial"/>
          <w:noProof/>
        </w:rPr>
        <w:t xml:space="preserve"> requiring new MWI installations</w:t>
      </w:r>
      <w:r w:rsidRPr="00814E28">
        <w:rPr>
          <w:rFonts w:eastAsia="Arial"/>
          <w:noProof/>
        </w:rPr>
        <w:t xml:space="preserve"> </w:t>
      </w:r>
      <w:r>
        <w:rPr>
          <w:rFonts w:eastAsia="Arial"/>
          <w:noProof/>
        </w:rPr>
        <w:t xml:space="preserve">to </w:t>
      </w:r>
      <w:r w:rsidRPr="00814E28">
        <w:rPr>
          <w:rFonts w:eastAsia="Arial"/>
          <w:noProof/>
        </w:rPr>
        <w:t>be designed</w:t>
      </w:r>
      <w:r>
        <w:rPr>
          <w:rFonts w:eastAsia="Arial"/>
          <w:noProof/>
        </w:rPr>
        <w:t xml:space="preserve"> for compatibility with carbon capture technology, addressing practical constraints in retrofitting smaller existing plants  </w:t>
      </w:r>
      <w:r w:rsidRPr="00814E28">
        <w:rPr>
          <w:rFonts w:eastAsia="Arial"/>
          <w:noProof/>
        </w:rPr>
        <w:t>due to footprint restriction</w:t>
      </w:r>
      <w:r>
        <w:rPr>
          <w:rFonts w:eastAsia="Arial"/>
          <w:noProof/>
        </w:rPr>
        <w:t>s</w:t>
      </w:r>
      <w:r>
        <w:rPr>
          <w:rStyle w:val="FootnoteReference"/>
          <w:rFonts w:eastAsia="Arial"/>
          <w:noProof/>
        </w:rPr>
        <w:footnoteReference w:id="106"/>
      </w:r>
      <w:r>
        <w:rPr>
          <w:rFonts w:eastAsia="Arial"/>
          <w:noProof/>
        </w:rPr>
        <w:t>.</w:t>
      </w:r>
    </w:p>
    <w:p w14:paraId="1140CDEC" w14:textId="77777777" w:rsidR="009010D9" w:rsidRPr="00EE6126" w:rsidRDefault="009010D9" w:rsidP="0018561F">
      <w:pPr>
        <w:pStyle w:val="ListParagraph"/>
        <w:numPr>
          <w:ilvl w:val="0"/>
          <w:numId w:val="57"/>
        </w:numPr>
        <w:spacing w:line="259" w:lineRule="auto"/>
        <w:contextualSpacing/>
        <w:rPr>
          <w:rFonts w:eastAsia="Arial"/>
          <w:noProof/>
        </w:rPr>
      </w:pPr>
      <w:r w:rsidRPr="00087A48">
        <w:rPr>
          <w:rFonts w:eastAsia="Arial"/>
          <w:b/>
          <w:bCs/>
          <w:noProof/>
        </w:rPr>
        <w:t xml:space="preserve">further development of </w:t>
      </w:r>
      <w:r>
        <w:rPr>
          <w:rFonts w:eastAsia="Arial"/>
          <w:b/>
          <w:bCs/>
          <w:noProof/>
        </w:rPr>
        <w:t>a harmonised</w:t>
      </w:r>
      <w:r w:rsidRPr="00087A48">
        <w:rPr>
          <w:rFonts w:eastAsia="Arial"/>
          <w:b/>
          <w:bCs/>
          <w:noProof/>
        </w:rPr>
        <w:t xml:space="preserve"> EU </w:t>
      </w:r>
      <w:r>
        <w:rPr>
          <w:rFonts w:eastAsia="Arial"/>
          <w:b/>
          <w:bCs/>
          <w:noProof/>
        </w:rPr>
        <w:t>regulatory</w:t>
      </w:r>
      <w:r w:rsidRPr="00087A48">
        <w:rPr>
          <w:rFonts w:eastAsia="Arial"/>
          <w:b/>
          <w:bCs/>
          <w:noProof/>
        </w:rPr>
        <w:t xml:space="preserve"> framework</w:t>
      </w:r>
      <w:r w:rsidRPr="004909BA">
        <w:rPr>
          <w:rFonts w:eastAsia="Arial"/>
          <w:noProof/>
        </w:rPr>
        <w:t xml:space="preserve"> </w:t>
      </w:r>
      <w:r>
        <w:rPr>
          <w:rFonts w:eastAsia="Arial"/>
          <w:noProof/>
        </w:rPr>
        <w:t>for</w:t>
      </w:r>
      <w:r w:rsidRPr="004909BA">
        <w:rPr>
          <w:rFonts w:eastAsia="Arial"/>
          <w:noProof/>
        </w:rPr>
        <w:t xml:space="preserve"> industrial carbon management</w:t>
      </w:r>
      <w:r>
        <w:rPr>
          <w:rFonts w:eastAsia="Arial"/>
          <w:noProof/>
        </w:rPr>
        <w:t xml:space="preserve">, including CO2 </w:t>
      </w:r>
      <w:r w:rsidRPr="004909BA">
        <w:rPr>
          <w:rFonts w:eastAsia="Arial"/>
          <w:noProof/>
        </w:rPr>
        <w:t>transport</w:t>
      </w:r>
      <w:r>
        <w:rPr>
          <w:rFonts w:eastAsia="Arial"/>
          <w:noProof/>
        </w:rPr>
        <w:t>, access to storage locations (CCS), demand for recycled carbon (CCU), and the creation of</w:t>
      </w:r>
      <w:r w:rsidRPr="004909BA">
        <w:rPr>
          <w:rFonts w:eastAsia="Arial"/>
          <w:noProof/>
        </w:rPr>
        <w:t xml:space="preserve"> a single European market for CO2</w:t>
      </w:r>
      <w:r>
        <w:rPr>
          <w:rFonts w:eastAsia="Arial"/>
          <w:noProof/>
        </w:rPr>
        <w:t>.</w:t>
      </w:r>
      <w:bookmarkStart w:id="680" w:name="_Toc212426433"/>
      <w:bookmarkStart w:id="681" w:name="_Toc57258651"/>
      <w:bookmarkStart w:id="682" w:name="_Toc195565254"/>
    </w:p>
    <w:p w14:paraId="7E2895F8" w14:textId="77777777" w:rsidR="009010D9" w:rsidRPr="00C4437D" w:rsidRDefault="009010D9">
      <w:pPr>
        <w:pStyle w:val="Body"/>
        <w:rPr>
          <w:rFonts w:ascii="Times New Roman" w:hAnsi="Times New Roman"/>
          <w:i/>
          <w:iCs/>
          <w:noProof/>
        </w:rPr>
      </w:pPr>
      <w:r w:rsidRPr="00C4437D">
        <w:rPr>
          <w:rFonts w:ascii="Times New Roman" w:hAnsi="Times New Roman"/>
          <w:i/>
          <w:iCs/>
          <w:noProof/>
        </w:rPr>
        <w:t>Landfill</w:t>
      </w:r>
      <w:bookmarkEnd w:id="680"/>
      <w:bookmarkEnd w:id="681"/>
      <w:r w:rsidRPr="00C4437D">
        <w:rPr>
          <w:rFonts w:ascii="Times New Roman" w:hAnsi="Times New Roman"/>
          <w:i/>
          <w:iCs/>
          <w:noProof/>
        </w:rPr>
        <w:t xml:space="preserve">s </w:t>
      </w:r>
      <w:bookmarkEnd w:id="682"/>
    </w:p>
    <w:p w14:paraId="760E56FB" w14:textId="77777777" w:rsidR="009010D9" w:rsidRPr="006256F6" w:rsidRDefault="009010D9">
      <w:pPr>
        <w:rPr>
          <w:noProof/>
        </w:rPr>
      </w:pPr>
      <w:bookmarkStart w:id="683" w:name="_Toc195565256"/>
      <w:r w:rsidRPr="006256F6">
        <w:rPr>
          <w:noProof/>
        </w:rPr>
        <w:t>Landfills covered by the Industrial Emissions Directive</w:t>
      </w:r>
      <w:r>
        <w:rPr>
          <w:noProof/>
        </w:rPr>
        <w:t xml:space="preserve"> must</w:t>
      </w:r>
      <w:r w:rsidRPr="006256F6">
        <w:rPr>
          <w:noProof/>
        </w:rPr>
        <w:t xml:space="preserve"> apply Best Available Techniques (BAT).</w:t>
      </w:r>
      <w:r>
        <w:rPr>
          <w:noProof/>
        </w:rPr>
        <w:t xml:space="preserve"> In addition, </w:t>
      </w:r>
      <w:r w:rsidRPr="006256F6">
        <w:rPr>
          <w:noProof/>
        </w:rPr>
        <w:t xml:space="preserve">a BAT Reference Document (BREF) and BAT conclusions for landfills </w:t>
      </w:r>
      <w:r>
        <w:rPr>
          <w:noProof/>
        </w:rPr>
        <w:t xml:space="preserve">are </w:t>
      </w:r>
      <w:r w:rsidRPr="006256F6">
        <w:rPr>
          <w:noProof/>
        </w:rPr>
        <w:t>currently under development.</w:t>
      </w:r>
      <w:r>
        <w:rPr>
          <w:noProof/>
        </w:rPr>
        <w:t xml:space="preserve"> Emissions abatement pathways include:</w:t>
      </w:r>
    </w:p>
    <w:p w14:paraId="1F2BE02F" w14:textId="6E926F91" w:rsidR="009010D9" w:rsidRPr="00B0582A" w:rsidRDefault="009010D9">
      <w:pPr>
        <w:rPr>
          <w:b/>
          <w:bCs/>
          <w:noProof/>
        </w:rPr>
      </w:pPr>
      <w:r w:rsidRPr="00E56123">
        <w:rPr>
          <w:b/>
          <w:bCs/>
          <w:noProof/>
        </w:rPr>
        <w:t xml:space="preserve">Biofilters and biocovers to reduce emissions: </w:t>
      </w:r>
      <w:r w:rsidRPr="003D3BB3">
        <w:rPr>
          <w:noProof/>
        </w:rPr>
        <w:t>Biofilters and biocovers</w:t>
      </w:r>
      <w:r>
        <w:rPr>
          <w:rStyle w:val="FootnoteReference"/>
          <w:noProof/>
        </w:rPr>
        <w:footnoteReference w:id="107"/>
      </w:r>
      <w:r w:rsidRPr="003D3BB3">
        <w:rPr>
          <w:noProof/>
        </w:rPr>
        <w:t xml:space="preserve"> are passive techniques that can be used to mitigate </w:t>
      </w:r>
      <w:r>
        <w:rPr>
          <w:noProof/>
        </w:rPr>
        <w:t>landfill gas (LFG)</w:t>
      </w:r>
      <w:r w:rsidRPr="003D3BB3">
        <w:rPr>
          <w:noProof/>
        </w:rPr>
        <w:t xml:space="preserve"> emissions. Biofilters </w:t>
      </w:r>
      <w:r>
        <w:rPr>
          <w:noProof/>
        </w:rPr>
        <w:t xml:space="preserve">and biocovers </w:t>
      </w:r>
      <w:r w:rsidRPr="003D3BB3">
        <w:rPr>
          <w:noProof/>
        </w:rPr>
        <w:t xml:space="preserve">can function independently of active gas collection systems and can be used for areas of landfills no longer connected to such systems. Biocovers utilising substantial amounts of aged compost have demonstrated </w:t>
      </w:r>
      <w:r>
        <w:rPr>
          <w:noProof/>
        </w:rPr>
        <w:t xml:space="preserve">methane </w:t>
      </w:r>
      <w:r w:rsidRPr="003D3BB3">
        <w:rPr>
          <w:noProof/>
        </w:rPr>
        <w:t>oxidation rates between 3</w:t>
      </w:r>
      <w:r>
        <w:rPr>
          <w:noProof/>
        </w:rPr>
        <w:t>0</w:t>
      </w:r>
      <w:r w:rsidRPr="003D3BB3">
        <w:rPr>
          <w:noProof/>
        </w:rPr>
        <w:t>% and 40%</w:t>
      </w:r>
      <w:r>
        <w:rPr>
          <w:noProof/>
        </w:rPr>
        <w:t>, while methane oxidation rates in biofilters can reach up to 19%</w:t>
      </w:r>
      <w:r w:rsidRPr="003D3BB3">
        <w:rPr>
          <w:rStyle w:val="FootnoteReference"/>
          <w:noProof/>
          <w:sz w:val="22"/>
          <w:szCs w:val="22"/>
        </w:rPr>
        <w:footnoteReference w:id="108"/>
      </w:r>
      <w:r>
        <w:rPr>
          <w:noProof/>
        </w:rPr>
        <w:t>.</w:t>
      </w:r>
      <w:r>
        <w:rPr>
          <w:b/>
          <w:bCs/>
          <w:noProof/>
        </w:rPr>
        <w:t xml:space="preserve"> </w:t>
      </w:r>
      <w:r w:rsidRPr="003F064A">
        <w:rPr>
          <w:noProof/>
        </w:rPr>
        <w:t xml:space="preserve">For example, the Fakse landfill biocover project in Denmark </w:t>
      </w:r>
      <w:r>
        <w:rPr>
          <w:noProof/>
        </w:rPr>
        <w:t>covered</w:t>
      </w:r>
      <w:r w:rsidRPr="003F064A">
        <w:rPr>
          <w:noProof/>
        </w:rPr>
        <w:t xml:space="preserve"> over 5,000 m</w:t>
      </w:r>
      <w:r>
        <w:rPr>
          <w:noProof/>
        </w:rPr>
        <w:t xml:space="preserve">2 </w:t>
      </w:r>
      <w:r w:rsidRPr="003F064A">
        <w:rPr>
          <w:noProof/>
        </w:rPr>
        <w:t xml:space="preserve">with </w:t>
      </w:r>
      <w:r>
        <w:rPr>
          <w:noProof/>
        </w:rPr>
        <w:t>biocovers, with</w:t>
      </w:r>
      <w:r w:rsidRPr="003F064A">
        <w:rPr>
          <w:noProof/>
        </w:rPr>
        <w:t xml:space="preserve"> field tests show</w:t>
      </w:r>
      <w:r>
        <w:rPr>
          <w:noProof/>
        </w:rPr>
        <w:t>ing</w:t>
      </w:r>
      <w:r w:rsidRPr="003F064A">
        <w:rPr>
          <w:noProof/>
        </w:rPr>
        <w:t xml:space="preserve"> a 30% reduction in methane emissions</w:t>
      </w:r>
      <w:r>
        <w:rPr>
          <w:noProof/>
        </w:rPr>
        <w:t xml:space="preserve">. </w:t>
      </w:r>
      <w:r w:rsidRPr="003D3BB3">
        <w:rPr>
          <w:noProof/>
        </w:rPr>
        <w:t xml:space="preserve">The cost of biofilters and biocovers </w:t>
      </w:r>
      <w:r>
        <w:rPr>
          <w:noProof/>
        </w:rPr>
        <w:t xml:space="preserve">is overall limited and </w:t>
      </w:r>
      <w:r w:rsidRPr="003D3BB3">
        <w:rPr>
          <w:noProof/>
        </w:rPr>
        <w:t>depend</w:t>
      </w:r>
      <w:r>
        <w:rPr>
          <w:noProof/>
        </w:rPr>
        <w:t>s</w:t>
      </w:r>
      <w:r w:rsidRPr="003D3BB3">
        <w:rPr>
          <w:noProof/>
        </w:rPr>
        <w:t xml:space="preserve"> on the local availability of materials. </w:t>
      </w:r>
      <w:r>
        <w:rPr>
          <w:noProof/>
        </w:rPr>
        <w:t>C</w:t>
      </w:r>
      <w:r w:rsidRPr="003D3BB3">
        <w:rPr>
          <w:noProof/>
        </w:rPr>
        <w:t>osts include installation, as well as ongoing maintenance, such as watering oxidizing materials in dry climates and monitoring their effectiveness over time. The</w:t>
      </w:r>
      <w:r>
        <w:rPr>
          <w:noProof/>
        </w:rPr>
        <w:t xml:space="preserve"> United States Environmental Protection Agency</w:t>
      </w:r>
      <w:r w:rsidRPr="003D3BB3">
        <w:rPr>
          <w:noProof/>
        </w:rPr>
        <w:t xml:space="preserve"> </w:t>
      </w:r>
      <w:r>
        <w:rPr>
          <w:noProof/>
        </w:rPr>
        <w:t>(</w:t>
      </w:r>
      <w:r w:rsidRPr="003D3BB3">
        <w:rPr>
          <w:noProof/>
        </w:rPr>
        <w:t>EPA</w:t>
      </w:r>
      <w:r>
        <w:rPr>
          <w:noProof/>
        </w:rPr>
        <w:t>)</w:t>
      </w:r>
      <w:r w:rsidRPr="003D3BB3">
        <w:rPr>
          <w:noProof/>
        </w:rPr>
        <w:t xml:space="preserve"> estimates that, on average, the capital cost for a biocover is approximately EUR </w:t>
      </w:r>
      <w:r>
        <w:rPr>
          <w:noProof/>
        </w:rPr>
        <w:t>16.7</w:t>
      </w:r>
      <w:r w:rsidRPr="003D3BB3">
        <w:rPr>
          <w:noProof/>
        </w:rPr>
        <w:t xml:space="preserve"> per hectare.</w:t>
      </w:r>
    </w:p>
    <w:p w14:paraId="71442E6F" w14:textId="77777777" w:rsidR="009010D9" w:rsidRPr="00682849" w:rsidRDefault="009010D9">
      <w:pPr>
        <w:rPr>
          <w:noProof/>
        </w:rPr>
      </w:pPr>
      <w:r>
        <w:rPr>
          <w:b/>
          <w:bCs/>
          <w:noProof/>
        </w:rPr>
        <w:t>Q</w:t>
      </w:r>
      <w:r w:rsidRPr="004176FD">
        <w:rPr>
          <w:b/>
          <w:bCs/>
          <w:noProof/>
        </w:rPr>
        <w:t>uality landfill management:</w:t>
      </w:r>
      <w:r w:rsidRPr="00B0582A">
        <w:rPr>
          <w:noProof/>
        </w:rPr>
        <w:t xml:space="preserve"> </w:t>
      </w:r>
      <w:r w:rsidRPr="003D3BB3">
        <w:rPr>
          <w:noProof/>
        </w:rPr>
        <w:t xml:space="preserve">Effective landfill </w:t>
      </w:r>
      <w:r>
        <w:rPr>
          <w:noProof/>
        </w:rPr>
        <w:t>(</w:t>
      </w:r>
      <w:r w:rsidRPr="003D3BB3">
        <w:rPr>
          <w:noProof/>
        </w:rPr>
        <w:t>cover</w:t>
      </w:r>
      <w:r>
        <w:rPr>
          <w:noProof/>
        </w:rPr>
        <w:t>)</w:t>
      </w:r>
      <w:r w:rsidRPr="003D3BB3">
        <w:rPr>
          <w:noProof/>
        </w:rPr>
        <w:t xml:space="preserve"> management plays a key role in reducing methane emissions. Using impermeable covers helps prevent rainwater infiltration while enhancing methane capture. Additionally, implementing a leachate collection and management system reduces moisture levels and anaerobic conditions within the landfill, thereby limiting CH</w:t>
      </w:r>
      <w:r w:rsidRPr="00B0582A">
        <w:rPr>
          <w:noProof/>
          <w:vertAlign w:val="subscript"/>
        </w:rPr>
        <w:t>4</w:t>
      </w:r>
      <w:r w:rsidRPr="003D3BB3">
        <w:rPr>
          <w:noProof/>
        </w:rPr>
        <w:t xml:space="preserve"> production.</w:t>
      </w:r>
      <w:r w:rsidRPr="402EF34D">
        <w:rPr>
          <w:rStyle w:val="FootnoteReference"/>
          <w:noProof/>
          <w:sz w:val="22"/>
          <w:szCs w:val="22"/>
        </w:rPr>
        <w:footnoteReference w:id="109"/>
      </w:r>
      <w:r>
        <w:rPr>
          <w:noProof/>
        </w:rPr>
        <w:t xml:space="preserve"> </w:t>
      </w:r>
      <w:r w:rsidRPr="003D3BB3">
        <w:rPr>
          <w:noProof/>
        </w:rPr>
        <w:t>Enhanced landfill management practices can improve waste decomposition and maximise gas collection efficiency. Key strategies include compacting waste to minimize empty spaces where methane can accumulate and using alternative daily cover materials that support gas capture. Additionally, routine monitoring and maintenance of gas collection systems are crucial to ensuring long-term effectiveness.</w:t>
      </w:r>
      <w:r w:rsidRPr="402EF34D">
        <w:rPr>
          <w:rStyle w:val="FootnoteReference"/>
          <w:noProof/>
          <w:sz w:val="22"/>
          <w:szCs w:val="22"/>
        </w:rPr>
        <w:footnoteReference w:id="110"/>
      </w:r>
    </w:p>
    <w:p w14:paraId="5FB63D7A" w14:textId="77777777" w:rsidR="009010D9" w:rsidRPr="00873E14" w:rsidRDefault="009010D9">
      <w:pPr>
        <w:rPr>
          <w:rFonts w:eastAsia="Aptos"/>
          <w:noProof/>
          <w:color w:val="auto"/>
        </w:rPr>
      </w:pPr>
      <w:r w:rsidRPr="004176FD">
        <w:rPr>
          <w:b/>
          <w:bCs/>
          <w:noProof/>
        </w:rPr>
        <w:t>Landfill gas</w:t>
      </w:r>
      <w:r>
        <w:rPr>
          <w:b/>
          <w:bCs/>
          <w:noProof/>
        </w:rPr>
        <w:t xml:space="preserve"> (LFG)</w:t>
      </w:r>
      <w:r w:rsidRPr="004176FD">
        <w:rPr>
          <w:b/>
          <w:bCs/>
          <w:noProof/>
        </w:rPr>
        <w:t xml:space="preserve"> capture and utilisation</w:t>
      </w:r>
      <w:bookmarkEnd w:id="683"/>
      <w:r w:rsidRPr="004176FD">
        <w:rPr>
          <w:b/>
          <w:bCs/>
          <w:noProof/>
        </w:rPr>
        <w:t>:</w:t>
      </w:r>
      <w:r w:rsidRPr="004176FD">
        <w:rPr>
          <w:noProof/>
        </w:rPr>
        <w:t xml:space="preserve"> </w:t>
      </w:r>
      <w:r w:rsidRPr="003D3BB3">
        <w:rPr>
          <w:noProof/>
        </w:rPr>
        <w:t xml:space="preserve">Capturing </w:t>
      </w:r>
      <w:r>
        <w:rPr>
          <w:noProof/>
        </w:rPr>
        <w:t>LFG</w:t>
      </w:r>
      <w:r w:rsidRPr="003D3BB3">
        <w:rPr>
          <w:noProof/>
        </w:rPr>
        <w:t xml:space="preserve"> involves collecting methane produced during waste decomposition and repurposing it, for biogas production, electricity generation or heat generation in industrial processes</w:t>
      </w:r>
      <w:r>
        <w:rPr>
          <w:noProof/>
        </w:rPr>
        <w:t>.</w:t>
      </w:r>
      <w:r w:rsidRPr="00BE732E">
        <w:rPr>
          <w:noProof/>
        </w:rPr>
        <w:t xml:space="preserve"> </w:t>
      </w:r>
      <w:r>
        <w:rPr>
          <w:noProof/>
        </w:rPr>
        <w:t>LFG capture</w:t>
      </w:r>
      <w:r w:rsidRPr="003D3BB3">
        <w:rPr>
          <w:noProof/>
        </w:rPr>
        <w:t xml:space="preserve"> not only mitigates the release of methane into the atmosphere but </w:t>
      </w:r>
      <w:r>
        <w:rPr>
          <w:noProof/>
        </w:rPr>
        <w:t>can also provide</w:t>
      </w:r>
      <w:r w:rsidRPr="003D3BB3">
        <w:rPr>
          <w:noProof/>
        </w:rPr>
        <w:t xml:space="preserve"> sustainable energy alternatives, with efficient energy recovery generating substantial savings</w:t>
      </w:r>
      <w:r w:rsidRPr="003D3BB3">
        <w:rPr>
          <w:rStyle w:val="FootnoteReference"/>
          <w:noProof/>
          <w:sz w:val="22"/>
          <w:szCs w:val="22"/>
        </w:rPr>
        <w:footnoteReference w:id="111"/>
      </w:r>
      <w:r>
        <w:rPr>
          <w:noProof/>
        </w:rPr>
        <w:t xml:space="preserve">. Alternatively flaring systems can burn excess </w:t>
      </w:r>
      <w:r w:rsidRPr="003D3BB3">
        <w:rPr>
          <w:noProof/>
        </w:rPr>
        <w:t>methane if energy recovery is not feasible</w:t>
      </w:r>
      <w:r>
        <w:rPr>
          <w:noProof/>
        </w:rPr>
        <w:t xml:space="preserve">, </w:t>
      </w:r>
      <w:r w:rsidRPr="003D3BB3">
        <w:rPr>
          <w:noProof/>
        </w:rPr>
        <w:t>converting CH</w:t>
      </w:r>
      <w:r w:rsidRPr="007F490F">
        <w:rPr>
          <w:noProof/>
          <w:vertAlign w:val="subscript"/>
        </w:rPr>
        <w:t>4</w:t>
      </w:r>
      <w:r w:rsidRPr="003D3BB3">
        <w:rPr>
          <w:noProof/>
        </w:rPr>
        <w:t xml:space="preserve"> to CO</w:t>
      </w:r>
      <w:r w:rsidRPr="007F490F">
        <w:rPr>
          <w:noProof/>
          <w:vertAlign w:val="subscript"/>
        </w:rPr>
        <w:t>2</w:t>
      </w:r>
      <w:r w:rsidRPr="003D3BB3">
        <w:rPr>
          <w:noProof/>
        </w:rPr>
        <w:t xml:space="preserve"> which has a lower global warming potential</w:t>
      </w:r>
      <w:r>
        <w:rPr>
          <w:noProof/>
        </w:rPr>
        <w:t xml:space="preserve">. </w:t>
      </w:r>
      <w:r w:rsidRPr="00905577">
        <w:rPr>
          <w:noProof/>
        </w:rPr>
        <w:t xml:space="preserve">LFG capture efficiency varies, </w:t>
      </w:r>
      <w:r>
        <w:rPr>
          <w:noProof/>
        </w:rPr>
        <w:t xml:space="preserve">with </w:t>
      </w:r>
      <w:r w:rsidRPr="005F7650">
        <w:rPr>
          <w:noProof/>
        </w:rPr>
        <w:t xml:space="preserve">well-managed, modern sites </w:t>
      </w:r>
      <w:r>
        <w:rPr>
          <w:noProof/>
        </w:rPr>
        <w:t>achieving</w:t>
      </w:r>
      <w:r w:rsidRPr="005F7650">
        <w:rPr>
          <w:noProof/>
        </w:rPr>
        <w:t xml:space="preserve"> 7</w:t>
      </w:r>
      <w:r>
        <w:rPr>
          <w:noProof/>
        </w:rPr>
        <w:t>0</w:t>
      </w:r>
      <w:r w:rsidRPr="005F7650">
        <w:rPr>
          <w:noProof/>
        </w:rPr>
        <w:t>-9</w:t>
      </w:r>
      <w:r>
        <w:rPr>
          <w:noProof/>
        </w:rPr>
        <w:t>0</w:t>
      </w:r>
      <w:r w:rsidRPr="005F7650">
        <w:rPr>
          <w:noProof/>
        </w:rPr>
        <w:t>%</w:t>
      </w:r>
      <w:r>
        <w:rPr>
          <w:noProof/>
        </w:rPr>
        <w:t xml:space="preserve"> efficiency</w:t>
      </w:r>
      <w:r>
        <w:rPr>
          <w:rStyle w:val="FootnoteReference"/>
          <w:noProof/>
        </w:rPr>
        <w:footnoteReference w:id="112"/>
      </w:r>
      <w:r>
        <w:rPr>
          <w:noProof/>
        </w:rPr>
        <w:t xml:space="preserve">. </w:t>
      </w:r>
      <w:r w:rsidRPr="00576707">
        <w:rPr>
          <w:noProof/>
        </w:rPr>
        <w:t>The</w:t>
      </w:r>
      <w:r w:rsidRPr="003D3BB3">
        <w:rPr>
          <w:noProof/>
        </w:rPr>
        <w:t xml:space="preserve"> abatement potential of landfill gas capture and utilisation </w:t>
      </w:r>
      <w:r w:rsidRPr="00576707">
        <w:rPr>
          <w:noProof/>
        </w:rPr>
        <w:t>was</w:t>
      </w:r>
      <w:r w:rsidRPr="003D3BB3">
        <w:rPr>
          <w:noProof/>
        </w:rPr>
        <w:t xml:space="preserve"> </w:t>
      </w:r>
      <w:r>
        <w:rPr>
          <w:noProof/>
        </w:rPr>
        <w:t xml:space="preserve">also </w:t>
      </w:r>
      <w:r w:rsidRPr="003D3BB3">
        <w:rPr>
          <w:noProof/>
        </w:rPr>
        <w:t xml:space="preserve">explored </w:t>
      </w:r>
      <w:r w:rsidRPr="00576707">
        <w:rPr>
          <w:noProof/>
        </w:rPr>
        <w:t xml:space="preserve">during the </w:t>
      </w:r>
      <w:r w:rsidRPr="003D3BB3">
        <w:rPr>
          <w:noProof/>
        </w:rPr>
        <w:t>stakeholder consultation</w:t>
      </w:r>
      <w:r>
        <w:rPr>
          <w:noProof/>
        </w:rPr>
        <w:t>, confirming these results</w:t>
      </w:r>
      <w:r w:rsidRPr="00576707">
        <w:rPr>
          <w:noProof/>
        </w:rPr>
        <w:t xml:space="preserve">. </w:t>
      </w:r>
      <w:r>
        <w:rPr>
          <w:rFonts w:eastAsia="Aptos"/>
          <w:noProof/>
          <w:color w:val="auto"/>
          <w:kern w:val="2"/>
          <w14:ligatures w14:val="standardContextual"/>
        </w:rPr>
        <w:t>T</w:t>
      </w:r>
      <w:r w:rsidRPr="00873E14">
        <w:rPr>
          <w:rFonts w:eastAsia="Aptos"/>
          <w:noProof/>
          <w:color w:val="auto"/>
          <w:kern w:val="2"/>
          <w14:ligatures w14:val="standardContextual"/>
        </w:rPr>
        <w:t xml:space="preserve">he overall Levelized Cost of Electricity (LCOE) for electricity production from biogas in the EU </w:t>
      </w:r>
      <w:r>
        <w:rPr>
          <w:rFonts w:eastAsia="Aptos"/>
          <w:noProof/>
          <w:color w:val="auto"/>
          <w:kern w:val="2"/>
          <w14:ligatures w14:val="standardContextual"/>
        </w:rPr>
        <w:t>was analysed to be</w:t>
      </w:r>
      <w:r w:rsidRPr="00873E14">
        <w:rPr>
          <w:rFonts w:eastAsia="Aptos"/>
          <w:noProof/>
          <w:color w:val="auto"/>
          <w:kern w:val="2"/>
          <w14:ligatures w14:val="standardContextual"/>
        </w:rPr>
        <w:t xml:space="preserve"> 80 EUR/MWh </w:t>
      </w:r>
      <w:r>
        <w:rPr>
          <w:rFonts w:eastAsia="Aptos"/>
          <w:noProof/>
          <w:color w:val="auto"/>
          <w:kern w:val="2"/>
          <w14:ligatures w14:val="standardContextual"/>
        </w:rPr>
        <w:t>(</w:t>
      </w:r>
      <w:r w:rsidRPr="00873E14">
        <w:rPr>
          <w:rFonts w:eastAsia="Aptos"/>
          <w:noProof/>
          <w:color w:val="auto"/>
          <w:kern w:val="2"/>
          <w14:ligatures w14:val="standardContextual"/>
        </w:rPr>
        <w:t>2018</w:t>
      </w:r>
      <w:r>
        <w:rPr>
          <w:rFonts w:eastAsia="Aptos"/>
          <w:noProof/>
          <w:color w:val="auto"/>
          <w:kern w:val="2"/>
          <w14:ligatures w14:val="standardContextual"/>
        </w:rPr>
        <w:t>)</w:t>
      </w:r>
      <w:r w:rsidRPr="00873E14">
        <w:rPr>
          <w:rFonts w:eastAsia="Aptos"/>
          <w:noProof/>
          <w:color w:val="auto"/>
          <w:kern w:val="2"/>
          <w:vertAlign w:val="superscript"/>
          <w14:ligatures w14:val="standardContextual"/>
        </w:rPr>
        <w:footnoteReference w:id="113"/>
      </w:r>
      <w:r w:rsidRPr="00873E14">
        <w:rPr>
          <w:rFonts w:eastAsia="Aptos"/>
          <w:noProof/>
          <w:color w:val="auto"/>
          <w:kern w:val="2"/>
          <w14:ligatures w14:val="standardContextual"/>
        </w:rPr>
        <w:t xml:space="preserve"> and between 40-60 EUR/MWh specifically for LFG capture and utilisation projects</w:t>
      </w:r>
      <w:r>
        <w:rPr>
          <w:rFonts w:eastAsia="Aptos"/>
          <w:noProof/>
          <w:color w:val="auto"/>
          <w:kern w:val="2"/>
          <w14:ligatures w14:val="standardContextual"/>
        </w:rPr>
        <w:t xml:space="preserve"> (2020)</w:t>
      </w:r>
      <w:r w:rsidRPr="00873E14">
        <w:rPr>
          <w:rFonts w:eastAsia="Aptos"/>
          <w:noProof/>
          <w:color w:val="auto"/>
          <w:kern w:val="2"/>
          <w:sz w:val="22"/>
          <w:szCs w:val="22"/>
          <w:vertAlign w:val="superscript"/>
          <w14:ligatures w14:val="standardContextual"/>
        </w:rPr>
        <w:footnoteReference w:id="114"/>
      </w:r>
      <w:r w:rsidRPr="00873E14">
        <w:rPr>
          <w:rFonts w:eastAsia="Aptos"/>
          <w:noProof/>
          <w:color w:val="auto"/>
          <w:kern w:val="2"/>
          <w14:ligatures w14:val="standardContextual"/>
        </w:rPr>
        <w:t xml:space="preserve">, making it a competitive renewable energy source with an LCOE </w:t>
      </w:r>
      <w:r>
        <w:rPr>
          <w:rFonts w:eastAsia="Aptos"/>
          <w:noProof/>
          <w:color w:val="auto"/>
          <w:kern w:val="2"/>
          <w14:ligatures w14:val="standardContextual"/>
        </w:rPr>
        <w:t>within</w:t>
      </w:r>
      <w:r w:rsidRPr="00873E14">
        <w:rPr>
          <w:rFonts w:eastAsia="Aptos"/>
          <w:noProof/>
          <w:color w:val="auto"/>
          <w:kern w:val="2"/>
          <w14:ligatures w14:val="standardContextual"/>
        </w:rPr>
        <w:t xml:space="preserve"> the range of onshore wind and </w:t>
      </w:r>
      <w:r>
        <w:rPr>
          <w:rFonts w:eastAsia="Aptos"/>
          <w:noProof/>
          <w:color w:val="auto"/>
          <w:kern w:val="2"/>
          <w14:ligatures w14:val="standardContextual"/>
        </w:rPr>
        <w:t>(substantially) below</w:t>
      </w:r>
      <w:r w:rsidRPr="00873E14">
        <w:rPr>
          <w:rFonts w:eastAsia="Aptos"/>
          <w:noProof/>
          <w:color w:val="auto"/>
          <w:kern w:val="2"/>
          <w14:ligatures w14:val="standardContextual"/>
        </w:rPr>
        <w:t xml:space="preserve"> fossil power sources. </w:t>
      </w:r>
      <w:r>
        <w:rPr>
          <w:rFonts w:eastAsia="Aptos"/>
          <w:noProof/>
          <w:color w:val="auto"/>
          <w:kern w:val="2"/>
          <w14:ligatures w14:val="standardContextual"/>
        </w:rPr>
        <w:t>Selected case studies on LFG projects are presented in Appendix 2.</w:t>
      </w:r>
    </w:p>
    <w:p w14:paraId="6D61538D" w14:textId="77777777" w:rsidR="009010D9" w:rsidRPr="00693CA8" w:rsidRDefault="009010D9" w:rsidP="002F3B20">
      <w:pPr>
        <w:pStyle w:val="Heading3COM"/>
        <w:outlineLvl w:val="3"/>
        <w:rPr>
          <w:noProof/>
        </w:rPr>
      </w:pPr>
      <w:bookmarkStart w:id="684" w:name="_Toc230861524"/>
      <w:bookmarkStart w:id="685" w:name="_Toc232751146"/>
      <w:r>
        <w:rPr>
          <w:noProof/>
        </w:rPr>
        <w:t>Complementary measures and revenue use</w:t>
      </w:r>
      <w:bookmarkEnd w:id="684"/>
      <w:bookmarkEnd w:id="685"/>
    </w:p>
    <w:p w14:paraId="49CF2715" w14:textId="77777777" w:rsidR="009010D9" w:rsidRPr="00707031" w:rsidRDefault="009010D9">
      <w:pPr>
        <w:rPr>
          <w:noProof/>
        </w:rPr>
      </w:pPr>
      <w:bookmarkStart w:id="686" w:name="_Toc195565273"/>
      <w:r w:rsidRPr="000A7AC5">
        <w:rPr>
          <w:noProof/>
        </w:rPr>
        <w:t xml:space="preserve">Complementary policies and measures and the targeted reinvestment of EU ETS revenues can provide key </w:t>
      </w:r>
      <w:r>
        <w:rPr>
          <w:noProof/>
        </w:rPr>
        <w:t>complementary</w:t>
      </w:r>
      <w:r w:rsidRPr="000A7AC5">
        <w:rPr>
          <w:noProof/>
        </w:rPr>
        <w:t xml:space="preserve"> incentives for abatement</w:t>
      </w:r>
      <w:r>
        <w:rPr>
          <w:noProof/>
        </w:rPr>
        <w:t xml:space="preserve">, in particular by reducing the amount of non-recyclable plastics at production level and by increasing recycling of fossil-based waste streams, in particular plastics, through upstream improvements in product design, improving producer responsibility for waste treatment, and expanding recycling capacity. The EU already has several policy frameworks that promote such measures. </w:t>
      </w:r>
      <w:r w:rsidRPr="00707031">
        <w:rPr>
          <w:noProof/>
        </w:rPr>
        <w:t>A recent report by the Joint Research Council</w:t>
      </w:r>
      <w:r>
        <w:rPr>
          <w:rStyle w:val="FootnoteReference"/>
          <w:noProof/>
        </w:rPr>
        <w:footnoteReference w:id="115"/>
      </w:r>
      <w:r w:rsidRPr="00707031">
        <w:rPr>
          <w:noProof/>
        </w:rPr>
        <w:t xml:space="preserve">  found that an ambitious circular economy scenario based on strengthened reduce, reuse and recover levers has a substantial potential for reducing GHG emissions across selected energy-intensive sectors, with up to 75-84 Mt CO2-eq emissions reductions in plastics by 2050 through the reduction of virgin plastics, strengthened eco-design, lifetime extension measures and improved waste management to deviate plastic towards recovery and recycling.</w:t>
      </w:r>
      <w:r>
        <w:rPr>
          <w:noProof/>
        </w:rPr>
        <w:t xml:space="preserve"> Selected complementary measures that can support the carbon price incentive include:</w:t>
      </w:r>
    </w:p>
    <w:p w14:paraId="2B1B28F9" w14:textId="77777777" w:rsidR="009010D9" w:rsidRDefault="009010D9">
      <w:pPr>
        <w:rPr>
          <w:noProof/>
        </w:rPr>
      </w:pPr>
      <w:r w:rsidRPr="007E7E5F">
        <w:rPr>
          <w:noProof/>
        </w:rPr>
        <w:t>Strengthened</w:t>
      </w:r>
      <w:r>
        <w:rPr>
          <w:b/>
          <w:bCs/>
          <w:noProof/>
        </w:rPr>
        <w:t xml:space="preserve"> </w:t>
      </w:r>
      <w:r w:rsidRPr="00557B5D">
        <w:rPr>
          <w:b/>
          <w:bCs/>
          <w:noProof/>
        </w:rPr>
        <w:t>Extended Producer Responsibility (EPR)</w:t>
      </w:r>
      <w:bookmarkEnd w:id="686"/>
      <w:r w:rsidRPr="00557B5D">
        <w:rPr>
          <w:b/>
          <w:bCs/>
          <w:noProof/>
        </w:rPr>
        <w:t>:</w:t>
      </w:r>
      <w:r>
        <w:rPr>
          <w:noProof/>
        </w:rPr>
        <w:t xml:space="preserve"> </w:t>
      </w:r>
      <w:r w:rsidRPr="003D3BB3">
        <w:rPr>
          <w:noProof/>
        </w:rPr>
        <w:t xml:space="preserve">Extended Producer Responsibility (EPR) </w:t>
      </w:r>
      <w:r>
        <w:rPr>
          <w:noProof/>
        </w:rPr>
        <w:t xml:space="preserve">schemes </w:t>
      </w:r>
      <w:r w:rsidRPr="00E85B5E">
        <w:rPr>
          <w:noProof/>
        </w:rPr>
        <w:t>shift the accountability for the environmental impacts of products across their entire lifecycle to producers, who contribute financially to waste collection, treatment, and disposal</w:t>
      </w:r>
      <w:r>
        <w:rPr>
          <w:noProof/>
        </w:rPr>
        <w:t xml:space="preserve">, </w:t>
      </w:r>
      <w:r w:rsidRPr="00E85B5E">
        <w:rPr>
          <w:noProof/>
        </w:rPr>
        <w:t>encourag</w:t>
      </w:r>
      <w:r>
        <w:rPr>
          <w:noProof/>
        </w:rPr>
        <w:t>ing</w:t>
      </w:r>
      <w:r w:rsidRPr="00E85B5E">
        <w:rPr>
          <w:noProof/>
        </w:rPr>
        <w:t xml:space="preserve"> recyclability and reparability of products</w:t>
      </w:r>
      <w:r>
        <w:rPr>
          <w:rStyle w:val="FootnoteReference"/>
          <w:noProof/>
        </w:rPr>
        <w:footnoteReference w:id="116"/>
      </w:r>
      <w:r w:rsidRPr="003D3BB3">
        <w:rPr>
          <w:noProof/>
        </w:rPr>
        <w:t xml:space="preserve">. </w:t>
      </w:r>
      <w:r>
        <w:rPr>
          <w:noProof/>
        </w:rPr>
        <w:t xml:space="preserve">Extending and optimising EPR schemes can improve the recyclability of products, decrease the amount of non-recyclable plastics being sent to disposal, reduce the amount of carbon content in and emissions from waste, ensure that producers share the cost of managing fossil carbon emissions and generate revenue to support recycling capacity. </w:t>
      </w:r>
      <w:r w:rsidRPr="003D3BB3">
        <w:rPr>
          <w:noProof/>
        </w:rPr>
        <w:t>Under the Packaging and Packaging Waste Directive, EU Member States set an EPR scheme for plastics (p-EPR) by 31</w:t>
      </w:r>
      <w:r w:rsidRPr="003D3BB3">
        <w:rPr>
          <w:noProof/>
          <w:vertAlign w:val="superscript"/>
        </w:rPr>
        <w:t>st</w:t>
      </w:r>
      <w:r w:rsidRPr="003D3BB3">
        <w:rPr>
          <w:noProof/>
        </w:rPr>
        <w:t xml:space="preserve"> December 2024.</w:t>
      </w:r>
      <w:r w:rsidRPr="00125379">
        <w:rPr>
          <w:noProof/>
        </w:rPr>
        <w:t xml:space="preserve"> </w:t>
      </w:r>
      <w:r>
        <w:rPr>
          <w:noProof/>
        </w:rPr>
        <w:t>An overview of Member States’ EPR schemes can be consulted on the sector organisation’s website</w:t>
      </w:r>
      <w:r>
        <w:rPr>
          <w:rStyle w:val="FootnoteReference"/>
          <w:noProof/>
        </w:rPr>
        <w:footnoteReference w:id="117"/>
      </w:r>
      <w:r>
        <w:rPr>
          <w:noProof/>
        </w:rPr>
        <w:t>. One example is F</w:t>
      </w:r>
      <w:r w:rsidRPr="00686AF2">
        <w:rPr>
          <w:noProof/>
        </w:rPr>
        <w:t>ost Plus in Belgium</w:t>
      </w:r>
      <w:r>
        <w:rPr>
          <w:noProof/>
        </w:rPr>
        <w:t xml:space="preserve">, </w:t>
      </w:r>
      <w:r w:rsidRPr="00686AF2">
        <w:rPr>
          <w:noProof/>
        </w:rPr>
        <w:t>a</w:t>
      </w:r>
      <w:r>
        <w:rPr>
          <w:noProof/>
        </w:rPr>
        <w:t xml:space="preserve">n </w:t>
      </w:r>
      <w:r w:rsidRPr="00686AF2">
        <w:rPr>
          <w:noProof/>
        </w:rPr>
        <w:t xml:space="preserve">industry-funded non-profit EPR-scheme to manage packaging </w:t>
      </w:r>
      <w:r>
        <w:rPr>
          <w:noProof/>
        </w:rPr>
        <w:t xml:space="preserve">waste </w:t>
      </w:r>
      <w:r w:rsidRPr="00686AF2">
        <w:rPr>
          <w:noProof/>
        </w:rPr>
        <w:t xml:space="preserve">collection and recycling, </w:t>
      </w:r>
      <w:r>
        <w:rPr>
          <w:noProof/>
        </w:rPr>
        <w:t xml:space="preserve">including a take-back obligation for industry and eco-modulation </w:t>
      </w:r>
      <w:r w:rsidRPr="00686AF2">
        <w:rPr>
          <w:noProof/>
        </w:rPr>
        <w:t>with</w:t>
      </w:r>
      <w:r>
        <w:rPr>
          <w:noProof/>
        </w:rPr>
        <w:t xml:space="preserve"> higher rates for</w:t>
      </w:r>
      <w:r w:rsidRPr="00686AF2">
        <w:rPr>
          <w:noProof/>
        </w:rPr>
        <w:t xml:space="preserve"> difficult or non-recyclable packaging. The system </w:t>
      </w:r>
      <w:r>
        <w:rPr>
          <w:noProof/>
        </w:rPr>
        <w:t xml:space="preserve">achieved a 71% plastic packaging recycling rate in 2024, above the EU target, while having reduced the </w:t>
      </w:r>
      <w:r w:rsidRPr="00686AF2">
        <w:rPr>
          <w:noProof/>
        </w:rPr>
        <w:t xml:space="preserve">volume of non-recyclable packaging on the Belgian market by more than half </w:t>
      </w:r>
      <w:r>
        <w:rPr>
          <w:noProof/>
        </w:rPr>
        <w:t>since 2019</w:t>
      </w:r>
      <w:r w:rsidRPr="00686AF2">
        <w:rPr>
          <w:noProof/>
        </w:rPr>
        <w:t xml:space="preserve">. </w:t>
      </w:r>
      <w:r>
        <w:rPr>
          <w:noProof/>
        </w:rPr>
        <w:t xml:space="preserve">From 2025, </w:t>
      </w:r>
      <w:r w:rsidRPr="00125379">
        <w:rPr>
          <w:noProof/>
        </w:rPr>
        <w:t xml:space="preserve">textile waste (which in most </w:t>
      </w:r>
      <w:r>
        <w:rPr>
          <w:noProof/>
        </w:rPr>
        <w:t>cases has</w:t>
      </w:r>
      <w:r w:rsidRPr="00125379">
        <w:rPr>
          <w:noProof/>
        </w:rPr>
        <w:t xml:space="preserve"> a fossil component) must </w:t>
      </w:r>
      <w:r>
        <w:rPr>
          <w:noProof/>
        </w:rPr>
        <w:t xml:space="preserve">also </w:t>
      </w:r>
      <w:r w:rsidRPr="00125379">
        <w:rPr>
          <w:noProof/>
        </w:rPr>
        <w:t>be separately collected</w:t>
      </w:r>
      <w:r>
        <w:rPr>
          <w:noProof/>
        </w:rPr>
        <w:t xml:space="preserve"> and </w:t>
      </w:r>
      <w:r w:rsidRPr="00DB137C">
        <w:rPr>
          <w:noProof/>
        </w:rPr>
        <w:t>EPR scheme</w:t>
      </w:r>
      <w:r>
        <w:rPr>
          <w:noProof/>
        </w:rPr>
        <w:t>s will be set up</w:t>
      </w:r>
      <w:r w:rsidRPr="00DB137C">
        <w:rPr>
          <w:noProof/>
        </w:rPr>
        <w:t xml:space="preserve"> for textile and footwear products</w:t>
      </w:r>
      <w:r>
        <w:rPr>
          <w:noProof/>
        </w:rPr>
        <w:t>. S</w:t>
      </w:r>
      <w:r w:rsidRPr="00125379">
        <w:rPr>
          <w:noProof/>
        </w:rPr>
        <w:t xml:space="preserve">ome countries have </w:t>
      </w:r>
      <w:r>
        <w:rPr>
          <w:noProof/>
        </w:rPr>
        <w:t xml:space="preserve">further </w:t>
      </w:r>
      <w:r w:rsidRPr="00125379">
        <w:rPr>
          <w:noProof/>
        </w:rPr>
        <w:t xml:space="preserve">extended </w:t>
      </w:r>
      <w:r>
        <w:rPr>
          <w:noProof/>
        </w:rPr>
        <w:t>EPR schemes</w:t>
      </w:r>
      <w:r w:rsidRPr="00125379">
        <w:rPr>
          <w:noProof/>
        </w:rPr>
        <w:t xml:space="preserve"> to other fractions (such as toys, electronics, etc). </w:t>
      </w:r>
      <w:r>
        <w:rPr>
          <w:noProof/>
        </w:rPr>
        <w:t>Factors that can further strengthen the impact of EPR schemes are to use (part of) the revenues to support waste management service improvements, making EPR schemes sufficiently responsive to cover the ETS carbon cost, and extending and aligning EPR-schemes at EU-level to the scope of waste streams covered under the EU ETS</w:t>
      </w:r>
      <w:r w:rsidRPr="003D3BB3">
        <w:rPr>
          <w:rStyle w:val="FootnoteReference"/>
          <w:noProof/>
          <w:sz w:val="22"/>
          <w:szCs w:val="22"/>
        </w:rPr>
        <w:footnoteReference w:id="118"/>
      </w:r>
      <w:r>
        <w:rPr>
          <w:noProof/>
        </w:rPr>
        <w:t xml:space="preserve">. </w:t>
      </w:r>
      <w:bookmarkStart w:id="687" w:name="_Toc212426437"/>
      <w:bookmarkStart w:id="688" w:name="_Toc896600750"/>
    </w:p>
    <w:p w14:paraId="4BFF91DA" w14:textId="77777777" w:rsidR="009010D9" w:rsidRDefault="009010D9">
      <w:pPr>
        <w:rPr>
          <w:noProof/>
        </w:rPr>
      </w:pPr>
      <w:r w:rsidRPr="002E6920">
        <w:rPr>
          <w:b/>
          <w:bCs/>
          <w:noProof/>
        </w:rPr>
        <w:t>Mandatory recycled content</w:t>
      </w:r>
      <w:r>
        <w:rPr>
          <w:b/>
          <w:bCs/>
          <w:noProof/>
        </w:rPr>
        <w:t xml:space="preserve"> policies</w:t>
      </w:r>
      <w:r w:rsidRPr="002E6920">
        <w:rPr>
          <w:b/>
          <w:bCs/>
          <w:noProof/>
        </w:rPr>
        <w:t>:</w:t>
      </w:r>
      <w:r>
        <w:rPr>
          <w:b/>
          <w:bCs/>
          <w:noProof/>
        </w:rPr>
        <w:t xml:space="preserve"> </w:t>
      </w:r>
      <w:r w:rsidRPr="00004F2B">
        <w:rPr>
          <w:noProof/>
        </w:rPr>
        <w:t xml:space="preserve">Mandatory recycled content policies reduce </w:t>
      </w:r>
      <w:r>
        <w:rPr>
          <w:noProof/>
        </w:rPr>
        <w:t>(virgin) fossil-based</w:t>
      </w:r>
      <w:r w:rsidRPr="00004F2B">
        <w:rPr>
          <w:noProof/>
        </w:rPr>
        <w:t xml:space="preserve"> waste streams and incentivise recycling. </w:t>
      </w:r>
      <w:r w:rsidRPr="002E6920">
        <w:rPr>
          <w:noProof/>
        </w:rPr>
        <w:t xml:space="preserve">The EU has mandatory recycled content policies, primarily through the Packaging and Packaging Waste Regulation (PPWR) and the Single-Use Plastics Directive (SUPD), requiring minimum recycled content for plastics, like 25% in PET bottles by 2025 and 30% by 2030, with broader packaging rules targeting virgin material reduction and recyclability by 2030. Recent </w:t>
      </w:r>
      <w:r>
        <w:rPr>
          <w:noProof/>
        </w:rPr>
        <w:t>developments</w:t>
      </w:r>
      <w:r w:rsidRPr="002E6920">
        <w:rPr>
          <w:noProof/>
        </w:rPr>
        <w:t xml:space="preserve"> also set mandatory recycled content for vehicles (25% by 2036) and focus on improving end-of-life vehicle management and producer responsibility to boost circularity.</w:t>
      </w:r>
    </w:p>
    <w:p w14:paraId="268B3748" w14:textId="77777777" w:rsidR="009010D9" w:rsidRDefault="009010D9" w:rsidP="002F3B20">
      <w:pPr>
        <w:pStyle w:val="Heading2COM"/>
        <w:outlineLvl w:val="2"/>
        <w15:collapsed w:val="0"/>
        <w:rPr>
          <w:noProof/>
        </w:rPr>
      </w:pPr>
      <w:r>
        <w:rPr>
          <w:noProof/>
        </w:rPr>
        <w:t xml:space="preserve"> </w:t>
      </w:r>
      <w:bookmarkStart w:id="689" w:name="_Toc230861525"/>
      <w:bookmarkStart w:id="690" w:name="_Toc232751147"/>
      <w:r w:rsidRPr="003D3BB3">
        <w:rPr>
          <w:noProof/>
        </w:rPr>
        <w:t>Monitoring and Reporting</w:t>
      </w:r>
      <w:bookmarkEnd w:id="687"/>
      <w:bookmarkEnd w:id="688"/>
      <w:bookmarkEnd w:id="689"/>
      <w:bookmarkEnd w:id="690"/>
      <w:r>
        <w:rPr>
          <w:noProof/>
        </w:rPr>
        <w:t xml:space="preserve"> </w:t>
      </w:r>
    </w:p>
    <w:p w14:paraId="45D48BE3" w14:textId="77777777" w:rsidR="009010D9" w:rsidRDefault="009010D9">
      <w:pPr>
        <w:rPr>
          <w:noProof/>
        </w:rPr>
      </w:pPr>
      <w:r>
        <w:rPr>
          <w:noProof/>
        </w:rPr>
        <w:t>When expanding the ETS to cover waste sector emissions, the development of an effective MRV framework, balancing the need for robustness with practical feasibility, would be an essential element of a potential inclusion of waste incineration facilities and landfills in the EU ETS. The MRV process should be in line with the rules applied in other ETS sectors. It should also build on the existing MRV obligation for installations for the incineration of municipal waste exceeding 20 MW in place since 2024. In the ETS, the monitoring and reporting of GHG emissions needs to follow the EU MRR. As a first step, operators of installations need to submit a monitoring plan to the Competent Authority for check and approval before the start of operation. Thereafter, operators carry out monitoring during the calendar year according to the approved monitoring plan. In case of significant changes to the monitoring methodology, operators submit an updated monitoring plan for approval. Operators then submit a verified annual emission report (AER) to the Competent Authority that needs to be verified by an independent accredited verifier. In case of a full integration into the EU ETS, operators then surrender allowances before 30 April and where needed, operators submit a report on improvements to the monitoring methodology before 30 June. Competent Authorities are in charge of enforcing penalties in case of non-compliance.</w:t>
      </w:r>
    </w:p>
    <w:p w14:paraId="06076F4A" w14:textId="77777777" w:rsidR="009010D9" w:rsidRDefault="009010D9">
      <w:pPr>
        <w:rPr>
          <w:noProof/>
        </w:rPr>
      </w:pPr>
      <w:r>
        <w:rPr>
          <w:noProof/>
        </w:rPr>
        <w:t xml:space="preserve">As of the start of 2024, installations for the incineration of municipal waste exceeding 20 MW are included in the EU ETS with an obligation for monitoring, reporting and verification only. Under the current EU ETS MRR, municipal waste incineration (MWI) installations, like any other combustion installation, can monitor emissions either by a calculation-based or a measurement-based approach, and the MRR does not contain special provisions for the monitoring of emissions from MWI. In case of an extension of the EU ETS to MWI, an update of the MRR would be needed to further define MWI-specific implementing rules (i.e. definitions, monitoring and reporting methods to be used, the detailed provisions of each method such as frequency of sampling, etc.). This was also frequently raised as an important condition for inclusion in the EU ETS by different stakeholders, both companies and business associations as well as NGOs, in the OPC. </w:t>
      </w:r>
    </w:p>
    <w:p w14:paraId="66452BF8" w14:textId="77777777" w:rsidR="009010D9" w:rsidRPr="003D3BB3" w:rsidRDefault="009010D9">
      <w:pPr>
        <w:rPr>
          <w:noProof/>
        </w:rPr>
      </w:pPr>
      <w:r w:rsidRPr="003D3BB3">
        <w:rPr>
          <w:noProof/>
        </w:rPr>
        <w:t xml:space="preserve">Drawing on the </w:t>
      </w:r>
      <w:r>
        <w:rPr>
          <w:noProof/>
        </w:rPr>
        <w:t xml:space="preserve">feedback from the stakeholder consultation, the experience from the start of monitoring and reporting under the EU ETS as of 2024, and the </w:t>
      </w:r>
      <w:r w:rsidRPr="003D3BB3">
        <w:rPr>
          <w:noProof/>
        </w:rPr>
        <w:t>UK’s approach</w:t>
      </w:r>
      <w:r>
        <w:rPr>
          <w:noProof/>
        </w:rPr>
        <w:t xml:space="preserve"> towards voluntary MRV for waste incineration as of 2026</w:t>
      </w:r>
      <w:r w:rsidRPr="008F4DC2">
        <w:rPr>
          <w:noProof/>
          <w:vertAlign w:val="superscript"/>
        </w:rPr>
        <w:footnoteReference w:id="119"/>
      </w:r>
      <w:r w:rsidRPr="003D3BB3">
        <w:rPr>
          <w:noProof/>
        </w:rPr>
        <w:t xml:space="preserve">, </w:t>
      </w:r>
      <w:bookmarkStart w:id="691" w:name="_Hlk215233792"/>
      <w:r w:rsidRPr="003D3BB3">
        <w:rPr>
          <w:noProof/>
        </w:rPr>
        <w:t>a tiered system that incorporates both measurement-based and calculation-based methodologies, along with simplified provisions for smaller emitters, can provide a scalable and proportionate MRV system</w:t>
      </w:r>
      <w:r>
        <w:rPr>
          <w:noProof/>
        </w:rPr>
        <w:t xml:space="preserve"> for the inclusion of the waste incineration sector</w:t>
      </w:r>
      <w:bookmarkEnd w:id="691"/>
      <w:r w:rsidRPr="003D3BB3">
        <w:rPr>
          <w:noProof/>
        </w:rPr>
        <w:t xml:space="preserve">. </w:t>
      </w:r>
      <w:r w:rsidRPr="00A61A06">
        <w:rPr>
          <w:noProof/>
        </w:rPr>
        <w:t>A tiered approach</w:t>
      </w:r>
      <w:r>
        <w:rPr>
          <w:noProof/>
        </w:rPr>
        <w:t xml:space="preserve"> allows </w:t>
      </w:r>
      <w:r w:rsidRPr="00A61A06">
        <w:rPr>
          <w:noProof/>
        </w:rPr>
        <w:t>different levels of methodological rigor depending on plant size and technical capacity,</w:t>
      </w:r>
      <w:r>
        <w:rPr>
          <w:noProof/>
        </w:rPr>
        <w:t xml:space="preserve"> while allowing to consider the different uncertainty levels of each methodology and various </w:t>
      </w:r>
      <w:r w:rsidRPr="003D3BB3">
        <w:rPr>
          <w:noProof/>
        </w:rPr>
        <w:t xml:space="preserve">technical, operational, and administrative </w:t>
      </w:r>
      <w:r>
        <w:rPr>
          <w:noProof/>
        </w:rPr>
        <w:t>considerations related</w:t>
      </w:r>
      <w:r w:rsidRPr="003D3BB3">
        <w:rPr>
          <w:noProof/>
        </w:rPr>
        <w:t xml:space="preserve"> to the variable nature of waste inputs</w:t>
      </w:r>
      <w:r>
        <w:rPr>
          <w:noProof/>
        </w:rPr>
        <w:t xml:space="preserve"> and</w:t>
      </w:r>
      <w:r w:rsidRPr="003D3BB3">
        <w:rPr>
          <w:noProof/>
        </w:rPr>
        <w:t xml:space="preserve"> the need to differentiate between fossil and biogenic carbon</w:t>
      </w:r>
      <w:r w:rsidRPr="00A61A06">
        <w:rPr>
          <w:noProof/>
        </w:rPr>
        <w:t>.</w:t>
      </w:r>
      <w:r>
        <w:rPr>
          <w:noProof/>
        </w:rPr>
        <w:t xml:space="preserve"> It will also be important to further align the </w:t>
      </w:r>
      <w:r w:rsidRPr="003D3BB3">
        <w:rPr>
          <w:noProof/>
        </w:rPr>
        <w:t>MRV with existing legislative frameworks such as the Industrial Emissions Directive</w:t>
      </w:r>
      <w:r w:rsidRPr="00FA29A5">
        <w:rPr>
          <w:noProof/>
        </w:rPr>
        <w:t xml:space="preserve"> to avoid duplication (for example, measurement equipment such as stack flow and CO</w:t>
      </w:r>
      <w:r w:rsidRPr="00032555">
        <w:rPr>
          <w:noProof/>
          <w:vertAlign w:val="subscript"/>
        </w:rPr>
        <w:t>2</w:t>
      </w:r>
      <w:r w:rsidRPr="00FA29A5">
        <w:rPr>
          <w:noProof/>
        </w:rPr>
        <w:t xml:space="preserve"> volumes) and minimise administrative costs</w:t>
      </w:r>
      <w:r w:rsidRPr="003D3BB3">
        <w:rPr>
          <w:noProof/>
        </w:rPr>
        <w:t>.</w:t>
      </w:r>
      <w:r>
        <w:rPr>
          <w:noProof/>
        </w:rPr>
        <w:t xml:space="preserve"> Standard methodologies</w:t>
      </w:r>
      <w:r w:rsidRPr="003D3BB3">
        <w:rPr>
          <w:noProof/>
        </w:rPr>
        <w:t xml:space="preserve"> </w:t>
      </w:r>
      <w:r>
        <w:rPr>
          <w:noProof/>
        </w:rPr>
        <w:t xml:space="preserve">and </w:t>
      </w:r>
      <w:r w:rsidRPr="003D3BB3">
        <w:rPr>
          <w:noProof/>
        </w:rPr>
        <w:t xml:space="preserve">harmonised guidance, flexible tiered methodologies and support mechanisms to ensure </w:t>
      </w:r>
      <w:r>
        <w:rPr>
          <w:noProof/>
        </w:rPr>
        <w:t>an</w:t>
      </w:r>
      <w:r w:rsidRPr="003D3BB3">
        <w:rPr>
          <w:noProof/>
        </w:rPr>
        <w:t xml:space="preserve"> accurate and manageable implementation across the sector</w:t>
      </w:r>
      <w:r>
        <w:rPr>
          <w:noProof/>
        </w:rPr>
        <w:t>, reducing the financial and logistical challenges for operators, for medium and small-size facilities</w:t>
      </w:r>
      <w:r w:rsidRPr="003D3BB3">
        <w:rPr>
          <w:noProof/>
        </w:rPr>
        <w:t xml:space="preserve">. It must be noted that the inclusion of hazardous and clinical </w:t>
      </w:r>
      <w:r>
        <w:rPr>
          <w:noProof/>
        </w:rPr>
        <w:t xml:space="preserve">waste </w:t>
      </w:r>
      <w:r w:rsidRPr="003D3BB3">
        <w:rPr>
          <w:noProof/>
        </w:rPr>
        <w:t xml:space="preserve">facilities may </w:t>
      </w:r>
      <w:r>
        <w:rPr>
          <w:noProof/>
        </w:rPr>
        <w:t xml:space="preserve">require a tailored approach, </w:t>
      </w:r>
      <w:r w:rsidRPr="003D3BB3">
        <w:rPr>
          <w:noProof/>
        </w:rPr>
        <w:t xml:space="preserve">given </w:t>
      </w:r>
      <w:r>
        <w:rPr>
          <w:noProof/>
        </w:rPr>
        <w:t xml:space="preserve">that </w:t>
      </w:r>
      <w:r w:rsidRPr="003D3BB3">
        <w:rPr>
          <w:noProof/>
        </w:rPr>
        <w:t xml:space="preserve">some </w:t>
      </w:r>
      <w:r>
        <w:rPr>
          <w:noProof/>
        </w:rPr>
        <w:t>measurement-based</w:t>
      </w:r>
      <w:r w:rsidRPr="003D3BB3">
        <w:rPr>
          <w:noProof/>
        </w:rPr>
        <w:t xml:space="preserve"> methods cannot or should not be applied</w:t>
      </w:r>
      <w:r>
        <w:rPr>
          <w:noProof/>
        </w:rPr>
        <w:t xml:space="preserve"> (see section 1.4.1. below)</w:t>
      </w:r>
      <w:r w:rsidRPr="003D3BB3">
        <w:rPr>
          <w:noProof/>
        </w:rPr>
        <w:t xml:space="preserve">. </w:t>
      </w:r>
    </w:p>
    <w:p w14:paraId="06B4AAE1" w14:textId="77777777" w:rsidR="009010D9" w:rsidRDefault="009010D9">
      <w:pPr>
        <w:rPr>
          <w:noProof/>
        </w:rPr>
      </w:pPr>
      <w:r>
        <w:rPr>
          <w:noProof/>
        </w:rPr>
        <w:t xml:space="preserve">Contrary to waste incineration, there are currently no established harmonised (measurement-based) MRV protocols in place or available in literature for methane emissions from landfills, and </w:t>
      </w:r>
      <w:r w:rsidRPr="00571493">
        <w:rPr>
          <w:noProof/>
        </w:rPr>
        <w:t xml:space="preserve">uncertainty in the quantification of methane emissions from waste </w:t>
      </w:r>
      <w:r>
        <w:rPr>
          <w:noProof/>
        </w:rPr>
        <w:t>remains high</w:t>
      </w:r>
      <w:r w:rsidRPr="00571493">
        <w:rPr>
          <w:noProof/>
        </w:rPr>
        <w:t xml:space="preserve">. </w:t>
      </w:r>
      <w:r>
        <w:rPr>
          <w:noProof/>
        </w:rPr>
        <w:t>Differently to emissions from incineration, methane generation at landfills is a biological activity, with emissions being diffuse, distributed</w:t>
      </w:r>
      <w:r w:rsidRPr="00EB35B1">
        <w:rPr>
          <w:noProof/>
        </w:rPr>
        <w:t xml:space="preserve"> over longer timeframes</w:t>
      </w:r>
      <w:r>
        <w:rPr>
          <w:noProof/>
        </w:rPr>
        <w:t xml:space="preserve"> and site-specific. These issues should be addressed by advancing MRV robust, harmonised MRV methodologies prior to considering carbon pricing to avoid unintended consequences. This process is expected to be complex and would need to take into account the different waste streams received across a large number of disposal sites, the decay period of biogenic waste in landfills and whether to cover only future emissions or also emissions from the decay of past disposal, and the different designs and LFG-capture possibilities of each site. While MRV approaches for landfilling could be based on calculations or measurements, the use of standardised emission factors can substantially over- or underestimate actual emissions and research gaps remain among others on the determination of national </w:t>
      </w:r>
      <w:r w:rsidRPr="005E5B40">
        <w:rPr>
          <w:noProof/>
        </w:rPr>
        <w:t>Degradable Organic Carbon</w:t>
      </w:r>
      <w:r>
        <w:rPr>
          <w:noProof/>
        </w:rPr>
        <w:t xml:space="preserve"> values, classification of waste fractions and interactions with pre-treatment processes. A measurement-based approach would contribute to increasing the accuracy of emissions data compared to the current data reported under the ESR and UNFCCC EU national inventory reports, which in turn would be important to ensure the environmental integrity of the EU ETS, but is more complex to develop and consistently apply. </w:t>
      </w:r>
    </w:p>
    <w:p w14:paraId="5C0C2EC9" w14:textId="77777777" w:rsidR="009010D9" w:rsidRDefault="009010D9">
      <w:pPr>
        <w:rPr>
          <w:noProof/>
        </w:rPr>
      </w:pPr>
      <w:r>
        <w:rPr>
          <w:noProof/>
        </w:rPr>
        <w:t xml:space="preserve">Appendix 3 discusses different measurement- and calculation-based methodologies available for waste incineration and landfill sites. The data on expected costs is sourced from the UK but is expected to be relatively transferable to the EU context. </w:t>
      </w:r>
      <w:r w:rsidRPr="003D3BB3">
        <w:rPr>
          <w:noProof/>
        </w:rPr>
        <w:t xml:space="preserve"> </w:t>
      </w:r>
    </w:p>
    <w:p w14:paraId="5A6BC5EF" w14:textId="77777777" w:rsidR="009010D9" w:rsidRPr="003D3BB3" w:rsidRDefault="009010D9" w:rsidP="002F3B20">
      <w:pPr>
        <w:pStyle w:val="Heading3COM"/>
        <w:outlineLvl w:val="3"/>
        <w:rPr>
          <w:noProof/>
        </w:rPr>
      </w:pPr>
      <w:bookmarkStart w:id="692" w:name="_Toc201648998"/>
      <w:bookmarkStart w:id="693" w:name="_Toc201649001"/>
      <w:bookmarkStart w:id="694" w:name="_Toc201754699"/>
      <w:bookmarkStart w:id="695" w:name="_Toc202193236"/>
      <w:bookmarkStart w:id="696" w:name="_Toc202193989"/>
      <w:bookmarkStart w:id="697" w:name="_Toc202199374"/>
      <w:bookmarkStart w:id="698" w:name="_Toc230861526"/>
      <w:bookmarkStart w:id="699" w:name="_Toc232751148"/>
      <w:bookmarkStart w:id="700" w:name="_Ref201672182"/>
      <w:bookmarkStart w:id="701" w:name="_Toc202199379"/>
      <w:bookmarkEnd w:id="692"/>
      <w:bookmarkEnd w:id="693"/>
      <w:bookmarkEnd w:id="694"/>
      <w:bookmarkEnd w:id="695"/>
      <w:bookmarkEnd w:id="696"/>
      <w:bookmarkEnd w:id="697"/>
      <w:r>
        <w:rPr>
          <w:noProof/>
        </w:rPr>
        <w:t>Threshold for inclusion</w:t>
      </w:r>
      <w:bookmarkEnd w:id="698"/>
      <w:bookmarkEnd w:id="699"/>
      <w:r>
        <w:rPr>
          <w:noProof/>
        </w:rPr>
        <w:t xml:space="preserve"> </w:t>
      </w:r>
      <w:bookmarkEnd w:id="700"/>
      <w:bookmarkEnd w:id="701"/>
    </w:p>
    <w:p w14:paraId="739557C2" w14:textId="77777777" w:rsidR="009010D9" w:rsidRDefault="009010D9">
      <w:pPr>
        <w:rPr>
          <w:noProof/>
        </w:rPr>
      </w:pPr>
      <w:r w:rsidRPr="003D3BB3">
        <w:rPr>
          <w:noProof/>
        </w:rPr>
        <w:t xml:space="preserve">The </w:t>
      </w:r>
      <w:r>
        <w:rPr>
          <w:noProof/>
        </w:rPr>
        <w:t xml:space="preserve">current </w:t>
      </w:r>
      <w:r w:rsidRPr="003D3BB3">
        <w:rPr>
          <w:noProof/>
        </w:rPr>
        <w:t xml:space="preserve">thermal input threshold for </w:t>
      </w:r>
      <w:r>
        <w:rPr>
          <w:noProof/>
        </w:rPr>
        <w:t xml:space="preserve">inclusion in the EU ETS is </w:t>
      </w:r>
      <w:r w:rsidRPr="003D3BB3">
        <w:rPr>
          <w:noProof/>
        </w:rPr>
        <w:t xml:space="preserve">20MW. </w:t>
      </w:r>
      <w:r>
        <w:rPr>
          <w:noProof/>
        </w:rPr>
        <w:t xml:space="preserve">However, unlike power generation and industrial process installations, the thermal input of a waste incinerator does not consistently correspond to its emissions or its scale of operation due to the varying composition of residual waste, affecting its energy content and fossil-carbon share. Reliance on a 20MW threshold could therefore lead to inconsistencies, where some installations with low throughput but high-calorific waste would be covered, while others with high throughput but lower-calorific waste may fall out of the scope. Similar considerations would apply for landfills. An inclusion of waste sector activities into the EU ETS therefore needs to carefully consider the potential threshold for the sector, considering the nature of waste as a feedstock, environmental integrity ensuring accurate, fair and effective coverage of emissions, avoidance of disproportionate impacts on small operators and minimising threshold effects leading to diversion to installations just below the threshold. These concerns were also consistently </w:t>
      </w:r>
      <w:r w:rsidRPr="004226CF">
        <w:rPr>
          <w:noProof/>
        </w:rPr>
        <w:t xml:space="preserve">highlighted during the stakeholder consultation by both business and NGO stakeholders from the waste sector. </w:t>
      </w:r>
      <w:r>
        <w:rPr>
          <w:noProof/>
        </w:rPr>
        <w:t>Three options for threshold setting for the waste incineration sector are explored below and the estimated impacts on installations and emissions covered are summarised in Table 4:</w:t>
      </w:r>
    </w:p>
    <w:p w14:paraId="4354A9EF" w14:textId="77777777" w:rsidR="009010D9" w:rsidRDefault="009010D9" w:rsidP="0018561F">
      <w:pPr>
        <w:pStyle w:val="ListParagraph"/>
        <w:numPr>
          <w:ilvl w:val="0"/>
          <w:numId w:val="58"/>
        </w:numPr>
        <w:spacing w:line="259" w:lineRule="auto"/>
        <w:rPr>
          <w:noProof/>
        </w:rPr>
      </w:pPr>
      <w:r w:rsidRPr="0012700B">
        <w:rPr>
          <w:b/>
          <w:bCs/>
          <w:noProof/>
        </w:rPr>
        <w:t>Thermal input threshold:</w:t>
      </w:r>
      <w:r>
        <w:rPr>
          <w:noProof/>
        </w:rPr>
        <w:t xml:space="preserve"> The EU ETS MRV obligation for MWI since 2024 as well as the German national emissions trading system covering waste incineration currently apply the general threshold of 20 MW. While no exact data is available on the share of installations and emissions falling below this threshold, an </w:t>
      </w:r>
      <w:r w:rsidRPr="00425882">
        <w:rPr>
          <w:noProof/>
        </w:rPr>
        <w:t>approximation can be made on the basis of the municipal waste-to-energy</w:t>
      </w:r>
      <w:r>
        <w:rPr>
          <w:noProof/>
        </w:rPr>
        <w:t xml:space="preserve"> </w:t>
      </w:r>
      <w:r w:rsidRPr="00425882">
        <w:rPr>
          <w:noProof/>
        </w:rPr>
        <w:t xml:space="preserve">installations in the </w:t>
      </w:r>
      <w:r>
        <w:rPr>
          <w:noProof/>
        </w:rPr>
        <w:t>EEA not reported under the MRV obligation in 2024 (see Appendix 1 for details), on the basis of which 53</w:t>
      </w:r>
      <w:r w:rsidRPr="00425882">
        <w:rPr>
          <w:noProof/>
        </w:rPr>
        <w:t xml:space="preserve"> </w:t>
      </w:r>
      <w:r>
        <w:rPr>
          <w:noProof/>
        </w:rPr>
        <w:t xml:space="preserve">installations were identified with </w:t>
      </w:r>
      <w:r w:rsidRPr="00425882">
        <w:rPr>
          <w:noProof/>
        </w:rPr>
        <w:t xml:space="preserve">total fossil-based emissions </w:t>
      </w:r>
      <w:r>
        <w:rPr>
          <w:noProof/>
        </w:rPr>
        <w:t xml:space="preserve">of maximum </w:t>
      </w:r>
      <w:r w:rsidRPr="00425882">
        <w:rPr>
          <w:noProof/>
        </w:rPr>
        <w:t>1.</w:t>
      </w:r>
      <w:r>
        <w:rPr>
          <w:noProof/>
        </w:rPr>
        <w:t>0</w:t>
      </w:r>
      <w:r w:rsidRPr="00425882">
        <w:rPr>
          <w:noProof/>
        </w:rPr>
        <w:t>5 MtCO2e</w:t>
      </w:r>
      <w:r w:rsidRPr="00425882">
        <w:rPr>
          <w:rStyle w:val="FootnoteReference"/>
          <w:noProof/>
        </w:rPr>
        <w:footnoteReference w:id="120"/>
      </w:r>
      <w:r w:rsidRPr="00425882">
        <w:rPr>
          <w:noProof/>
        </w:rPr>
        <w:t xml:space="preserve"> or an additional </w:t>
      </w:r>
      <w:r>
        <w:rPr>
          <w:noProof/>
        </w:rPr>
        <w:t>2.7</w:t>
      </w:r>
      <w:r w:rsidRPr="00425882">
        <w:rPr>
          <w:noProof/>
        </w:rPr>
        <w:t>% on top of the total reported emissions under the EU ETS MRV</w:t>
      </w:r>
      <w:r>
        <w:rPr>
          <w:noProof/>
        </w:rPr>
        <w:t>.</w:t>
      </w:r>
      <w:r w:rsidRPr="00425882">
        <w:rPr>
          <w:noProof/>
        </w:rPr>
        <w:t xml:space="preserve"> However, as highlighted above, a</w:t>
      </w:r>
      <w:r>
        <w:rPr>
          <w:noProof/>
        </w:rPr>
        <w:t>ny</w:t>
      </w:r>
      <w:r w:rsidRPr="00425882">
        <w:rPr>
          <w:noProof/>
        </w:rPr>
        <w:t xml:space="preserve"> thermal threshold carries several intrinsic challenges and inconsistencies in terms of</w:t>
      </w:r>
      <w:r>
        <w:rPr>
          <w:noProof/>
        </w:rPr>
        <w:t xml:space="preserve"> coverage in the waste sector. </w:t>
      </w:r>
    </w:p>
    <w:p w14:paraId="2208046D" w14:textId="77777777" w:rsidR="009010D9" w:rsidRDefault="009010D9" w:rsidP="0018561F">
      <w:pPr>
        <w:pStyle w:val="ListParagraph"/>
        <w:numPr>
          <w:ilvl w:val="0"/>
          <w:numId w:val="58"/>
        </w:numPr>
        <w:spacing w:line="259" w:lineRule="auto"/>
        <w:rPr>
          <w:noProof/>
        </w:rPr>
      </w:pPr>
      <w:r w:rsidRPr="00C35217">
        <w:rPr>
          <w:b/>
          <w:bCs/>
          <w:noProof/>
        </w:rPr>
        <w:t>No threshold:</w:t>
      </w:r>
      <w:r>
        <w:rPr>
          <w:noProof/>
        </w:rPr>
        <w:t xml:space="preserve"> Several stakeholders, both businesses and NGOs from across the waste management sector, proposed </w:t>
      </w:r>
      <w:r w:rsidRPr="003D3BB3">
        <w:rPr>
          <w:noProof/>
        </w:rPr>
        <w:t>the 20 MW thermal input threshold to be eliminated, and all incineration and energy from waste activities included</w:t>
      </w:r>
      <w:r>
        <w:rPr>
          <w:noProof/>
        </w:rPr>
        <w:t xml:space="preserve"> in principle. However, s</w:t>
      </w:r>
      <w:r w:rsidRPr="003D3BB3">
        <w:rPr>
          <w:noProof/>
        </w:rPr>
        <w:t xml:space="preserve">maller incinerators </w:t>
      </w:r>
      <w:r>
        <w:rPr>
          <w:noProof/>
        </w:rPr>
        <w:t>would be</w:t>
      </w:r>
      <w:r w:rsidRPr="003D3BB3">
        <w:rPr>
          <w:noProof/>
        </w:rPr>
        <w:t xml:space="preserve"> expected to fall under</w:t>
      </w:r>
      <w:r>
        <w:rPr>
          <w:noProof/>
        </w:rPr>
        <w:t xml:space="preserve"> the</w:t>
      </w:r>
      <w:r w:rsidRPr="003D3BB3">
        <w:rPr>
          <w:noProof/>
        </w:rPr>
        <w:t xml:space="preserve"> small or ultra small emitters</w:t>
      </w:r>
      <w:r>
        <w:rPr>
          <w:noProof/>
        </w:rPr>
        <w:t xml:space="preserve"> provisions in Articles 27 and 27a in the EU ETS</w:t>
      </w:r>
      <w:r w:rsidRPr="003D3BB3">
        <w:rPr>
          <w:noProof/>
        </w:rPr>
        <w:t xml:space="preserve"> and therefore could opt-out of the inclusion of the scheme and the surrender of allowances, although still subject to a monitoring plan. </w:t>
      </w:r>
      <w:r>
        <w:rPr>
          <w:noProof/>
        </w:rPr>
        <w:t xml:space="preserve">Out of </w:t>
      </w:r>
      <w:r w:rsidRPr="00425882">
        <w:rPr>
          <w:noProof/>
        </w:rPr>
        <w:t xml:space="preserve">411 </w:t>
      </w:r>
      <w:r>
        <w:rPr>
          <w:noProof/>
        </w:rPr>
        <w:t xml:space="preserve">municipal </w:t>
      </w:r>
      <w:r w:rsidRPr="00425882">
        <w:rPr>
          <w:noProof/>
        </w:rPr>
        <w:t>WtE</w:t>
      </w:r>
      <w:r>
        <w:rPr>
          <w:noProof/>
        </w:rPr>
        <w:t xml:space="preserve"> installations in the EU in 2022</w:t>
      </w:r>
      <w:r>
        <w:rPr>
          <w:rStyle w:val="FootnoteReference"/>
          <w:noProof/>
        </w:rPr>
        <w:footnoteReference w:id="121"/>
      </w:r>
      <w:r>
        <w:rPr>
          <w:noProof/>
        </w:rPr>
        <w:t xml:space="preserve">, 58 had a nominal capacity of 50.000 tonnes of waste or less per year, which (assuming a 50% fossil-based fraction) would each be expected to produce 25.000 or less tonnes of CO2e on annual basis. If their thermal threshold is below 35 MW, these would fall under the hospital and small emitter opt-out clause under Article 27. If producing less than 2.500 tonnes of CO2e on annual basis, they would fall under the ultra-small emitter opt-out clause under Article 27a of the EU ETS Directive. </w:t>
      </w:r>
    </w:p>
    <w:p w14:paraId="289E91D5" w14:textId="77777777" w:rsidR="009010D9" w:rsidRDefault="009010D9" w:rsidP="0018561F">
      <w:pPr>
        <w:pStyle w:val="ListParagraph"/>
        <w:numPr>
          <w:ilvl w:val="0"/>
          <w:numId w:val="58"/>
        </w:numPr>
        <w:spacing w:line="259" w:lineRule="auto"/>
        <w:rPr>
          <w:noProof/>
        </w:rPr>
      </w:pPr>
      <w:r w:rsidRPr="00680A4A">
        <w:rPr>
          <w:b/>
          <w:bCs/>
          <w:noProof/>
        </w:rPr>
        <w:t>Volume-based threshold:</w:t>
      </w:r>
      <w:r>
        <w:rPr>
          <w:noProof/>
        </w:rPr>
        <w:t xml:space="preserve"> An alternative</w:t>
      </w:r>
      <w:r w:rsidRPr="003D3BB3">
        <w:rPr>
          <w:noProof/>
        </w:rPr>
        <w:t xml:space="preserve"> approach </w:t>
      </w:r>
      <w:r>
        <w:rPr>
          <w:noProof/>
        </w:rPr>
        <w:t>could be based</w:t>
      </w:r>
      <w:r w:rsidRPr="003D3BB3">
        <w:rPr>
          <w:noProof/>
        </w:rPr>
        <w:t xml:space="preserve"> on waste capacity or waste throughput (tonnes per year)</w:t>
      </w:r>
      <w:r>
        <w:rPr>
          <w:noProof/>
        </w:rPr>
        <w:t>, more closely reflecting the specific characteristics of the sector.</w:t>
      </w:r>
      <w:r w:rsidRPr="003D3BB3">
        <w:rPr>
          <w:noProof/>
        </w:rPr>
        <w:t xml:space="preserve"> </w:t>
      </w:r>
      <w:r>
        <w:rPr>
          <w:noProof/>
        </w:rPr>
        <w:t>This approach was suggested by several stakeholders from the sector in the stakeholder consultation. T</w:t>
      </w:r>
      <w:r w:rsidRPr="00734964">
        <w:rPr>
          <w:noProof/>
        </w:rPr>
        <w:t>he design of the UK ETS scheme expansion to waste</w:t>
      </w:r>
      <w:r>
        <w:rPr>
          <w:noProof/>
        </w:rPr>
        <w:t xml:space="preserve"> is also proposing an alignment of entry criteria </w:t>
      </w:r>
      <w:r w:rsidRPr="00630BF3">
        <w:rPr>
          <w:noProof/>
        </w:rPr>
        <w:t xml:space="preserve">with the existing environmental permitting framework. As a result, the waste sector </w:t>
      </w:r>
      <w:r>
        <w:rPr>
          <w:noProof/>
        </w:rPr>
        <w:t>would be</w:t>
      </w:r>
      <w:r w:rsidRPr="00630BF3">
        <w:rPr>
          <w:noProof/>
        </w:rPr>
        <w:t xml:space="preserve"> expected to use tonnage-based thresholds, specifically three tonnes per hour of non-hazardous waste or ten tonnes per day of hazardous waste.</w:t>
      </w:r>
      <w:r>
        <w:rPr>
          <w:noProof/>
        </w:rPr>
        <w:t xml:space="preserve"> A similar approach could be followed under the EU ETS</w:t>
      </w:r>
      <w:r>
        <w:rPr>
          <w:rStyle w:val="FootnoteReference"/>
          <w:noProof/>
        </w:rPr>
        <w:footnoteReference w:id="122"/>
      </w:r>
      <w:r>
        <w:rPr>
          <w:noProof/>
        </w:rPr>
        <w:t xml:space="preserve">, which would result in 15 municipal WtE installations falling below this threshold, with maximum </w:t>
      </w:r>
      <w:r w:rsidRPr="00425882">
        <w:rPr>
          <w:noProof/>
        </w:rPr>
        <w:t xml:space="preserve">fossil-based emissions </w:t>
      </w:r>
      <w:r>
        <w:rPr>
          <w:noProof/>
        </w:rPr>
        <w:t xml:space="preserve">of </w:t>
      </w:r>
      <w:r w:rsidRPr="00425882">
        <w:rPr>
          <w:noProof/>
        </w:rPr>
        <w:t xml:space="preserve"> </w:t>
      </w:r>
      <w:r>
        <w:rPr>
          <w:noProof/>
        </w:rPr>
        <w:t>0.15</w:t>
      </w:r>
      <w:r w:rsidRPr="00425882">
        <w:rPr>
          <w:noProof/>
        </w:rPr>
        <w:t xml:space="preserve"> MtCO2e</w:t>
      </w:r>
      <w:r w:rsidRPr="00425882">
        <w:rPr>
          <w:rStyle w:val="FootnoteReference"/>
          <w:noProof/>
        </w:rPr>
        <w:footnoteReference w:id="123"/>
      </w:r>
      <w:r w:rsidRPr="00425882">
        <w:rPr>
          <w:noProof/>
        </w:rPr>
        <w:t xml:space="preserve"> or an additional </w:t>
      </w:r>
      <w:r>
        <w:rPr>
          <w:noProof/>
        </w:rPr>
        <w:t>0.5</w:t>
      </w:r>
      <w:r w:rsidRPr="00425882">
        <w:rPr>
          <w:noProof/>
        </w:rPr>
        <w:t>% on top of the total reported emissions under the EU ETS MRV</w:t>
      </w:r>
      <w:r>
        <w:rPr>
          <w:noProof/>
        </w:rPr>
        <w:t xml:space="preserve"> given</w:t>
      </w:r>
      <w:r w:rsidRPr="00425882">
        <w:rPr>
          <w:noProof/>
        </w:rPr>
        <w:t xml:space="preserve"> the limited capacity of these installations (see Appendix 1)</w:t>
      </w:r>
      <w:r>
        <w:rPr>
          <w:noProof/>
        </w:rPr>
        <w:t>. This is expected to be a slight overestimation due to being based on nominal instead of actual incineration volumes. The disadvantage is that</w:t>
      </w:r>
      <w:r w:rsidRPr="003D3BB3">
        <w:rPr>
          <w:noProof/>
        </w:rPr>
        <w:t xml:space="preserve"> </w:t>
      </w:r>
      <w:r>
        <w:rPr>
          <w:noProof/>
        </w:rPr>
        <w:t>a volume-based threshold</w:t>
      </w:r>
      <w:r w:rsidRPr="003D3BB3">
        <w:rPr>
          <w:noProof/>
        </w:rPr>
        <w:t xml:space="preserve"> is not necessarily associated with the total emissions and their impact, as this will depend on the</w:t>
      </w:r>
      <w:r>
        <w:rPr>
          <w:noProof/>
        </w:rPr>
        <w:t xml:space="preserve"> volume and composition of</w:t>
      </w:r>
      <w:r w:rsidRPr="003D3BB3">
        <w:rPr>
          <w:noProof/>
        </w:rPr>
        <w:t xml:space="preserve"> waste that is combusted in each facility.  </w:t>
      </w:r>
    </w:p>
    <w:p w14:paraId="664D4FC0" w14:textId="77777777" w:rsidR="009010D9" w:rsidRDefault="009010D9">
      <w:pPr>
        <w:spacing w:before="0"/>
        <w:rPr>
          <w:rFonts w:eastAsia="Calibri"/>
          <w:i/>
          <w:noProof/>
          <w:color w:val="auto"/>
          <w:sz w:val="22"/>
        </w:rPr>
      </w:pPr>
      <w:bookmarkStart w:id="702" w:name="_Toc222740718"/>
      <w:r>
        <w:rPr>
          <w:noProof/>
        </w:rPr>
        <w:br w:type="page"/>
      </w:r>
    </w:p>
    <w:p w14:paraId="3EF95B82" w14:textId="77777777" w:rsidR="009010D9" w:rsidRPr="00245BB8" w:rsidRDefault="009010D9" w:rsidP="00C92FA9">
      <w:pPr>
        <w:pStyle w:val="Tabletitle"/>
        <w:rPr>
          <w:noProof/>
        </w:rPr>
      </w:pPr>
      <w:bookmarkStart w:id="703" w:name="_Toc234435138"/>
      <w:r w:rsidRPr="00245BB8">
        <w:rPr>
          <w:noProof/>
        </w:rPr>
        <w:t>Options for threshold for inclusion of waste incineration installations in the EU ETS and estimated impact on installations covered and emissions excluded</w:t>
      </w:r>
      <w:bookmarkEnd w:id="702"/>
      <w:bookmarkEnd w:id="703"/>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2"/>
        <w:gridCol w:w="2660"/>
        <w:gridCol w:w="2085"/>
        <w:gridCol w:w="2373"/>
      </w:tblGrid>
      <w:tr w:rsidR="009010D9" w:rsidRPr="00680A4A" w14:paraId="63FF68AA" w14:textId="77777777">
        <w:trPr>
          <w:trHeight w:val="300"/>
        </w:trPr>
        <w:tc>
          <w:tcPr>
            <w:tcW w:w="2372" w:type="dxa"/>
            <w:tcBorders>
              <w:top w:val="single" w:sz="6" w:space="0" w:color="auto"/>
              <w:left w:val="single" w:sz="6" w:space="0" w:color="auto"/>
              <w:bottom w:val="single" w:sz="6" w:space="0" w:color="auto"/>
              <w:right w:val="single" w:sz="6" w:space="0" w:color="auto"/>
            </w:tcBorders>
            <w:hideMark/>
          </w:tcPr>
          <w:p w14:paraId="7F384D22" w14:textId="77777777" w:rsidR="009010D9" w:rsidRPr="005A20A8" w:rsidRDefault="009010D9">
            <w:pPr>
              <w:spacing w:before="0" w:after="0"/>
              <w:ind w:left="-299"/>
              <w:jc w:val="center"/>
              <w:textAlignment w:val="baseline"/>
              <w:rPr>
                <w:rFonts w:eastAsia="Times New Roman"/>
                <w:noProof/>
                <w:color w:val="auto"/>
                <w:sz w:val="22"/>
                <w:szCs w:val="22"/>
                <w:lang w:eastAsia="en-IE"/>
              </w:rPr>
            </w:pPr>
            <w:r w:rsidRPr="005A20A8">
              <w:rPr>
                <w:rFonts w:eastAsia="Times New Roman"/>
                <w:b/>
                <w:bCs/>
                <w:noProof/>
                <w:color w:val="auto"/>
                <w:sz w:val="22"/>
                <w:szCs w:val="22"/>
                <w:shd w:val="clear" w:color="auto" w:fill="FFFFFF"/>
                <w:lang w:eastAsia="en-IE"/>
              </w:rPr>
              <w:t>Threshold</w:t>
            </w:r>
            <w:r w:rsidRPr="005A20A8">
              <w:rPr>
                <w:rFonts w:eastAsia="Times New Roman"/>
                <w:noProof/>
                <w:color w:val="auto"/>
                <w:sz w:val="22"/>
                <w:szCs w:val="22"/>
                <w:lang w:eastAsia="en-IE"/>
              </w:rPr>
              <w:t> </w:t>
            </w:r>
          </w:p>
        </w:tc>
        <w:tc>
          <w:tcPr>
            <w:tcW w:w="2660" w:type="dxa"/>
            <w:tcBorders>
              <w:top w:val="single" w:sz="6" w:space="0" w:color="auto"/>
              <w:left w:val="single" w:sz="6" w:space="0" w:color="auto"/>
              <w:bottom w:val="single" w:sz="6" w:space="0" w:color="auto"/>
              <w:right w:val="single" w:sz="6" w:space="0" w:color="auto"/>
            </w:tcBorders>
          </w:tcPr>
          <w:p w14:paraId="2DF4196C" w14:textId="77777777" w:rsidR="009010D9" w:rsidRPr="005A20A8" w:rsidRDefault="009010D9">
            <w:pPr>
              <w:spacing w:before="0" w:after="0"/>
              <w:jc w:val="center"/>
              <w:textAlignment w:val="baseline"/>
              <w:rPr>
                <w:rFonts w:eastAsia="Times New Roman"/>
                <w:b/>
                <w:bCs/>
                <w:noProof/>
                <w:color w:val="auto"/>
                <w:sz w:val="22"/>
                <w:szCs w:val="22"/>
                <w:shd w:val="clear" w:color="auto" w:fill="FFFFFF"/>
                <w:lang w:eastAsia="en-IE"/>
              </w:rPr>
            </w:pPr>
            <w:r w:rsidRPr="005A20A8">
              <w:rPr>
                <w:rFonts w:eastAsia="Times New Roman"/>
                <w:b/>
                <w:bCs/>
                <w:noProof/>
                <w:color w:val="auto"/>
                <w:sz w:val="22"/>
                <w:szCs w:val="22"/>
                <w:shd w:val="clear" w:color="auto" w:fill="FFFFFF"/>
                <w:lang w:eastAsia="en-IE"/>
              </w:rPr>
              <w:t>Examples</w:t>
            </w:r>
          </w:p>
        </w:tc>
        <w:tc>
          <w:tcPr>
            <w:tcW w:w="2085" w:type="dxa"/>
            <w:tcBorders>
              <w:top w:val="single" w:sz="6" w:space="0" w:color="auto"/>
              <w:left w:val="single" w:sz="6" w:space="0" w:color="auto"/>
              <w:bottom w:val="single" w:sz="6" w:space="0" w:color="auto"/>
              <w:right w:val="single" w:sz="6" w:space="0" w:color="auto"/>
            </w:tcBorders>
            <w:hideMark/>
          </w:tcPr>
          <w:p w14:paraId="088018AF" w14:textId="77777777" w:rsidR="009010D9" w:rsidRPr="005A20A8" w:rsidRDefault="009010D9">
            <w:pPr>
              <w:spacing w:before="0" w:after="0"/>
              <w:jc w:val="center"/>
              <w:textAlignment w:val="baseline"/>
              <w:rPr>
                <w:rFonts w:eastAsia="Times New Roman"/>
                <w:noProof/>
                <w:color w:val="auto"/>
                <w:sz w:val="22"/>
                <w:szCs w:val="22"/>
                <w:lang w:eastAsia="en-IE"/>
              </w:rPr>
            </w:pPr>
            <w:r w:rsidRPr="005A20A8">
              <w:rPr>
                <w:rFonts w:eastAsia="Times New Roman"/>
                <w:b/>
                <w:bCs/>
                <w:noProof/>
                <w:color w:val="auto"/>
                <w:sz w:val="22"/>
                <w:szCs w:val="22"/>
                <w:shd w:val="clear" w:color="auto" w:fill="FFFFFF"/>
                <w:lang w:eastAsia="en-IE"/>
              </w:rPr>
              <w:t>Estimated installations excluded (N)</w:t>
            </w:r>
          </w:p>
        </w:tc>
        <w:tc>
          <w:tcPr>
            <w:tcW w:w="2373" w:type="dxa"/>
            <w:tcBorders>
              <w:top w:val="single" w:sz="6" w:space="0" w:color="auto"/>
              <w:left w:val="single" w:sz="6" w:space="0" w:color="auto"/>
              <w:bottom w:val="single" w:sz="6" w:space="0" w:color="auto"/>
              <w:right w:val="single" w:sz="6" w:space="0" w:color="auto"/>
            </w:tcBorders>
            <w:hideMark/>
          </w:tcPr>
          <w:p w14:paraId="353F99E3" w14:textId="77777777" w:rsidR="009010D9" w:rsidRPr="005A20A8" w:rsidRDefault="009010D9">
            <w:pPr>
              <w:spacing w:before="0" w:after="0"/>
              <w:jc w:val="center"/>
              <w:textAlignment w:val="baseline"/>
              <w:rPr>
                <w:rFonts w:eastAsia="Times New Roman"/>
                <w:noProof/>
                <w:color w:val="auto"/>
                <w:sz w:val="22"/>
                <w:szCs w:val="22"/>
                <w:lang w:eastAsia="en-IE"/>
              </w:rPr>
            </w:pPr>
            <w:r w:rsidRPr="005A20A8">
              <w:rPr>
                <w:rFonts w:eastAsia="Times New Roman"/>
                <w:b/>
                <w:bCs/>
                <w:noProof/>
                <w:color w:val="auto"/>
                <w:sz w:val="22"/>
                <w:szCs w:val="22"/>
                <w:shd w:val="clear" w:color="auto" w:fill="FFFFFF"/>
                <w:lang w:eastAsia="en-IE"/>
              </w:rPr>
              <w:t>Estimated emissions excluded under the threshold (N and %)</w:t>
            </w:r>
          </w:p>
        </w:tc>
      </w:tr>
      <w:tr w:rsidR="009010D9" w:rsidRPr="00680A4A" w14:paraId="477814EE" w14:textId="77777777">
        <w:trPr>
          <w:trHeight w:val="300"/>
        </w:trPr>
        <w:tc>
          <w:tcPr>
            <w:tcW w:w="2372" w:type="dxa"/>
            <w:tcBorders>
              <w:top w:val="single" w:sz="6" w:space="0" w:color="auto"/>
              <w:left w:val="single" w:sz="6" w:space="0" w:color="auto"/>
              <w:bottom w:val="single" w:sz="6" w:space="0" w:color="auto"/>
              <w:right w:val="single" w:sz="6" w:space="0" w:color="auto"/>
            </w:tcBorders>
            <w:hideMark/>
          </w:tcPr>
          <w:p w14:paraId="585F1B5F" w14:textId="77777777" w:rsidR="009010D9" w:rsidRPr="005A20A8" w:rsidRDefault="009010D9">
            <w:pPr>
              <w:spacing w:before="0" w:after="0"/>
              <w:jc w:val="left"/>
              <w:textAlignment w:val="baseline"/>
              <w:rPr>
                <w:rFonts w:eastAsia="Times New Roman"/>
                <w:noProof/>
                <w:color w:val="auto"/>
                <w:sz w:val="22"/>
                <w:szCs w:val="22"/>
                <w:lang w:val="fr-BE" w:eastAsia="en-IE"/>
              </w:rPr>
            </w:pPr>
            <w:r w:rsidRPr="005A20A8">
              <w:rPr>
                <w:rFonts w:eastAsia="Times New Roman"/>
                <w:b/>
                <w:bCs/>
                <w:noProof/>
                <w:color w:val="auto"/>
                <w:sz w:val="22"/>
                <w:szCs w:val="22"/>
                <w:shd w:val="clear" w:color="auto" w:fill="FFFFFF"/>
                <w:lang w:val="fr-BE" w:eastAsia="en-IE"/>
              </w:rPr>
              <w:t>20MW</w:t>
            </w:r>
            <w:r w:rsidRPr="005A20A8">
              <w:rPr>
                <w:rFonts w:eastAsia="Times New Roman"/>
                <w:noProof/>
                <w:color w:val="auto"/>
                <w:sz w:val="22"/>
                <w:szCs w:val="22"/>
                <w:shd w:val="clear" w:color="auto" w:fill="FFFFFF"/>
                <w:lang w:val="fr-BE" w:eastAsia="en-IE"/>
              </w:rPr>
              <w:t> (cf. EU ETS, German ETS)</w:t>
            </w:r>
            <w:r w:rsidRPr="005A20A8">
              <w:rPr>
                <w:rFonts w:eastAsia="Times New Roman"/>
                <w:noProof/>
                <w:color w:val="auto"/>
                <w:sz w:val="22"/>
                <w:szCs w:val="22"/>
                <w:lang w:val="fr-BE" w:eastAsia="en-IE"/>
              </w:rPr>
              <w:t> </w:t>
            </w:r>
          </w:p>
          <w:p w14:paraId="53A9EEA4" w14:textId="77777777" w:rsidR="009010D9" w:rsidRPr="005A20A8" w:rsidRDefault="009010D9">
            <w:pPr>
              <w:spacing w:before="0" w:after="0"/>
              <w:jc w:val="left"/>
              <w:textAlignment w:val="baseline"/>
              <w:rPr>
                <w:rFonts w:eastAsia="Times New Roman"/>
                <w:noProof/>
                <w:color w:val="auto"/>
                <w:sz w:val="22"/>
                <w:szCs w:val="22"/>
                <w:lang w:eastAsia="en-IE"/>
              </w:rPr>
            </w:pPr>
            <w:r w:rsidRPr="005A20A8">
              <w:rPr>
                <w:rFonts w:eastAsia="Times New Roman"/>
                <w:i/>
                <w:iCs/>
                <w:noProof/>
                <w:color w:val="auto"/>
                <w:sz w:val="22"/>
                <w:szCs w:val="22"/>
                <w:shd w:val="clear" w:color="auto" w:fill="FFFFFF"/>
                <w:lang w:val="fr-BE" w:eastAsia="en-IE"/>
              </w:rPr>
              <w:t>(~71.500 tpa)</w:t>
            </w:r>
            <w:r w:rsidRPr="005A20A8">
              <w:rPr>
                <w:rFonts w:eastAsia="Times New Roman"/>
                <w:noProof/>
                <w:color w:val="auto"/>
                <w:sz w:val="22"/>
                <w:szCs w:val="22"/>
                <w:lang w:eastAsia="en-IE"/>
              </w:rPr>
              <w:t> </w:t>
            </w:r>
          </w:p>
        </w:tc>
        <w:tc>
          <w:tcPr>
            <w:tcW w:w="2660" w:type="dxa"/>
            <w:tcBorders>
              <w:top w:val="single" w:sz="6" w:space="0" w:color="auto"/>
              <w:left w:val="single" w:sz="6" w:space="0" w:color="auto"/>
              <w:bottom w:val="single" w:sz="6" w:space="0" w:color="auto"/>
              <w:right w:val="single" w:sz="6" w:space="0" w:color="auto"/>
            </w:tcBorders>
          </w:tcPr>
          <w:p w14:paraId="3934EF55" w14:textId="77777777" w:rsidR="009010D9" w:rsidRPr="005A20A8" w:rsidRDefault="009010D9">
            <w:pPr>
              <w:spacing w:before="0" w:after="0"/>
              <w:textAlignment w:val="baseline"/>
              <w:rPr>
                <w:rFonts w:eastAsia="Times New Roman"/>
                <w:noProof/>
                <w:color w:val="auto"/>
                <w:sz w:val="22"/>
                <w:szCs w:val="22"/>
                <w:shd w:val="clear" w:color="auto" w:fill="FFFFFF"/>
                <w:lang w:eastAsia="en-IE"/>
              </w:rPr>
            </w:pPr>
            <w:r w:rsidRPr="005A20A8">
              <w:rPr>
                <w:rFonts w:eastAsia="Times New Roman"/>
                <w:noProof/>
                <w:color w:val="auto"/>
                <w:sz w:val="22"/>
                <w:szCs w:val="22"/>
                <w:shd w:val="clear" w:color="auto" w:fill="FFFFFF"/>
                <w:lang w:eastAsia="en-IE"/>
              </w:rPr>
              <w:t>EU ETS for stationary installations; German ETS for MWI installations</w:t>
            </w:r>
          </w:p>
        </w:tc>
        <w:tc>
          <w:tcPr>
            <w:tcW w:w="2085" w:type="dxa"/>
            <w:tcBorders>
              <w:top w:val="single" w:sz="6" w:space="0" w:color="auto"/>
              <w:left w:val="single" w:sz="6" w:space="0" w:color="auto"/>
              <w:bottom w:val="single" w:sz="6" w:space="0" w:color="auto"/>
              <w:right w:val="single" w:sz="6" w:space="0" w:color="auto"/>
            </w:tcBorders>
            <w:hideMark/>
          </w:tcPr>
          <w:p w14:paraId="3ECE5CFB" w14:textId="77777777" w:rsidR="009010D9" w:rsidRPr="005A20A8" w:rsidRDefault="009010D9">
            <w:pPr>
              <w:spacing w:before="0" w:after="0"/>
              <w:jc w:val="center"/>
              <w:textAlignment w:val="baseline"/>
              <w:rPr>
                <w:rFonts w:eastAsia="Times New Roman"/>
                <w:noProof/>
                <w:color w:val="auto"/>
                <w:sz w:val="22"/>
                <w:szCs w:val="22"/>
                <w:lang w:eastAsia="en-IE"/>
              </w:rPr>
            </w:pPr>
            <w:r>
              <w:rPr>
                <w:rFonts w:eastAsia="Times New Roman"/>
                <w:noProof/>
                <w:color w:val="auto"/>
                <w:sz w:val="22"/>
                <w:szCs w:val="22"/>
                <w:shd w:val="clear" w:color="auto" w:fill="FFFFFF"/>
                <w:lang w:eastAsia="en-IE"/>
              </w:rPr>
              <w:t>≤ 53</w:t>
            </w:r>
          </w:p>
        </w:tc>
        <w:tc>
          <w:tcPr>
            <w:tcW w:w="2373" w:type="dxa"/>
            <w:tcBorders>
              <w:top w:val="single" w:sz="6" w:space="0" w:color="auto"/>
              <w:left w:val="single" w:sz="6" w:space="0" w:color="auto"/>
              <w:bottom w:val="single" w:sz="6" w:space="0" w:color="auto"/>
              <w:right w:val="single" w:sz="6" w:space="0" w:color="auto"/>
            </w:tcBorders>
            <w:hideMark/>
          </w:tcPr>
          <w:p w14:paraId="0DD1DF81" w14:textId="77777777" w:rsidR="009010D9" w:rsidRPr="005A20A8" w:rsidRDefault="009010D9">
            <w:pPr>
              <w:spacing w:before="0" w:after="0"/>
              <w:jc w:val="center"/>
              <w:textAlignment w:val="baseline"/>
              <w:rPr>
                <w:rFonts w:eastAsia="Times New Roman"/>
                <w:noProof/>
                <w:color w:val="auto"/>
                <w:sz w:val="22"/>
                <w:szCs w:val="22"/>
                <w:lang w:eastAsia="en-IE"/>
              </w:rPr>
            </w:pPr>
            <w:r>
              <w:rPr>
                <w:rFonts w:eastAsia="Times New Roman"/>
                <w:noProof/>
                <w:color w:val="auto"/>
                <w:sz w:val="22"/>
                <w:szCs w:val="22"/>
                <w:shd w:val="clear" w:color="auto" w:fill="FFFFFF"/>
                <w:lang w:eastAsia="en-IE"/>
              </w:rPr>
              <w:t xml:space="preserve">≤ </w:t>
            </w:r>
            <w:r w:rsidRPr="005A20A8">
              <w:rPr>
                <w:rFonts w:eastAsia="Times New Roman"/>
                <w:noProof/>
                <w:color w:val="auto"/>
                <w:sz w:val="22"/>
                <w:szCs w:val="22"/>
                <w:shd w:val="clear" w:color="auto" w:fill="FFFFFF"/>
                <w:lang w:eastAsia="en-IE"/>
              </w:rPr>
              <w:t>1.</w:t>
            </w:r>
            <w:r>
              <w:rPr>
                <w:rFonts w:eastAsia="Times New Roman"/>
                <w:noProof/>
                <w:color w:val="auto"/>
                <w:sz w:val="22"/>
                <w:szCs w:val="22"/>
                <w:shd w:val="clear" w:color="auto" w:fill="FFFFFF"/>
                <w:lang w:eastAsia="en-IE"/>
              </w:rPr>
              <w:t>0</w:t>
            </w:r>
            <w:r w:rsidRPr="005A20A8">
              <w:rPr>
                <w:rFonts w:eastAsia="Times New Roman"/>
                <w:noProof/>
                <w:color w:val="auto"/>
                <w:sz w:val="22"/>
                <w:szCs w:val="22"/>
                <w:shd w:val="clear" w:color="auto" w:fill="FFFFFF"/>
                <w:lang w:eastAsia="en-IE"/>
              </w:rPr>
              <w:t>5 MtCO2e (</w:t>
            </w:r>
            <w:r>
              <w:rPr>
                <w:rFonts w:eastAsia="Times New Roman"/>
                <w:noProof/>
                <w:color w:val="auto"/>
                <w:sz w:val="22"/>
                <w:szCs w:val="22"/>
                <w:shd w:val="clear" w:color="auto" w:fill="FFFFFF"/>
                <w:lang w:eastAsia="en-IE"/>
              </w:rPr>
              <w:t>2.7</w:t>
            </w:r>
            <w:r w:rsidRPr="005A20A8">
              <w:rPr>
                <w:rFonts w:eastAsia="Times New Roman"/>
                <w:noProof/>
                <w:color w:val="auto"/>
                <w:sz w:val="22"/>
                <w:szCs w:val="22"/>
                <w:shd w:val="clear" w:color="auto" w:fill="FFFFFF"/>
                <w:lang w:eastAsia="en-IE"/>
              </w:rPr>
              <w:t>%)</w:t>
            </w:r>
          </w:p>
        </w:tc>
      </w:tr>
      <w:tr w:rsidR="009010D9" w:rsidRPr="00680A4A" w14:paraId="2F15CC93" w14:textId="77777777">
        <w:trPr>
          <w:trHeight w:val="300"/>
        </w:trPr>
        <w:tc>
          <w:tcPr>
            <w:tcW w:w="2372" w:type="dxa"/>
            <w:tcBorders>
              <w:top w:val="single" w:sz="6" w:space="0" w:color="auto"/>
              <w:left w:val="single" w:sz="6" w:space="0" w:color="auto"/>
              <w:bottom w:val="single" w:sz="6" w:space="0" w:color="auto"/>
              <w:right w:val="single" w:sz="6" w:space="0" w:color="auto"/>
            </w:tcBorders>
            <w:hideMark/>
          </w:tcPr>
          <w:p w14:paraId="64C7C9B9" w14:textId="77777777" w:rsidR="009010D9" w:rsidRPr="005A20A8" w:rsidRDefault="009010D9">
            <w:pPr>
              <w:spacing w:before="0" w:after="0"/>
              <w:jc w:val="left"/>
              <w:textAlignment w:val="baseline"/>
              <w:rPr>
                <w:rFonts w:eastAsia="Times New Roman"/>
                <w:noProof/>
                <w:color w:val="auto"/>
                <w:sz w:val="22"/>
                <w:szCs w:val="22"/>
                <w:lang w:eastAsia="en-IE"/>
              </w:rPr>
            </w:pPr>
            <w:r w:rsidRPr="005A20A8">
              <w:rPr>
                <w:rFonts w:eastAsia="Times New Roman"/>
                <w:b/>
                <w:bCs/>
                <w:noProof/>
                <w:color w:val="auto"/>
                <w:sz w:val="22"/>
                <w:szCs w:val="22"/>
                <w:shd w:val="clear" w:color="auto" w:fill="FFFFFF"/>
                <w:lang w:eastAsia="en-IE"/>
              </w:rPr>
              <w:t>No threshold</w:t>
            </w:r>
            <w:r w:rsidRPr="005A20A8">
              <w:rPr>
                <w:rFonts w:eastAsia="Times New Roman"/>
                <w:noProof/>
                <w:color w:val="auto"/>
                <w:sz w:val="22"/>
                <w:szCs w:val="22"/>
                <w:lang w:eastAsia="en-IE"/>
              </w:rPr>
              <w:t> </w:t>
            </w:r>
          </w:p>
        </w:tc>
        <w:tc>
          <w:tcPr>
            <w:tcW w:w="2660" w:type="dxa"/>
            <w:tcBorders>
              <w:top w:val="single" w:sz="6" w:space="0" w:color="auto"/>
              <w:left w:val="single" w:sz="6" w:space="0" w:color="auto"/>
              <w:bottom w:val="single" w:sz="6" w:space="0" w:color="auto"/>
              <w:right w:val="single" w:sz="6" w:space="0" w:color="auto"/>
            </w:tcBorders>
          </w:tcPr>
          <w:p w14:paraId="5F92A130" w14:textId="77777777" w:rsidR="009010D9" w:rsidRPr="005A20A8" w:rsidRDefault="009010D9">
            <w:pPr>
              <w:spacing w:before="0" w:after="0"/>
              <w:textAlignment w:val="baseline"/>
              <w:rPr>
                <w:rFonts w:eastAsia="Times New Roman"/>
                <w:noProof/>
                <w:color w:val="auto"/>
                <w:sz w:val="22"/>
                <w:szCs w:val="22"/>
                <w:shd w:val="clear" w:color="auto" w:fill="FFFFFF"/>
                <w:lang w:eastAsia="en-IE"/>
              </w:rPr>
            </w:pPr>
          </w:p>
        </w:tc>
        <w:tc>
          <w:tcPr>
            <w:tcW w:w="2085" w:type="dxa"/>
            <w:tcBorders>
              <w:top w:val="single" w:sz="6" w:space="0" w:color="auto"/>
              <w:left w:val="single" w:sz="6" w:space="0" w:color="auto"/>
              <w:bottom w:val="single" w:sz="6" w:space="0" w:color="auto"/>
              <w:right w:val="single" w:sz="6" w:space="0" w:color="auto"/>
            </w:tcBorders>
            <w:hideMark/>
          </w:tcPr>
          <w:p w14:paraId="173E8642" w14:textId="77777777" w:rsidR="009010D9" w:rsidRPr="005A20A8" w:rsidRDefault="009010D9">
            <w:pPr>
              <w:spacing w:before="0" w:after="0"/>
              <w:jc w:val="center"/>
              <w:textAlignment w:val="baseline"/>
              <w:rPr>
                <w:rFonts w:eastAsia="Times New Roman"/>
                <w:noProof/>
                <w:color w:val="auto"/>
                <w:sz w:val="22"/>
                <w:szCs w:val="22"/>
                <w:lang w:eastAsia="en-IE"/>
              </w:rPr>
            </w:pPr>
            <w:r w:rsidRPr="005A20A8">
              <w:rPr>
                <w:rFonts w:eastAsia="Times New Roman"/>
                <w:noProof/>
                <w:color w:val="auto"/>
                <w:sz w:val="22"/>
                <w:szCs w:val="22"/>
                <w:shd w:val="clear" w:color="auto" w:fill="FFFFFF"/>
                <w:lang w:eastAsia="en-IE"/>
              </w:rPr>
              <w:t>0</w:t>
            </w:r>
          </w:p>
        </w:tc>
        <w:tc>
          <w:tcPr>
            <w:tcW w:w="2373" w:type="dxa"/>
            <w:tcBorders>
              <w:top w:val="single" w:sz="6" w:space="0" w:color="auto"/>
              <w:left w:val="single" w:sz="6" w:space="0" w:color="auto"/>
              <w:bottom w:val="single" w:sz="6" w:space="0" w:color="auto"/>
              <w:right w:val="single" w:sz="6" w:space="0" w:color="auto"/>
            </w:tcBorders>
            <w:hideMark/>
          </w:tcPr>
          <w:p w14:paraId="54B140F5" w14:textId="77777777" w:rsidR="009010D9" w:rsidRPr="005A20A8" w:rsidRDefault="009010D9">
            <w:pPr>
              <w:spacing w:before="0" w:after="0"/>
              <w:jc w:val="center"/>
              <w:textAlignment w:val="baseline"/>
              <w:rPr>
                <w:rFonts w:eastAsia="Times New Roman"/>
                <w:noProof/>
                <w:color w:val="auto"/>
                <w:sz w:val="22"/>
                <w:szCs w:val="22"/>
                <w:lang w:eastAsia="en-IE"/>
              </w:rPr>
            </w:pPr>
            <w:r w:rsidRPr="005A20A8">
              <w:rPr>
                <w:rFonts w:eastAsia="Times New Roman"/>
                <w:noProof/>
                <w:color w:val="auto"/>
                <w:sz w:val="22"/>
                <w:szCs w:val="22"/>
                <w:shd w:val="clear" w:color="auto" w:fill="FFFFFF"/>
                <w:lang w:eastAsia="en-IE"/>
              </w:rPr>
              <w:t>0</w:t>
            </w:r>
          </w:p>
        </w:tc>
      </w:tr>
      <w:tr w:rsidR="009010D9" w:rsidRPr="00680A4A" w14:paraId="25F8074F" w14:textId="77777777">
        <w:trPr>
          <w:trHeight w:val="300"/>
        </w:trPr>
        <w:tc>
          <w:tcPr>
            <w:tcW w:w="2372" w:type="dxa"/>
            <w:tcBorders>
              <w:top w:val="single" w:sz="6" w:space="0" w:color="auto"/>
              <w:left w:val="single" w:sz="6" w:space="0" w:color="auto"/>
              <w:bottom w:val="single" w:sz="6" w:space="0" w:color="auto"/>
              <w:right w:val="single" w:sz="6" w:space="0" w:color="auto"/>
            </w:tcBorders>
            <w:hideMark/>
          </w:tcPr>
          <w:p w14:paraId="7255E782" w14:textId="77777777" w:rsidR="009010D9" w:rsidRPr="005A20A8" w:rsidRDefault="009010D9">
            <w:pPr>
              <w:spacing w:before="0" w:after="0"/>
              <w:jc w:val="left"/>
              <w:textAlignment w:val="baseline"/>
              <w:rPr>
                <w:rFonts w:eastAsia="Times New Roman"/>
                <w:noProof/>
                <w:color w:val="auto"/>
                <w:sz w:val="22"/>
                <w:szCs w:val="22"/>
                <w:lang w:eastAsia="en-IE"/>
              </w:rPr>
            </w:pPr>
            <w:r w:rsidRPr="005A20A8">
              <w:rPr>
                <w:rFonts w:eastAsia="Times New Roman"/>
                <w:b/>
                <w:bCs/>
                <w:noProof/>
                <w:color w:val="auto"/>
                <w:sz w:val="22"/>
                <w:szCs w:val="22"/>
                <w:shd w:val="clear" w:color="auto" w:fill="FFFFFF"/>
                <w:lang w:eastAsia="en-IE"/>
              </w:rPr>
              <w:t>Volume-based threshold of 3tph </w:t>
            </w:r>
            <w:r w:rsidRPr="005A20A8">
              <w:rPr>
                <w:rFonts w:eastAsia="Times New Roman"/>
                <w:i/>
                <w:iCs/>
                <w:noProof/>
                <w:color w:val="auto"/>
                <w:sz w:val="22"/>
                <w:szCs w:val="22"/>
                <w:shd w:val="clear" w:color="auto" w:fill="FFFFFF"/>
                <w:lang w:eastAsia="en-IE"/>
              </w:rPr>
              <w:t>(~ 26.280tpa)</w:t>
            </w:r>
            <w:r w:rsidRPr="005A20A8">
              <w:rPr>
                <w:rFonts w:eastAsia="Times New Roman"/>
                <w:b/>
                <w:bCs/>
                <w:i/>
                <w:iCs/>
                <w:noProof/>
                <w:color w:val="auto"/>
                <w:sz w:val="22"/>
                <w:szCs w:val="22"/>
                <w:shd w:val="clear" w:color="auto" w:fill="FFFFFF"/>
                <w:lang w:eastAsia="en-IE"/>
              </w:rPr>
              <w:t>  </w:t>
            </w:r>
            <w:r w:rsidRPr="005A20A8">
              <w:rPr>
                <w:rFonts w:eastAsia="Times New Roman"/>
                <w:noProof/>
                <w:color w:val="auto"/>
                <w:sz w:val="22"/>
                <w:szCs w:val="22"/>
                <w:lang w:eastAsia="en-IE"/>
              </w:rPr>
              <w:t> </w:t>
            </w:r>
          </w:p>
        </w:tc>
        <w:tc>
          <w:tcPr>
            <w:tcW w:w="2660" w:type="dxa"/>
            <w:tcBorders>
              <w:top w:val="single" w:sz="6" w:space="0" w:color="auto"/>
              <w:left w:val="single" w:sz="6" w:space="0" w:color="auto"/>
              <w:bottom w:val="single" w:sz="6" w:space="0" w:color="auto"/>
              <w:right w:val="single" w:sz="6" w:space="0" w:color="auto"/>
            </w:tcBorders>
          </w:tcPr>
          <w:p w14:paraId="649F6AB3" w14:textId="77777777" w:rsidR="009010D9" w:rsidRPr="005A20A8" w:rsidRDefault="009010D9">
            <w:pPr>
              <w:spacing w:before="0" w:after="0"/>
              <w:textAlignment w:val="baseline"/>
              <w:rPr>
                <w:rFonts w:eastAsia="Times New Roman"/>
                <w:noProof/>
                <w:color w:val="auto"/>
                <w:sz w:val="22"/>
                <w:szCs w:val="22"/>
                <w:shd w:val="clear" w:color="auto" w:fill="FFFFFF"/>
                <w:lang w:eastAsia="en-IE"/>
              </w:rPr>
            </w:pPr>
            <w:r w:rsidRPr="005A20A8">
              <w:rPr>
                <w:rFonts w:eastAsia="Times New Roman"/>
                <w:noProof/>
                <w:color w:val="auto"/>
                <w:sz w:val="22"/>
                <w:szCs w:val="22"/>
                <w:shd w:val="clear" w:color="auto" w:fill="FFFFFF"/>
                <w:lang w:eastAsia="en-IE"/>
              </w:rPr>
              <w:t>Industrial Emissions Directive threshold for environmental permit for MWI; UK ETS threshold for voluntary MRV for MWI</w:t>
            </w:r>
          </w:p>
        </w:tc>
        <w:tc>
          <w:tcPr>
            <w:tcW w:w="2085" w:type="dxa"/>
            <w:tcBorders>
              <w:top w:val="single" w:sz="6" w:space="0" w:color="auto"/>
              <w:left w:val="single" w:sz="6" w:space="0" w:color="auto"/>
              <w:bottom w:val="single" w:sz="6" w:space="0" w:color="auto"/>
              <w:right w:val="single" w:sz="6" w:space="0" w:color="auto"/>
            </w:tcBorders>
            <w:hideMark/>
          </w:tcPr>
          <w:p w14:paraId="52CD3443" w14:textId="77777777" w:rsidR="009010D9" w:rsidRPr="005A20A8" w:rsidRDefault="009010D9">
            <w:pPr>
              <w:spacing w:before="0" w:after="0"/>
              <w:jc w:val="center"/>
              <w:textAlignment w:val="baseline"/>
              <w:rPr>
                <w:rFonts w:eastAsia="Times New Roman"/>
                <w:noProof/>
                <w:color w:val="auto"/>
                <w:sz w:val="22"/>
                <w:szCs w:val="22"/>
                <w:lang w:eastAsia="en-IE"/>
              </w:rPr>
            </w:pPr>
            <w:r>
              <w:rPr>
                <w:rFonts w:eastAsia="Times New Roman"/>
                <w:noProof/>
                <w:color w:val="auto"/>
                <w:sz w:val="22"/>
                <w:szCs w:val="22"/>
                <w:shd w:val="clear" w:color="auto" w:fill="FFFFFF"/>
                <w:lang w:eastAsia="en-IE"/>
              </w:rPr>
              <w:t xml:space="preserve">≤ </w:t>
            </w:r>
            <w:r w:rsidRPr="005A20A8">
              <w:rPr>
                <w:rFonts w:eastAsia="Times New Roman"/>
                <w:noProof/>
                <w:color w:val="auto"/>
                <w:sz w:val="22"/>
                <w:szCs w:val="22"/>
                <w:shd w:val="clear" w:color="auto" w:fill="FFFFFF"/>
                <w:lang w:eastAsia="en-IE"/>
              </w:rPr>
              <w:t>1</w:t>
            </w:r>
            <w:r>
              <w:rPr>
                <w:rFonts w:eastAsia="Times New Roman"/>
                <w:noProof/>
                <w:color w:val="auto"/>
                <w:sz w:val="22"/>
                <w:szCs w:val="22"/>
                <w:shd w:val="clear" w:color="auto" w:fill="FFFFFF"/>
                <w:lang w:eastAsia="en-IE"/>
              </w:rPr>
              <w:t>5</w:t>
            </w:r>
          </w:p>
        </w:tc>
        <w:tc>
          <w:tcPr>
            <w:tcW w:w="2373" w:type="dxa"/>
            <w:tcBorders>
              <w:top w:val="single" w:sz="6" w:space="0" w:color="auto"/>
              <w:left w:val="single" w:sz="6" w:space="0" w:color="auto"/>
              <w:bottom w:val="single" w:sz="6" w:space="0" w:color="auto"/>
              <w:right w:val="single" w:sz="6" w:space="0" w:color="auto"/>
            </w:tcBorders>
            <w:hideMark/>
          </w:tcPr>
          <w:p w14:paraId="255AC303" w14:textId="77777777" w:rsidR="009010D9" w:rsidRPr="005A20A8" w:rsidRDefault="009010D9">
            <w:pPr>
              <w:spacing w:before="0" w:after="0"/>
              <w:jc w:val="center"/>
              <w:textAlignment w:val="baseline"/>
              <w:rPr>
                <w:rFonts w:eastAsia="Times New Roman"/>
                <w:noProof/>
                <w:color w:val="auto"/>
                <w:sz w:val="22"/>
                <w:szCs w:val="22"/>
                <w:lang w:eastAsia="en-IE"/>
              </w:rPr>
            </w:pPr>
            <w:r>
              <w:rPr>
                <w:rFonts w:eastAsia="Times New Roman"/>
                <w:noProof/>
                <w:color w:val="auto"/>
                <w:sz w:val="22"/>
                <w:szCs w:val="22"/>
                <w:shd w:val="clear" w:color="auto" w:fill="FFFFFF"/>
                <w:lang w:eastAsia="en-IE"/>
              </w:rPr>
              <w:t xml:space="preserve">≤ </w:t>
            </w:r>
            <w:r w:rsidRPr="005A20A8">
              <w:rPr>
                <w:rFonts w:eastAsia="Times New Roman"/>
                <w:noProof/>
                <w:color w:val="auto"/>
                <w:sz w:val="22"/>
                <w:szCs w:val="22"/>
                <w:shd w:val="clear" w:color="auto" w:fill="FFFFFF"/>
                <w:lang w:eastAsia="en-IE"/>
              </w:rPr>
              <w:t>0.1</w:t>
            </w:r>
            <w:r>
              <w:rPr>
                <w:rFonts w:eastAsia="Times New Roman"/>
                <w:noProof/>
                <w:color w:val="auto"/>
                <w:sz w:val="22"/>
                <w:szCs w:val="22"/>
                <w:shd w:val="clear" w:color="auto" w:fill="FFFFFF"/>
                <w:lang w:eastAsia="en-IE"/>
              </w:rPr>
              <w:t>5</w:t>
            </w:r>
            <w:r w:rsidRPr="005A20A8">
              <w:rPr>
                <w:rFonts w:eastAsia="Times New Roman"/>
                <w:noProof/>
                <w:color w:val="auto"/>
                <w:sz w:val="22"/>
                <w:szCs w:val="22"/>
                <w:shd w:val="clear" w:color="auto" w:fill="FFFFFF"/>
                <w:lang w:eastAsia="en-IE"/>
              </w:rPr>
              <w:t xml:space="preserve"> MtCO2e (0.</w:t>
            </w:r>
            <w:r>
              <w:rPr>
                <w:rFonts w:eastAsia="Times New Roman"/>
                <w:noProof/>
                <w:color w:val="auto"/>
                <w:sz w:val="22"/>
                <w:szCs w:val="22"/>
                <w:shd w:val="clear" w:color="auto" w:fill="FFFFFF"/>
                <w:lang w:eastAsia="en-IE"/>
              </w:rPr>
              <w:t>5</w:t>
            </w:r>
            <w:r w:rsidRPr="005A20A8">
              <w:rPr>
                <w:rFonts w:eastAsia="Times New Roman"/>
                <w:noProof/>
                <w:color w:val="auto"/>
                <w:sz w:val="22"/>
                <w:szCs w:val="22"/>
                <w:shd w:val="clear" w:color="auto" w:fill="FFFFFF"/>
                <w:lang w:eastAsia="en-IE"/>
              </w:rPr>
              <w:t>%)</w:t>
            </w:r>
          </w:p>
        </w:tc>
      </w:tr>
    </w:tbl>
    <w:p w14:paraId="373D2489" w14:textId="77777777" w:rsidR="009010D9" w:rsidRPr="006A3C3C" w:rsidRDefault="009010D9">
      <w:pPr>
        <w:spacing w:before="0" w:after="0"/>
        <w:textAlignment w:val="baseline"/>
        <w:rPr>
          <w:rFonts w:eastAsia="Times New Roman"/>
          <w:i/>
          <w:iCs/>
          <w:noProof/>
          <w:color w:val="auto"/>
          <w:sz w:val="16"/>
          <w:szCs w:val="16"/>
          <w:shd w:val="clear" w:color="auto" w:fill="FFFFFF"/>
          <w:lang w:eastAsia="en-IE"/>
        </w:rPr>
      </w:pPr>
      <w:r>
        <w:rPr>
          <w:rFonts w:eastAsia="Times New Roman"/>
          <w:i/>
          <w:iCs/>
          <w:noProof/>
          <w:color w:val="auto"/>
          <w:sz w:val="16"/>
          <w:szCs w:val="16"/>
          <w:shd w:val="clear" w:color="auto" w:fill="FFFFFF"/>
          <w:lang w:eastAsia="en-IE"/>
        </w:rPr>
        <w:t>Source: Commission desk research.</w:t>
      </w:r>
    </w:p>
    <w:p w14:paraId="3FAF7682" w14:textId="77777777" w:rsidR="009010D9" w:rsidRDefault="009010D9" w:rsidP="002F3B20">
      <w:pPr>
        <w:pStyle w:val="Heading3COM"/>
        <w:outlineLvl w:val="3"/>
        <w:rPr>
          <w:noProof/>
        </w:rPr>
      </w:pPr>
      <w:bookmarkStart w:id="704" w:name="_Toc230861527"/>
      <w:bookmarkStart w:id="705" w:name="_Toc232751149"/>
      <w:r w:rsidRPr="00934BDD">
        <w:rPr>
          <w:noProof/>
        </w:rPr>
        <w:t>Simplified MRV for small and ultra-small emitters</w:t>
      </w:r>
      <w:bookmarkEnd w:id="704"/>
      <w:bookmarkEnd w:id="705"/>
    </w:p>
    <w:p w14:paraId="496231CB" w14:textId="77777777" w:rsidR="009010D9" w:rsidRPr="003D3BB3" w:rsidRDefault="009010D9" w:rsidP="00223C31">
      <w:pPr>
        <w:rPr>
          <w:noProof/>
        </w:rPr>
      </w:pPr>
      <w:r>
        <w:rPr>
          <w:noProof/>
        </w:rPr>
        <w:t>As indicated above, the current EU ETS Directive provides two opt-out provisions to the allowance surrendering requirements</w:t>
      </w:r>
      <w:r w:rsidRPr="000E4D64">
        <w:rPr>
          <w:noProof/>
        </w:rPr>
        <w:t xml:space="preserve"> </w:t>
      </w:r>
      <w:r>
        <w:rPr>
          <w:noProof/>
        </w:rPr>
        <w:t>for smaller emitters</w:t>
      </w:r>
      <w:r w:rsidRPr="003D3BB3">
        <w:rPr>
          <w:noProof/>
        </w:rPr>
        <w:t>:</w:t>
      </w:r>
    </w:p>
    <w:p w14:paraId="571D070C" w14:textId="77777777" w:rsidR="009010D9" w:rsidRDefault="009010D9" w:rsidP="0018561F">
      <w:pPr>
        <w:pStyle w:val="ListParagraph"/>
        <w:numPr>
          <w:ilvl w:val="0"/>
          <w:numId w:val="41"/>
        </w:numPr>
        <w:spacing w:line="259" w:lineRule="auto"/>
        <w:rPr>
          <w:noProof/>
        </w:rPr>
      </w:pPr>
      <w:bookmarkStart w:id="706" w:name="_Toc202199380"/>
      <w:r w:rsidRPr="003D3BB3">
        <w:rPr>
          <w:noProof/>
        </w:rPr>
        <w:t xml:space="preserve">Article 27 </w:t>
      </w:r>
      <w:r w:rsidRPr="003D3BB3" w:rsidDel="00BB2732">
        <w:rPr>
          <w:noProof/>
        </w:rPr>
        <w:t xml:space="preserve">EU ETS </w:t>
      </w:r>
      <w:r w:rsidRPr="003D3BB3">
        <w:rPr>
          <w:noProof/>
        </w:rPr>
        <w:t>Directive</w:t>
      </w:r>
      <w:r>
        <w:rPr>
          <w:noProof/>
        </w:rPr>
        <w:t xml:space="preserve"> allows for the e</w:t>
      </w:r>
      <w:r w:rsidRPr="00F4502B">
        <w:rPr>
          <w:noProof/>
        </w:rPr>
        <w:t xml:space="preserve">xclusion </w:t>
      </w:r>
      <w:r w:rsidRPr="003D3BB3">
        <w:rPr>
          <w:noProof/>
        </w:rPr>
        <w:t>of small installations subject to equivalent measure</w:t>
      </w:r>
      <w:bookmarkEnd w:id="706"/>
      <w:r w:rsidRPr="003D3BB3">
        <w:rPr>
          <w:noProof/>
        </w:rPr>
        <w:t>s</w:t>
      </w:r>
      <w:r>
        <w:rPr>
          <w:noProof/>
        </w:rPr>
        <w:t>.</w:t>
      </w:r>
      <w:r w:rsidRPr="003D3BB3">
        <w:rPr>
          <w:noProof/>
        </w:rPr>
        <w:t xml:space="preserve"> Member States may exclude installations which have reported emissions of less than 25</w:t>
      </w:r>
      <w:r>
        <w:rPr>
          <w:noProof/>
        </w:rPr>
        <w:t>.</w:t>
      </w:r>
      <w:r w:rsidRPr="003D3BB3">
        <w:rPr>
          <w:noProof/>
        </w:rPr>
        <w:t>000 tonnes of carbon dioxide equivalent and, where they carry out combustion activities, have a rated thermal input below 35 MW, excluding emissions from biomass</w:t>
      </w:r>
      <w:r>
        <w:rPr>
          <w:noProof/>
        </w:rPr>
        <w:t xml:space="preserve">. </w:t>
      </w:r>
      <w:r w:rsidRPr="003D3BB3">
        <w:rPr>
          <w:noProof/>
        </w:rPr>
        <w:t>Hospitals may also be excluded if they undertake equivalent measures.</w:t>
      </w:r>
      <w:r>
        <w:rPr>
          <w:noProof/>
        </w:rPr>
        <w:t xml:space="preserve"> </w:t>
      </w:r>
      <w:r w:rsidRPr="003D3BB3">
        <w:rPr>
          <w:noProof/>
        </w:rPr>
        <w:t>These emitters are known as Hospital and Small Emitters (HSE).</w:t>
      </w:r>
      <w:bookmarkStart w:id="707" w:name="_Toc202199381"/>
    </w:p>
    <w:p w14:paraId="0FA42A15" w14:textId="77777777" w:rsidR="009010D9" w:rsidRDefault="009010D9" w:rsidP="0018561F">
      <w:pPr>
        <w:pStyle w:val="ListParagraph"/>
        <w:numPr>
          <w:ilvl w:val="0"/>
          <w:numId w:val="41"/>
        </w:numPr>
        <w:spacing w:line="259" w:lineRule="auto"/>
        <w:rPr>
          <w:noProof/>
        </w:rPr>
      </w:pPr>
      <w:r w:rsidRPr="003D3BB3">
        <w:rPr>
          <w:noProof/>
        </w:rPr>
        <w:t xml:space="preserve">Article 27a </w:t>
      </w:r>
      <w:r w:rsidRPr="003D3BB3" w:rsidDel="00BB2732">
        <w:rPr>
          <w:noProof/>
        </w:rPr>
        <w:t xml:space="preserve">EU ETS </w:t>
      </w:r>
      <w:r w:rsidRPr="003D3BB3">
        <w:rPr>
          <w:noProof/>
        </w:rPr>
        <w:t>Directive</w:t>
      </w:r>
      <w:r>
        <w:rPr>
          <w:noProof/>
        </w:rPr>
        <w:t xml:space="preserve"> allows for the </w:t>
      </w:r>
      <w:r w:rsidRPr="003D3BB3">
        <w:rPr>
          <w:noProof/>
        </w:rPr>
        <w:t>exclusion of installations emitting less than 2</w:t>
      </w:r>
      <w:r>
        <w:rPr>
          <w:noProof/>
        </w:rPr>
        <w:t>.</w:t>
      </w:r>
      <w:r w:rsidRPr="003D3BB3">
        <w:rPr>
          <w:noProof/>
        </w:rPr>
        <w:t>500  tonnes</w:t>
      </w:r>
      <w:bookmarkEnd w:id="707"/>
      <w:r>
        <w:rPr>
          <w:noProof/>
        </w:rPr>
        <w:t xml:space="preserve">. </w:t>
      </w:r>
      <w:r w:rsidRPr="003D3BB3">
        <w:rPr>
          <w:noProof/>
        </w:rPr>
        <w:t>Member States may exclude installations that have reported emissions of less than 2</w:t>
      </w:r>
      <w:r>
        <w:rPr>
          <w:noProof/>
        </w:rPr>
        <w:t>.</w:t>
      </w:r>
      <w:r w:rsidRPr="003D3BB3">
        <w:rPr>
          <w:noProof/>
        </w:rPr>
        <w:t>500  tonnes of carbon dioxide equivalent, disregarding emissions from biomass</w:t>
      </w:r>
      <w:r>
        <w:rPr>
          <w:noProof/>
        </w:rPr>
        <w:t xml:space="preserve">. </w:t>
      </w:r>
      <w:r w:rsidRPr="4C709D01">
        <w:rPr>
          <w:noProof/>
        </w:rPr>
        <w:t>These emitters are known as Ultra Small Emitters (USEs).</w:t>
      </w:r>
    </w:p>
    <w:p w14:paraId="27EF2F7D" w14:textId="77777777" w:rsidR="009010D9" w:rsidRPr="003D3BB3" w:rsidRDefault="009010D9" w:rsidP="002F3B20">
      <w:pPr>
        <w:pStyle w:val="Heading2COM"/>
        <w:outlineLvl w:val="2"/>
        <w15:collapsed w:val="0"/>
        <w:rPr>
          <w:noProof/>
        </w:rPr>
      </w:pPr>
      <w:bookmarkStart w:id="708" w:name="_Toc230861528"/>
      <w:bookmarkStart w:id="709" w:name="_Toc232751150"/>
      <w:bookmarkStart w:id="710" w:name="_Toc211284572"/>
      <w:bookmarkStart w:id="711" w:name="_Toc1524973216"/>
      <w:bookmarkStart w:id="712" w:name="_Toc212426440"/>
      <w:r>
        <w:rPr>
          <w:noProof/>
        </w:rPr>
        <w:t>Coherence with other policy frameworks</w:t>
      </w:r>
      <w:bookmarkEnd w:id="708"/>
      <w:bookmarkEnd w:id="709"/>
    </w:p>
    <w:p w14:paraId="1DFD894E" w14:textId="77777777" w:rsidR="009010D9" w:rsidRPr="00FC33A7" w:rsidRDefault="009010D9">
      <w:pPr>
        <w:rPr>
          <w:noProof/>
        </w:rPr>
      </w:pPr>
      <w:r>
        <w:rPr>
          <w:noProof/>
        </w:rPr>
        <w:t xml:space="preserve">In line with the review clause in Article 30(7) of the EU ETS, the assessment of a potential inclusion of the waste management sector into the EU ETS should consider the </w:t>
      </w:r>
      <w:r w:rsidRPr="00D93740">
        <w:rPr>
          <w:noProof/>
        </w:rPr>
        <w:t xml:space="preserve">alignment with the objectives of </w:t>
      </w:r>
      <w:r>
        <w:rPr>
          <w:noProof/>
        </w:rPr>
        <w:t xml:space="preserve">Waste Framework </w:t>
      </w:r>
      <w:r w:rsidRPr="00D93740">
        <w:rPr>
          <w:noProof/>
        </w:rPr>
        <w:t>Directive</w:t>
      </w:r>
      <w:r>
        <w:rPr>
          <w:noProof/>
        </w:rPr>
        <w:t xml:space="preserve">. </w:t>
      </w:r>
      <w:r w:rsidRPr="00D93740">
        <w:rPr>
          <w:noProof/>
        </w:rPr>
        <w:t xml:space="preserve">The </w:t>
      </w:r>
      <w:r>
        <w:rPr>
          <w:noProof/>
        </w:rPr>
        <w:t xml:space="preserve">long-term goal of the EU’s waste </w:t>
      </w:r>
      <w:r w:rsidRPr="00D93740">
        <w:rPr>
          <w:noProof/>
        </w:rPr>
        <w:t xml:space="preserve">framework </w:t>
      </w:r>
      <w:r>
        <w:rPr>
          <w:rFonts w:eastAsia="Times New Roman"/>
          <w:noProof/>
        </w:rPr>
        <w:t>is to transition to a circular economy, where waste is kept to a minimum, and unavoidable waste is used as a resource</w:t>
      </w:r>
      <w:r>
        <w:rPr>
          <w:noProof/>
        </w:rPr>
        <w:t xml:space="preserve"> as far as possible. It </w:t>
      </w:r>
      <w:r w:rsidRPr="00D93740">
        <w:rPr>
          <w:noProof/>
        </w:rPr>
        <w:t>aims to protect the environment and human health by emphasising the importance of proper waste management, recovery and recycling techniques to reduce pressure on resources and improve their use.</w:t>
      </w:r>
      <w:r>
        <w:rPr>
          <w:noProof/>
        </w:rPr>
        <w:t xml:space="preserve"> </w:t>
      </w:r>
      <w:r>
        <w:rPr>
          <w:rFonts w:eastAsia="Times New Roman"/>
          <w:noProof/>
        </w:rPr>
        <w:t xml:space="preserve">Effective municipal waste management requires well organised separate collections of various materials, appropriate infrastructure for sorting, treatment, incineration and/or landfill, and a viable market for the recycled output. </w:t>
      </w:r>
    </w:p>
    <w:p w14:paraId="22894656" w14:textId="77777777" w:rsidR="009010D9" w:rsidRPr="00A12678" w:rsidRDefault="009010D9">
      <w:pPr>
        <w:rPr>
          <w:rFonts w:eastAsia="Times New Roman"/>
          <w:noProof/>
        </w:rPr>
      </w:pPr>
      <w:r>
        <w:rPr>
          <w:rFonts w:eastAsia="Times New Roman"/>
          <w:noProof/>
        </w:rPr>
        <w:t>To this end, the EU has established a comprehensive regulatory framework to advance the transition to a more circular economy, increase recycling and reduce landfilling. It has set targets for Member States to ensure that a certain share of municipal waste, of packaging waste and of other specific waste streams is prepared for re-use and recycled. B</w:t>
      </w:r>
      <w:r w:rsidRPr="00D93740">
        <w:rPr>
          <w:rFonts w:eastAsia="Times New Roman"/>
          <w:noProof/>
        </w:rPr>
        <w:t>y 20</w:t>
      </w:r>
      <w:r>
        <w:rPr>
          <w:rFonts w:eastAsia="Times New Roman"/>
          <w:noProof/>
        </w:rPr>
        <w:t>25</w:t>
      </w:r>
      <w:r w:rsidRPr="00D93740">
        <w:rPr>
          <w:rFonts w:eastAsia="Times New Roman"/>
          <w:noProof/>
        </w:rPr>
        <w:t xml:space="preserve">, </w:t>
      </w:r>
      <w:r>
        <w:rPr>
          <w:rFonts w:eastAsia="Times New Roman"/>
          <w:noProof/>
        </w:rPr>
        <w:t>50% of plastic, 65</w:t>
      </w:r>
      <w:r w:rsidRPr="00D93740">
        <w:rPr>
          <w:rFonts w:eastAsia="Times New Roman"/>
          <w:noProof/>
        </w:rPr>
        <w:t xml:space="preserve">% of packaging waste </w:t>
      </w:r>
      <w:r>
        <w:rPr>
          <w:rFonts w:eastAsia="Times New Roman"/>
          <w:noProof/>
        </w:rPr>
        <w:t>and 55</w:t>
      </w:r>
      <w:r w:rsidRPr="00D93740">
        <w:rPr>
          <w:rFonts w:eastAsia="Times New Roman"/>
          <w:noProof/>
        </w:rPr>
        <w:t xml:space="preserve">% of municipal waste must be prepared for re-use or recycled, </w:t>
      </w:r>
      <w:r>
        <w:rPr>
          <w:rFonts w:eastAsia="Times New Roman"/>
          <w:noProof/>
        </w:rPr>
        <w:t>the latter further increasing to</w:t>
      </w:r>
      <w:r w:rsidRPr="00D93740">
        <w:rPr>
          <w:rFonts w:eastAsia="Times New Roman"/>
          <w:noProof/>
        </w:rPr>
        <w:t xml:space="preserve"> 65% by 2035.</w:t>
      </w:r>
      <w:r>
        <w:rPr>
          <w:rFonts w:eastAsia="Times New Roman"/>
          <w:noProof/>
        </w:rPr>
        <w:t xml:space="preserve"> The EU has also set</w:t>
      </w:r>
      <w:r>
        <w:rPr>
          <w:noProof/>
        </w:rPr>
        <w:t xml:space="preserve"> </w:t>
      </w:r>
      <w:r w:rsidRPr="003D3BB3">
        <w:rPr>
          <w:noProof/>
        </w:rPr>
        <w:t xml:space="preserve">a target for Member States to reduce the share of waste sent to landfill to 10% by 2035. </w:t>
      </w:r>
      <w:r>
        <w:rPr>
          <w:rFonts w:eastAsia="Times New Roman"/>
          <w:noProof/>
        </w:rPr>
        <w:t xml:space="preserve">The current targets are set by the Waste Framework Directive, the Packaging and Packaging Waste Regulation, and the Landfill Directive. </w:t>
      </w:r>
      <w:r>
        <w:rPr>
          <w:noProof/>
        </w:rPr>
        <w:t xml:space="preserve">In addition, the </w:t>
      </w:r>
      <w:r w:rsidRPr="00AC3E91">
        <w:rPr>
          <w:noProof/>
        </w:rPr>
        <w:t>Waste Shipment Regulation</w:t>
      </w:r>
      <w:r>
        <w:rPr>
          <w:noProof/>
        </w:rPr>
        <w:t xml:space="preserve"> </w:t>
      </w:r>
      <w:r w:rsidRPr="001F6297">
        <w:rPr>
          <w:noProof/>
        </w:rPr>
        <w:t>establishes strict controls over the shipping of waste within the EU and between the EU and non-EU countries, thereby preventing illegal waste trafficking and minimizing the risk of environmental harm</w:t>
      </w:r>
      <w:r>
        <w:rPr>
          <w:rStyle w:val="FootnoteReference"/>
          <w:noProof/>
        </w:rPr>
        <w:footnoteReference w:id="124"/>
      </w:r>
      <w:r w:rsidRPr="00A25679">
        <w:rPr>
          <w:noProof/>
        </w:rPr>
        <w:t xml:space="preserve">. </w:t>
      </w:r>
      <w:r>
        <w:rPr>
          <w:rFonts w:eastAsia="Times New Roman"/>
          <w:noProof/>
        </w:rPr>
        <w:t>The Commission has announced a new Circular Economy Act to be adopted in 2026</w:t>
      </w:r>
      <w:r w:rsidRPr="00A12678">
        <w:rPr>
          <w:rFonts w:eastAsia="Times New Roman"/>
          <w:noProof/>
        </w:rPr>
        <w:t xml:space="preserve">, which will accelerate the circular transition, </w:t>
      </w:r>
      <w:r w:rsidRPr="00DF7713">
        <w:rPr>
          <w:rFonts w:eastAsia="Times New Roman"/>
          <w:noProof/>
        </w:rPr>
        <w:t>stimulating the single market and demand for secondary materials and circular products, supporting investment in recycling capacity, reducing the landfilling and incineration of used raw materials, and rolling-out upstream producer-oriented policies such as eco-design requirements</w:t>
      </w:r>
      <w:r>
        <w:rPr>
          <w:rFonts w:eastAsia="Times New Roman"/>
          <w:noProof/>
        </w:rPr>
        <w:t>.</w:t>
      </w:r>
    </w:p>
    <w:p w14:paraId="075C1249" w14:textId="77777777" w:rsidR="009010D9" w:rsidRDefault="009010D9">
      <w:pPr>
        <w:rPr>
          <w:noProof/>
        </w:rPr>
      </w:pPr>
      <w:r>
        <w:rPr>
          <w:noProof/>
        </w:rPr>
        <w:t>In addition, t</w:t>
      </w:r>
      <w:r w:rsidRPr="002818BC">
        <w:rPr>
          <w:noProof/>
        </w:rPr>
        <w:t xml:space="preserve">he Industrial and Livestock Rearing Emissions Directive (Directive 2010/75/EU or ‘IED 2.0’) </w:t>
      </w:r>
      <w:r>
        <w:rPr>
          <w:noProof/>
        </w:rPr>
        <w:t>regulates</w:t>
      </w:r>
      <w:r w:rsidRPr="002818BC">
        <w:rPr>
          <w:noProof/>
        </w:rPr>
        <w:t xml:space="preserve"> pollution from large industrial sites, including waste incineration plants and landfill sites, to reduce emissions to air, water, and soil. The IED 2.0 sets conditions and criteria for the granting of environmental permits to the concerned installations by national permitting authorities, including emission limits, operational standards and promoting Best Available Techniques (BATs) as the most environmentally effective and economically and technically viable way for the prevention and control of emissions, encouraging innovation.</w:t>
      </w:r>
    </w:p>
    <w:p w14:paraId="7236211B" w14:textId="77777777" w:rsidR="009010D9" w:rsidRDefault="009010D9">
      <w:pPr>
        <w:rPr>
          <w:rFonts w:eastAsia="Times New Roman"/>
          <w:noProof/>
        </w:rPr>
      </w:pPr>
      <w:r w:rsidRPr="00AC3E91">
        <w:rPr>
          <w:noProof/>
        </w:rPr>
        <w:t>These regulations have driven improvements in waste prevention, recycling and alternative treatment methods</w:t>
      </w:r>
      <w:r>
        <w:rPr>
          <w:noProof/>
        </w:rPr>
        <w:t>. T</w:t>
      </w:r>
      <w:r w:rsidRPr="00FA5C19">
        <w:rPr>
          <w:noProof/>
        </w:rPr>
        <w:t xml:space="preserve">he overall recycling performance </w:t>
      </w:r>
      <w:r>
        <w:rPr>
          <w:noProof/>
        </w:rPr>
        <w:t xml:space="preserve">for municipal waste </w:t>
      </w:r>
      <w:r w:rsidRPr="00FA5C19">
        <w:rPr>
          <w:noProof/>
        </w:rPr>
        <w:t>has increased by more than 10 percentage points between 2010 and 2022, from 38% to 48.7% for the EU-27</w:t>
      </w:r>
      <w:r>
        <w:rPr>
          <w:noProof/>
        </w:rPr>
        <w:t xml:space="preserve"> (see figure 4)</w:t>
      </w:r>
      <w:r w:rsidRPr="00FA5C19">
        <w:rPr>
          <w:noProof/>
        </w:rPr>
        <w:t xml:space="preserve">. </w:t>
      </w:r>
      <w:r>
        <w:rPr>
          <w:noProof/>
        </w:rPr>
        <w:t>However, implementation varies significantly across Member States and national regulatory and fiscal measures differ widely in scope, enforcement and impact. Recent reports by the EEA and the European Court of Auditors (ECA)</w:t>
      </w:r>
      <w:r>
        <w:rPr>
          <w:rStyle w:val="FootnoteReference"/>
          <w:noProof/>
        </w:rPr>
        <w:footnoteReference w:id="125"/>
      </w:r>
      <w:r>
        <w:rPr>
          <w:noProof/>
        </w:rPr>
        <w:t xml:space="preserve"> show that m</w:t>
      </w:r>
      <w:r w:rsidRPr="00AC3E91">
        <w:rPr>
          <w:noProof/>
        </w:rPr>
        <w:t xml:space="preserve">any EU Member States </w:t>
      </w:r>
      <w:r>
        <w:rPr>
          <w:noProof/>
        </w:rPr>
        <w:t xml:space="preserve">are </w:t>
      </w:r>
      <w:r w:rsidRPr="00AC3E91">
        <w:rPr>
          <w:noProof/>
        </w:rPr>
        <w:t xml:space="preserve">not on track to meet </w:t>
      </w:r>
      <w:r>
        <w:rPr>
          <w:noProof/>
        </w:rPr>
        <w:t xml:space="preserve">the </w:t>
      </w:r>
      <w:r w:rsidRPr="00AC3E91">
        <w:rPr>
          <w:noProof/>
        </w:rPr>
        <w:t>recycling targets for municipal waste and packaging waste</w:t>
      </w:r>
      <w:r>
        <w:rPr>
          <w:noProof/>
        </w:rPr>
        <w:t>, with 10 Member States at risk of missing both targets in 2025</w:t>
      </w:r>
      <w:r w:rsidRPr="00C070A5">
        <w:rPr>
          <w:noProof/>
        </w:rPr>
        <w:t xml:space="preserve"> </w:t>
      </w:r>
      <w:r>
        <w:rPr>
          <w:noProof/>
        </w:rPr>
        <w:t>nor to meet the 10% landfilling target</w:t>
      </w:r>
      <w:r w:rsidRPr="003D3BB3">
        <w:rPr>
          <w:noProof/>
        </w:rPr>
        <w:t>, with 13 Member States having recorded landfilling rates of over 50% in 2021</w:t>
      </w:r>
      <w:r>
        <w:rPr>
          <w:noProof/>
        </w:rPr>
        <w:t xml:space="preserve"> (see figure 5). Specifically for plastic waste, a major source of incineration emissions, the EU generated 42.5 million tonnes of plastic waste in 2022, of which only around 20% was recycled while the remaining 80% was incinerated or landfilled (45% was not separately collected and 33% – three fifths of the 55% separately collected – was not sent to recycling</w:t>
      </w:r>
      <w:r>
        <w:rPr>
          <w:rStyle w:val="FootnoteReference"/>
          <w:noProof/>
        </w:rPr>
        <w:footnoteReference w:id="126"/>
      </w:r>
      <w:r>
        <w:rPr>
          <w:noProof/>
        </w:rPr>
        <w:t>). At the same time, s</w:t>
      </w:r>
      <w:r w:rsidRPr="001135B3">
        <w:rPr>
          <w:rFonts w:eastAsia="Times New Roman"/>
          <w:noProof/>
        </w:rPr>
        <w:t>eparate waste collection mostly remains at a very low level</w:t>
      </w:r>
      <w:r>
        <w:rPr>
          <w:rFonts w:eastAsia="Times New Roman"/>
          <w:noProof/>
        </w:rPr>
        <w:t>, bio-waste is not yet collected separately in many Member States and f</w:t>
      </w:r>
      <w:r w:rsidRPr="00EA4178">
        <w:rPr>
          <w:rFonts w:eastAsia="Times New Roman"/>
          <w:noProof/>
        </w:rPr>
        <w:t>ees for the Extended Producer Responsibility are</w:t>
      </w:r>
      <w:r>
        <w:rPr>
          <w:rFonts w:eastAsia="Times New Roman"/>
          <w:noProof/>
        </w:rPr>
        <w:t xml:space="preserve"> often</w:t>
      </w:r>
      <w:r w:rsidRPr="00EA4178">
        <w:rPr>
          <w:rFonts w:eastAsia="Times New Roman"/>
          <w:noProof/>
        </w:rPr>
        <w:t xml:space="preserve"> insufficient to cover the costs</w:t>
      </w:r>
      <w:r>
        <w:rPr>
          <w:rFonts w:eastAsia="Times New Roman"/>
          <w:noProof/>
        </w:rPr>
        <w:t xml:space="preserve">. </w:t>
      </w:r>
      <w:r>
        <w:rPr>
          <w:noProof/>
        </w:rPr>
        <w:t>Member States with the highest recycling rates and highest increases in recycling are generally those with the strongest additional regulatory policies discouraging landfilling and prioritising recycling, including (high) volume-based landfill and/or incineration taxes</w:t>
      </w:r>
      <w:r>
        <w:rPr>
          <w:rStyle w:val="FootnoteReference"/>
          <w:noProof/>
        </w:rPr>
        <w:footnoteReference w:id="127"/>
      </w:r>
      <w:r>
        <w:rPr>
          <w:noProof/>
        </w:rPr>
        <w:t xml:space="preserve"> (e.g. DK, LV, SE, NL), bans or restrictions on biodegradable waste being landfilled (e.g. AT, BE, NL, SI), or some form of carbon pricing (DK, LT, NL, SE)</w:t>
      </w:r>
      <w:r>
        <w:rPr>
          <w:rStyle w:val="FootnoteReference"/>
          <w:noProof/>
        </w:rPr>
        <w:footnoteReference w:id="128"/>
      </w:r>
      <w:r>
        <w:rPr>
          <w:noProof/>
        </w:rPr>
        <w:t xml:space="preserve">. </w:t>
      </w:r>
      <w:r>
        <w:rPr>
          <w:rFonts w:eastAsia="Times New Roman"/>
          <w:noProof/>
        </w:rPr>
        <w:t xml:space="preserve">Recommendations in the ECA report are to focus, among others, on making recycling </w:t>
      </w:r>
      <w:r w:rsidRPr="001135B3">
        <w:rPr>
          <w:rFonts w:eastAsia="Times New Roman"/>
          <w:noProof/>
        </w:rPr>
        <w:t>practices more viable</w:t>
      </w:r>
      <w:r>
        <w:rPr>
          <w:rFonts w:eastAsia="Times New Roman"/>
          <w:noProof/>
        </w:rPr>
        <w:t xml:space="preserve"> </w:t>
      </w:r>
      <w:r w:rsidRPr="001135B3">
        <w:rPr>
          <w:rFonts w:eastAsia="Times New Roman"/>
          <w:noProof/>
        </w:rPr>
        <w:t>and</w:t>
      </w:r>
      <w:r>
        <w:rPr>
          <w:rFonts w:eastAsia="Times New Roman"/>
          <w:noProof/>
        </w:rPr>
        <w:t xml:space="preserve"> on</w:t>
      </w:r>
      <w:r w:rsidRPr="001135B3">
        <w:rPr>
          <w:rFonts w:eastAsia="Times New Roman"/>
          <w:noProof/>
        </w:rPr>
        <w:t xml:space="preserve"> harmonising landfill and incineration taxes.</w:t>
      </w:r>
      <w:r>
        <w:rPr>
          <w:rFonts w:eastAsia="Times New Roman"/>
          <w:noProof/>
        </w:rPr>
        <w:t xml:space="preserve"> Applying EU-wide carbon pricing to waste management activities can further support action on the EU’s waste policy framework by providing such harmonised economic incentive towards recycling and to reduce waste disposed through processes lower on the waste hierarchy.</w:t>
      </w:r>
    </w:p>
    <w:tbl>
      <w:tblPr>
        <w:tblStyle w:val="TableGrid"/>
        <w:tblW w:w="0" w:type="auto"/>
        <w:tblLayout w:type="fixed"/>
        <w:tblLook w:val="04A0" w:firstRow="1" w:lastRow="0" w:firstColumn="1" w:lastColumn="0" w:noHBand="0" w:noVBand="1"/>
      </w:tblPr>
      <w:tblGrid>
        <w:gridCol w:w="4678"/>
        <w:gridCol w:w="4870"/>
      </w:tblGrid>
      <w:tr w:rsidR="009010D9" w14:paraId="6F52F4E0" w14:textId="77777777">
        <w:tc>
          <w:tcPr>
            <w:tcW w:w="4678" w:type="dxa"/>
            <w:vAlign w:val="center"/>
          </w:tcPr>
          <w:p w14:paraId="21A0F78E" w14:textId="77777777" w:rsidR="009010D9" w:rsidRDefault="009010D9">
            <w:pPr>
              <w:spacing w:before="0"/>
              <w:rPr>
                <w:rStyle w:val="FiguretitleChar"/>
                <w:noProof/>
              </w:rPr>
            </w:pPr>
            <w:bookmarkStart w:id="713" w:name="_Toc222740773"/>
            <w:r w:rsidRPr="003061C9">
              <w:rPr>
                <w:rStyle w:val="FiguretitleChar"/>
                <w:noProof/>
              </w:rPr>
              <w:t>Figure 4</w:t>
            </w:r>
            <w:r>
              <w:rPr>
                <w:rStyle w:val="FiguretitleChar"/>
                <w:noProof/>
              </w:rPr>
              <w:t>:</w:t>
            </w:r>
            <w:r w:rsidRPr="003061C9">
              <w:rPr>
                <w:rStyle w:val="FiguretitleChar"/>
                <w:noProof/>
              </w:rPr>
              <w:t xml:space="preserve"> Municipal waste recycling rates in</w:t>
            </w:r>
            <w:bookmarkEnd w:id="713"/>
            <w:r w:rsidRPr="003061C9">
              <w:rPr>
                <w:rStyle w:val="FiguretitleChar"/>
                <w:noProof/>
              </w:rPr>
              <w:t xml:space="preserve"> </w:t>
            </w:r>
          </w:p>
          <w:p w14:paraId="3745C80C" w14:textId="77777777" w:rsidR="009010D9" w:rsidRPr="00613074" w:rsidRDefault="009010D9">
            <w:pPr>
              <w:spacing w:before="0"/>
              <w:rPr>
                <w:rFonts w:eastAsia="Times New Roman"/>
                <w:noProof/>
              </w:rPr>
            </w:pPr>
            <w:bookmarkStart w:id="714" w:name="_Toc222740774"/>
            <w:r w:rsidRPr="003061C9">
              <w:rPr>
                <w:rStyle w:val="FiguretitleChar"/>
                <w:noProof/>
              </w:rPr>
              <w:t>2010 and 2022 (EEA, 2024)</w:t>
            </w:r>
            <w:bookmarkEnd w:id="714"/>
            <w:r w:rsidRPr="005A20A8">
              <w:rPr>
                <w:rFonts w:eastAsia="Times New Roman"/>
                <w:noProof/>
                <w:vertAlign w:val="superscript"/>
              </w:rPr>
              <w:footnoteReference w:id="129"/>
            </w:r>
            <w:r w:rsidRPr="005A20A8">
              <w:rPr>
                <w:rFonts w:eastAsia="Times New Roman"/>
                <w:noProof/>
                <w:vertAlign w:val="superscript"/>
              </w:rPr>
              <w:t>.</w:t>
            </w:r>
          </w:p>
          <w:p w14:paraId="0B183673" w14:textId="77777777" w:rsidR="009010D9" w:rsidRDefault="009010D9">
            <w:pPr>
              <w:spacing w:before="0"/>
              <w:jc w:val="center"/>
              <w:rPr>
                <w:noProof/>
              </w:rPr>
            </w:pPr>
            <w:r w:rsidRPr="00B566CC">
              <w:rPr>
                <w:noProof/>
                <w:lang w:eastAsia="en-GB"/>
              </w:rPr>
              <w:drawing>
                <wp:inline distT="0" distB="0" distL="0" distR="0" wp14:anchorId="10A7DF7E" wp14:editId="1335AD62">
                  <wp:extent cx="2895600" cy="2670175"/>
                  <wp:effectExtent l="0" t="0" r="0" b="0"/>
                  <wp:docPr id="349611235" name="Picture 1" descr="A graph of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17535" name="Picture 1" descr="A graph of numbers and letters&#10;&#10;AI-generated content may be incorrect."/>
                          <pic:cNvPicPr/>
                        </pic:nvPicPr>
                        <pic:blipFill>
                          <a:blip r:embed="rId46"/>
                          <a:stretch>
                            <a:fillRect/>
                          </a:stretch>
                        </pic:blipFill>
                        <pic:spPr>
                          <a:xfrm>
                            <a:off x="0" y="0"/>
                            <a:ext cx="2909615" cy="2683099"/>
                          </a:xfrm>
                          <a:prstGeom prst="rect">
                            <a:avLst/>
                          </a:prstGeom>
                        </pic:spPr>
                      </pic:pic>
                    </a:graphicData>
                  </a:graphic>
                </wp:inline>
              </w:drawing>
            </w:r>
          </w:p>
          <w:p w14:paraId="3AED9532" w14:textId="77777777" w:rsidR="009010D9" w:rsidRDefault="009010D9">
            <w:pPr>
              <w:spacing w:before="0"/>
              <w:jc w:val="left"/>
              <w:rPr>
                <w:rFonts w:eastAsia="Times New Roman"/>
                <w:noProof/>
              </w:rPr>
            </w:pPr>
            <w:r w:rsidRPr="00613074">
              <w:rPr>
                <w:i/>
                <w:iCs/>
                <w:noProof/>
                <w:sz w:val="20"/>
                <w:szCs w:val="20"/>
              </w:rPr>
              <w:t>Source: EEA</w:t>
            </w:r>
          </w:p>
        </w:tc>
        <w:tc>
          <w:tcPr>
            <w:tcW w:w="4870" w:type="dxa"/>
            <w:vAlign w:val="center"/>
          </w:tcPr>
          <w:p w14:paraId="47817A94" w14:textId="77777777" w:rsidR="009010D9" w:rsidRDefault="009010D9">
            <w:pPr>
              <w:spacing w:before="0"/>
              <w:rPr>
                <w:rFonts w:eastAsia="Times New Roman"/>
                <w:noProof/>
              </w:rPr>
            </w:pPr>
            <w:bookmarkStart w:id="715" w:name="_Toc222740775"/>
            <w:r w:rsidRPr="003061C9">
              <w:rPr>
                <w:rStyle w:val="FiguretitleChar"/>
                <w:noProof/>
              </w:rPr>
              <w:t>Figure 5</w:t>
            </w:r>
            <w:r>
              <w:rPr>
                <w:rStyle w:val="FiguretitleChar"/>
                <w:noProof/>
              </w:rPr>
              <w:t>:</w:t>
            </w:r>
            <w:r w:rsidRPr="003061C9">
              <w:rPr>
                <w:rStyle w:val="FiguretitleChar"/>
                <w:noProof/>
              </w:rPr>
              <w:t xml:space="preserve"> Municipal waste per capita and treatment methods (in kg, 2023)</w:t>
            </w:r>
            <w:bookmarkEnd w:id="715"/>
            <w:r w:rsidRPr="005A20A8">
              <w:rPr>
                <w:rFonts w:eastAsia="Times New Roman"/>
                <w:noProof/>
                <w:vertAlign w:val="superscript"/>
              </w:rPr>
              <w:footnoteReference w:id="130"/>
            </w:r>
            <w:r w:rsidRPr="005A20A8">
              <w:rPr>
                <w:rFonts w:eastAsia="Times New Roman"/>
                <w:noProof/>
                <w:vertAlign w:val="superscript"/>
              </w:rPr>
              <w:t>.</w:t>
            </w:r>
          </w:p>
          <w:p w14:paraId="4D484A52" w14:textId="77777777" w:rsidR="009010D9" w:rsidRDefault="009010D9">
            <w:pPr>
              <w:spacing w:before="0"/>
              <w:jc w:val="center"/>
              <w:rPr>
                <w:rFonts w:eastAsia="Times New Roman"/>
                <w:noProof/>
              </w:rPr>
            </w:pPr>
            <w:r w:rsidRPr="003B130C">
              <w:rPr>
                <w:noProof/>
                <w:lang w:eastAsia="en-GB"/>
              </w:rPr>
              <w:drawing>
                <wp:inline distT="0" distB="0" distL="0" distR="0" wp14:anchorId="0D493C75" wp14:editId="4DA0FC4A">
                  <wp:extent cx="2184400" cy="2677548"/>
                  <wp:effectExtent l="0" t="0" r="6350" b="8890"/>
                  <wp:docPr id="125822788" name="Picture 1" descr="A graph of 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2788" name="Picture 1" descr="A graph of a graph with different colored bars&#10;&#10;AI-generated content may be incorrect."/>
                          <pic:cNvPicPr/>
                        </pic:nvPicPr>
                        <pic:blipFill>
                          <a:blip r:embed="rId47"/>
                          <a:stretch>
                            <a:fillRect/>
                          </a:stretch>
                        </pic:blipFill>
                        <pic:spPr>
                          <a:xfrm>
                            <a:off x="0" y="0"/>
                            <a:ext cx="2202657" cy="2699927"/>
                          </a:xfrm>
                          <a:prstGeom prst="rect">
                            <a:avLst/>
                          </a:prstGeom>
                        </pic:spPr>
                      </pic:pic>
                    </a:graphicData>
                  </a:graphic>
                </wp:inline>
              </w:drawing>
            </w:r>
          </w:p>
          <w:p w14:paraId="6957FB5C" w14:textId="77777777" w:rsidR="009010D9" w:rsidRPr="00613074" w:rsidRDefault="009010D9">
            <w:pPr>
              <w:spacing w:before="0"/>
              <w:jc w:val="center"/>
              <w:rPr>
                <w:rFonts w:eastAsia="Times New Roman"/>
                <w:i/>
                <w:iCs/>
                <w:noProof/>
                <w:sz w:val="20"/>
                <w:szCs w:val="20"/>
              </w:rPr>
            </w:pPr>
            <w:r w:rsidRPr="00613074">
              <w:rPr>
                <w:rFonts w:eastAsia="Times New Roman"/>
                <w:i/>
                <w:iCs/>
                <w:noProof/>
                <w:sz w:val="20"/>
                <w:szCs w:val="20"/>
              </w:rPr>
              <w:t>Source: ECA, based on the Eurostat dataset env_wasmun</w:t>
            </w:r>
          </w:p>
        </w:tc>
      </w:tr>
    </w:tbl>
    <w:p w14:paraId="5C892A43" w14:textId="77777777" w:rsidR="009010D9" w:rsidRPr="00B566CC" w:rsidRDefault="009010D9">
      <w:pPr>
        <w:rPr>
          <w:noProof/>
          <w:lang w:eastAsia="en-GB"/>
        </w:rPr>
      </w:pPr>
      <w:bookmarkStart w:id="716" w:name="_Ref191567555"/>
      <w:r>
        <w:rPr>
          <w:noProof/>
          <w:lang w:eastAsia="en-GB"/>
        </w:rPr>
        <w:t>Outside of the EU, t</w:t>
      </w:r>
      <w:r w:rsidRPr="10A767E5">
        <w:rPr>
          <w:noProof/>
          <w:lang w:eastAsia="en-GB"/>
        </w:rPr>
        <w:t xml:space="preserve">he UK Government has established a voluntary monitoring, reporting, and verification (MRV) period for waste incinerations installations under the UK ETS </w:t>
      </w:r>
      <w:r>
        <w:rPr>
          <w:noProof/>
          <w:lang w:eastAsia="en-GB"/>
        </w:rPr>
        <w:t>as of 1 January</w:t>
      </w:r>
      <w:r w:rsidRPr="10A767E5">
        <w:rPr>
          <w:noProof/>
          <w:lang w:eastAsia="en-GB"/>
        </w:rPr>
        <w:t xml:space="preserve"> 2026</w:t>
      </w:r>
      <w:r>
        <w:rPr>
          <w:noProof/>
          <w:lang w:eastAsia="en-GB"/>
        </w:rPr>
        <w:t>, with a</w:t>
      </w:r>
      <w:r w:rsidRPr="10A767E5">
        <w:rPr>
          <w:noProof/>
          <w:lang w:eastAsia="en-GB"/>
        </w:rPr>
        <w:t xml:space="preserve"> decision on the full inclusion of the sector </w:t>
      </w:r>
      <w:r>
        <w:rPr>
          <w:noProof/>
          <w:lang w:eastAsia="en-GB"/>
        </w:rPr>
        <w:t>foreseen in the future</w:t>
      </w:r>
      <w:r w:rsidRPr="10A767E5">
        <w:rPr>
          <w:noProof/>
          <w:lang w:eastAsia="en-GB"/>
        </w:rPr>
        <w:t xml:space="preserve">.  </w:t>
      </w:r>
      <w:r>
        <w:rPr>
          <w:noProof/>
          <w:lang w:eastAsia="en-GB"/>
        </w:rPr>
        <w:t>T</w:t>
      </w:r>
      <w:r w:rsidRPr="10A767E5">
        <w:rPr>
          <w:noProof/>
          <w:lang w:eastAsia="en-GB"/>
        </w:rPr>
        <w:t xml:space="preserve">he scope </w:t>
      </w:r>
      <w:r>
        <w:rPr>
          <w:noProof/>
          <w:lang w:eastAsia="en-GB"/>
        </w:rPr>
        <w:t xml:space="preserve">of the MRV for waste incineration </w:t>
      </w:r>
      <w:r w:rsidRPr="10A767E5">
        <w:rPr>
          <w:noProof/>
          <w:lang w:eastAsia="en-GB"/>
        </w:rPr>
        <w:t>would apply to installations processing three tonnes or more per hour of non-hazardous waste or ten tonnes or more per day of hazardous waste, with clinical waste incinerators included and high-temperature hazardous waste incinerators exempted.</w:t>
      </w:r>
    </w:p>
    <w:bookmarkEnd w:id="716"/>
    <w:p w14:paraId="152733F8" w14:textId="77777777" w:rsidR="009010D9" w:rsidRPr="003D3BB3" w:rsidRDefault="009010D9" w:rsidP="002F3B20">
      <w:pPr>
        <w:pStyle w:val="Heading2COM"/>
        <w:outlineLvl w:val="2"/>
        <w15:collapsed w:val="0"/>
        <w:rPr>
          <w:noProof/>
        </w:rPr>
      </w:pPr>
      <w:r w:rsidRPr="003D3BB3">
        <w:rPr>
          <w:noProof/>
        </w:rPr>
        <w:t> </w:t>
      </w:r>
      <w:bookmarkStart w:id="717" w:name="_Toc230861529"/>
      <w:bookmarkStart w:id="718" w:name="_Toc232751151"/>
      <w:r w:rsidRPr="003D3BB3">
        <w:rPr>
          <w:noProof/>
        </w:rPr>
        <w:t>Policy measures</w:t>
      </w:r>
      <w:bookmarkEnd w:id="717"/>
      <w:bookmarkEnd w:id="718"/>
    </w:p>
    <w:p w14:paraId="1C016C97" w14:textId="77777777" w:rsidR="009010D9" w:rsidRDefault="009010D9" w:rsidP="002F3B20">
      <w:pPr>
        <w:pStyle w:val="Heading3COM"/>
        <w:outlineLvl w:val="3"/>
        <w:rPr>
          <w:noProof/>
        </w:rPr>
      </w:pPr>
      <w:bookmarkStart w:id="719" w:name="_Toc230861530"/>
      <w:bookmarkStart w:id="720" w:name="_Toc232751152"/>
      <w:r>
        <w:rPr>
          <w:noProof/>
        </w:rPr>
        <w:t>Description of the policy measures</w:t>
      </w:r>
      <w:bookmarkEnd w:id="719"/>
      <w:bookmarkEnd w:id="720"/>
    </w:p>
    <w:p w14:paraId="7DAF98DF" w14:textId="77777777" w:rsidR="009010D9" w:rsidRPr="003D3BB3" w:rsidRDefault="009010D9">
      <w:pPr>
        <w:rPr>
          <w:noProof/>
        </w:rPr>
      </w:pPr>
      <w:r w:rsidRPr="00AD72EA">
        <w:rPr>
          <w:noProof/>
        </w:rPr>
        <w:t xml:space="preserve">Drawing from the analysis in this annex, this section assesses the concrete policy measures </w:t>
      </w:r>
      <w:r w:rsidRPr="00AD72EA">
        <w:rPr>
          <w:noProof/>
          <w:lang w:eastAsia="en-GB"/>
        </w:rPr>
        <w:t xml:space="preserve">considered for the extension of the </w:t>
      </w:r>
      <w:r>
        <w:rPr>
          <w:noProof/>
          <w:lang w:eastAsia="en-GB"/>
        </w:rPr>
        <w:t>EU ETS</w:t>
      </w:r>
      <w:r w:rsidRPr="00AD72EA">
        <w:rPr>
          <w:noProof/>
          <w:lang w:eastAsia="en-GB"/>
        </w:rPr>
        <w:t xml:space="preserve"> to waste management activities.</w:t>
      </w:r>
      <w:r>
        <w:rPr>
          <w:noProof/>
          <w:lang w:eastAsia="en-GB"/>
        </w:rPr>
        <w:t xml:space="preserve"> </w:t>
      </w:r>
      <w:r w:rsidRPr="003D3BB3">
        <w:rPr>
          <w:noProof/>
          <w:lang w:eastAsia="en-GB"/>
        </w:rPr>
        <w:t>The measures are assessed for their environmental, economic and social impacts, specifically the environmental integrity, the alignment with waste hierarchy, the feasibility of robust monitoring and reporting of emissions as well as internal market effects and potential distortions of competition– as prescribed for the review clause. Timewise, the expansion of the</w:t>
      </w:r>
      <w:r>
        <w:rPr>
          <w:noProof/>
          <w:lang w:eastAsia="en-GB"/>
        </w:rPr>
        <w:t xml:space="preserve"> EU ETS </w:t>
      </w:r>
      <w:r w:rsidRPr="003D3BB3">
        <w:rPr>
          <w:noProof/>
          <w:lang w:eastAsia="en-GB"/>
        </w:rPr>
        <w:t>to waste management regardless of the level has been fixed at ‘from 203</w:t>
      </w:r>
      <w:r>
        <w:rPr>
          <w:noProof/>
          <w:lang w:eastAsia="en-GB"/>
        </w:rPr>
        <w:t>0</w:t>
      </w:r>
      <w:r w:rsidRPr="003D3BB3">
        <w:rPr>
          <w:noProof/>
          <w:lang w:eastAsia="en-GB"/>
        </w:rPr>
        <w:t xml:space="preserve"> onward’ to ensure predictability and sufficient preparation time for the waste sector (considering the time for the </w:t>
      </w:r>
      <w:r>
        <w:rPr>
          <w:noProof/>
          <w:lang w:eastAsia="en-GB"/>
        </w:rPr>
        <w:t>co-decision</w:t>
      </w:r>
      <w:r w:rsidRPr="003D3BB3">
        <w:rPr>
          <w:noProof/>
          <w:lang w:eastAsia="en-GB"/>
        </w:rPr>
        <w:t xml:space="preserve"> process for the review and the time needed to implement its outcomes).</w:t>
      </w:r>
    </w:p>
    <w:p w14:paraId="54888FCF" w14:textId="77777777" w:rsidR="009010D9" w:rsidRPr="003D3BB3" w:rsidRDefault="009010D9">
      <w:pPr>
        <w:rPr>
          <w:noProof/>
          <w:lang w:eastAsia="en-GB"/>
        </w:rPr>
      </w:pPr>
      <w:r w:rsidRPr="003D3BB3">
        <w:rPr>
          <w:noProof/>
          <w:lang w:eastAsia="en-GB"/>
        </w:rPr>
        <w:t xml:space="preserve">The measures under consideration </w:t>
      </w:r>
      <w:r>
        <w:rPr>
          <w:noProof/>
          <w:lang w:eastAsia="en-GB"/>
        </w:rPr>
        <w:t>are</w:t>
      </w:r>
      <w:r w:rsidRPr="003D3BB3">
        <w:rPr>
          <w:noProof/>
          <w:lang w:eastAsia="en-GB"/>
        </w:rPr>
        <w:t>:</w:t>
      </w:r>
    </w:p>
    <w:p w14:paraId="1601C827" w14:textId="77777777" w:rsidR="009010D9" w:rsidRPr="003D3BB3" w:rsidRDefault="009010D9" w:rsidP="0018561F">
      <w:pPr>
        <w:pStyle w:val="ListParagraph"/>
        <w:numPr>
          <w:ilvl w:val="0"/>
          <w:numId w:val="59"/>
        </w:numPr>
        <w:spacing w:line="259" w:lineRule="auto"/>
        <w:rPr>
          <w:noProof/>
          <w:lang w:eastAsia="en-GB"/>
        </w:rPr>
      </w:pPr>
      <w:r w:rsidRPr="7C01937F">
        <w:rPr>
          <w:noProof/>
          <w:lang w:eastAsia="en-GB"/>
        </w:rPr>
        <w:t xml:space="preserve">W1: Inclusion of non-hazardous waste incineration installations in the EU ETS. </w:t>
      </w:r>
    </w:p>
    <w:p w14:paraId="5D682C60" w14:textId="77777777" w:rsidR="009010D9" w:rsidRPr="003D3BB3" w:rsidRDefault="009010D9" w:rsidP="0018561F">
      <w:pPr>
        <w:pStyle w:val="ListParagraph"/>
        <w:numPr>
          <w:ilvl w:val="0"/>
          <w:numId w:val="59"/>
        </w:numPr>
        <w:spacing w:line="259" w:lineRule="auto"/>
        <w:rPr>
          <w:noProof/>
          <w:lang w:eastAsia="en-GB"/>
        </w:rPr>
      </w:pPr>
      <w:r w:rsidRPr="003D3BB3">
        <w:rPr>
          <w:noProof/>
          <w:lang w:eastAsia="en-GB"/>
        </w:rPr>
        <w:t>W2: Inclusion of all waste incineration installations in the EU ETS.</w:t>
      </w:r>
    </w:p>
    <w:p w14:paraId="007B3F29" w14:textId="77777777" w:rsidR="009010D9" w:rsidRDefault="009010D9" w:rsidP="0018561F">
      <w:pPr>
        <w:pStyle w:val="ListParagraph"/>
        <w:numPr>
          <w:ilvl w:val="0"/>
          <w:numId w:val="59"/>
        </w:numPr>
        <w:spacing w:line="259" w:lineRule="auto"/>
        <w:rPr>
          <w:noProof/>
          <w:lang w:eastAsia="en-GB"/>
        </w:rPr>
      </w:pPr>
      <w:r w:rsidRPr="7C01937F">
        <w:rPr>
          <w:noProof/>
          <w:lang w:eastAsia="en-GB"/>
        </w:rPr>
        <w:t xml:space="preserve">W3: Inclusion of all waste incineration installations and landfills of non-hazardous waste in the EU ETS. </w:t>
      </w:r>
    </w:p>
    <w:p w14:paraId="1332CB09" w14:textId="77777777" w:rsidR="009010D9" w:rsidRPr="00D9560E" w:rsidRDefault="009010D9" w:rsidP="002F3B20">
      <w:pPr>
        <w:pStyle w:val="Heading2COM"/>
        <w:outlineLvl w:val="2"/>
        <w15:collapsed w:val="0"/>
        <w:rPr>
          <w:noProof/>
        </w:rPr>
      </w:pPr>
      <w:bookmarkStart w:id="721" w:name="_Toc230861531"/>
      <w:bookmarkStart w:id="722" w:name="_Toc232751153"/>
      <w:r w:rsidRPr="00D9560E">
        <w:rPr>
          <w:noProof/>
        </w:rPr>
        <w:t>Assessment of Policy measures</w:t>
      </w:r>
      <w:bookmarkEnd w:id="710"/>
      <w:bookmarkEnd w:id="711"/>
      <w:bookmarkEnd w:id="721"/>
      <w:bookmarkEnd w:id="722"/>
      <w:r w:rsidRPr="00D9560E">
        <w:rPr>
          <w:noProof/>
        </w:rPr>
        <w:t xml:space="preserve"> </w:t>
      </w:r>
      <w:bookmarkEnd w:id="712"/>
    </w:p>
    <w:p w14:paraId="1EA3C228" w14:textId="77777777" w:rsidR="009010D9" w:rsidRPr="003D3BB3" w:rsidRDefault="009010D9" w:rsidP="002F3B20">
      <w:pPr>
        <w:pStyle w:val="Heading3COM"/>
        <w:outlineLvl w:val="3"/>
        <w:rPr>
          <w:noProof/>
        </w:rPr>
      </w:pPr>
      <w:bookmarkStart w:id="723" w:name="_Toc211284574"/>
      <w:bookmarkStart w:id="724" w:name="_Toc212426441"/>
      <w:bookmarkStart w:id="725" w:name="_Toc1387089678"/>
      <w:bookmarkStart w:id="726" w:name="_Toc230861532"/>
      <w:bookmarkStart w:id="727" w:name="_Toc232751154"/>
      <w:r>
        <w:rPr>
          <w:noProof/>
        </w:rPr>
        <w:t>Environmental impacts</w:t>
      </w:r>
      <w:bookmarkEnd w:id="723"/>
      <w:bookmarkEnd w:id="724"/>
      <w:bookmarkEnd w:id="725"/>
      <w:bookmarkEnd w:id="726"/>
      <w:bookmarkEnd w:id="727"/>
    </w:p>
    <w:p w14:paraId="0B5C4C1E" w14:textId="77777777" w:rsidR="009010D9" w:rsidRPr="003D3BB3" w:rsidRDefault="009010D9" w:rsidP="002F3B20">
      <w:pPr>
        <w:pStyle w:val="Heading4COM"/>
        <w:outlineLvl w:val="4"/>
        <w:rPr>
          <w:noProof/>
        </w:rPr>
      </w:pPr>
      <w:bookmarkStart w:id="728" w:name="_Toc230861533"/>
      <w:bookmarkStart w:id="729" w:name="_Toc232751155"/>
      <w:bookmarkStart w:id="730" w:name="_Toc212426442"/>
      <w:bookmarkStart w:id="731" w:name="_Toc466393631"/>
      <w:r>
        <w:rPr>
          <w:noProof/>
        </w:rPr>
        <w:t>Climate impact</w:t>
      </w:r>
      <w:bookmarkEnd w:id="728"/>
      <w:bookmarkEnd w:id="729"/>
    </w:p>
    <w:p w14:paraId="6EE0D2FB" w14:textId="77777777" w:rsidR="009010D9" w:rsidRPr="003D3BB3" w:rsidRDefault="009010D9" w:rsidP="002F3B20">
      <w:pPr>
        <w:pStyle w:val="Heading5COM"/>
        <w:ind w:left="2232"/>
        <w:outlineLvl w:val="5"/>
        <w:rPr>
          <w:noProof/>
        </w:rPr>
      </w:pPr>
      <w:bookmarkStart w:id="732" w:name="_Toc230861534"/>
      <w:bookmarkStart w:id="733" w:name="_Toc232751156"/>
      <w:r w:rsidRPr="003D3BB3">
        <w:rPr>
          <w:noProof/>
        </w:rPr>
        <w:t>W1 ‘</w:t>
      </w:r>
      <w:r>
        <w:rPr>
          <w:noProof/>
        </w:rPr>
        <w:t xml:space="preserve">EU ETS </w:t>
      </w:r>
      <w:r w:rsidRPr="003D3BB3">
        <w:rPr>
          <w:noProof/>
        </w:rPr>
        <w:t>expansion to non-hazardous waste incineration’</w:t>
      </w:r>
      <w:bookmarkEnd w:id="730"/>
      <w:bookmarkEnd w:id="731"/>
      <w:bookmarkEnd w:id="732"/>
      <w:bookmarkEnd w:id="733"/>
      <w:r w:rsidRPr="003D3BB3">
        <w:rPr>
          <w:noProof/>
        </w:rPr>
        <w:t xml:space="preserve"> </w:t>
      </w:r>
    </w:p>
    <w:p w14:paraId="420AD298" w14:textId="77777777" w:rsidR="009010D9" w:rsidRDefault="009010D9">
      <w:pPr>
        <w:rPr>
          <w:noProof/>
          <w:lang w:eastAsia="en-GB"/>
        </w:rPr>
      </w:pPr>
      <w:r>
        <w:rPr>
          <w:noProof/>
          <w:lang w:eastAsia="en-GB"/>
        </w:rPr>
        <w:t xml:space="preserve">W1 extends the EU ETS carbon price to municipal waste incineration (MWI) compared to the baseline, which </w:t>
      </w:r>
      <w:r w:rsidRPr="00B13B5E">
        <w:rPr>
          <w:noProof/>
          <w:lang w:eastAsia="en-GB"/>
        </w:rPr>
        <w:t xml:space="preserve">would </w:t>
      </w:r>
      <w:r>
        <w:rPr>
          <w:noProof/>
          <w:lang w:eastAsia="en-GB"/>
        </w:rPr>
        <w:t xml:space="preserve">ensure that emissions from the combustion of municipal waste, </w:t>
      </w:r>
      <w:r w:rsidRPr="00B13B5E">
        <w:rPr>
          <w:noProof/>
          <w:lang w:eastAsia="en-GB"/>
        </w:rPr>
        <w:t>provid</w:t>
      </w:r>
      <w:r>
        <w:rPr>
          <w:noProof/>
          <w:lang w:eastAsia="en-GB"/>
        </w:rPr>
        <w:t>ing</w:t>
      </w:r>
      <w:r w:rsidRPr="00B13B5E">
        <w:rPr>
          <w:noProof/>
          <w:lang w:eastAsia="en-GB"/>
        </w:rPr>
        <w:t xml:space="preserve"> an economic incentive to reduce emissions cost-effectively</w:t>
      </w:r>
      <w:r>
        <w:rPr>
          <w:noProof/>
          <w:lang w:eastAsia="en-GB"/>
        </w:rPr>
        <w:t xml:space="preserve">, while also harmonising the polluter-pays-principle between Member States, between sectors and within the waste management sector. </w:t>
      </w:r>
    </w:p>
    <w:p w14:paraId="343DE690" w14:textId="77777777" w:rsidR="009010D9" w:rsidRDefault="009010D9">
      <w:pPr>
        <w:rPr>
          <w:noProof/>
          <w:lang w:eastAsia="en-GB"/>
        </w:rPr>
      </w:pPr>
      <w:r w:rsidRPr="09E5CE5E">
        <w:rPr>
          <w:noProof/>
          <w:lang w:eastAsia="en-GB"/>
        </w:rPr>
        <w:t>First, the inclusion of non-hazardous waste incineration in the EU ETS would be an important step towards increasing accountability for fossil carbon emissions from</w:t>
      </w:r>
      <w:r>
        <w:rPr>
          <w:noProof/>
          <w:lang w:eastAsia="en-GB"/>
        </w:rPr>
        <w:t xml:space="preserve"> municipal</w:t>
      </w:r>
      <w:r w:rsidRPr="09E5CE5E">
        <w:rPr>
          <w:noProof/>
          <w:lang w:eastAsia="en-GB"/>
        </w:rPr>
        <w:t xml:space="preserve"> waste streams, </w:t>
      </w:r>
      <w:r>
        <w:rPr>
          <w:noProof/>
          <w:lang w:eastAsia="en-GB"/>
        </w:rPr>
        <w:t>notably</w:t>
      </w:r>
      <w:r w:rsidRPr="09E5CE5E">
        <w:rPr>
          <w:noProof/>
          <w:lang w:eastAsia="en-GB"/>
        </w:rPr>
        <w:t xml:space="preserve"> plastics.</w:t>
      </w:r>
      <w:r>
        <w:rPr>
          <w:noProof/>
          <w:lang w:eastAsia="en-GB"/>
        </w:rPr>
        <w:t xml:space="preserve"> The existing environmental policy framework on </w:t>
      </w:r>
      <w:r w:rsidRPr="09E5CE5E">
        <w:rPr>
          <w:noProof/>
          <w:lang w:eastAsia="en-GB"/>
        </w:rPr>
        <w:t>waste incineration do</w:t>
      </w:r>
      <w:r>
        <w:rPr>
          <w:noProof/>
          <w:lang w:eastAsia="en-GB"/>
        </w:rPr>
        <w:t>es</w:t>
      </w:r>
      <w:r w:rsidRPr="09E5CE5E">
        <w:rPr>
          <w:noProof/>
          <w:lang w:eastAsia="en-GB"/>
        </w:rPr>
        <w:t xml:space="preserve"> not</w:t>
      </w:r>
      <w:r>
        <w:rPr>
          <w:noProof/>
          <w:lang w:eastAsia="en-GB"/>
        </w:rPr>
        <w:t xml:space="preserve"> specifically</w:t>
      </w:r>
      <w:r w:rsidRPr="09E5CE5E">
        <w:rPr>
          <w:noProof/>
          <w:lang w:eastAsia="en-GB"/>
        </w:rPr>
        <w:t xml:space="preserve"> address GHG emissions from waste incineration, with incineration policies and taxes </w:t>
      </w:r>
      <w:r>
        <w:rPr>
          <w:noProof/>
          <w:lang w:eastAsia="en-GB"/>
        </w:rPr>
        <w:t xml:space="preserve">mainly </w:t>
      </w:r>
      <w:r w:rsidRPr="09E5CE5E">
        <w:rPr>
          <w:noProof/>
          <w:lang w:eastAsia="en-GB"/>
        </w:rPr>
        <w:t xml:space="preserve">focused on the activity and waste </w:t>
      </w:r>
      <w:r>
        <w:rPr>
          <w:noProof/>
          <w:lang w:eastAsia="en-GB"/>
        </w:rPr>
        <w:t>volumes instead of its carbon content, while few Member States have taken national measures under the Effort Sharing Regulation</w:t>
      </w:r>
      <w:r w:rsidRPr="09E5CE5E">
        <w:rPr>
          <w:noProof/>
          <w:lang w:eastAsia="en-GB"/>
        </w:rPr>
        <w:t>.</w:t>
      </w:r>
      <w:r>
        <w:rPr>
          <w:noProof/>
        </w:rPr>
        <w:t xml:space="preserve"> </w:t>
      </w:r>
      <w:r w:rsidRPr="09E5CE5E">
        <w:rPr>
          <w:noProof/>
          <w:lang w:eastAsia="en-GB"/>
        </w:rPr>
        <w:t xml:space="preserve">Reported emissions from </w:t>
      </w:r>
      <w:r>
        <w:rPr>
          <w:noProof/>
          <w:lang w:eastAsia="en-GB"/>
        </w:rPr>
        <w:t>MWI</w:t>
      </w:r>
      <w:r w:rsidRPr="09E5CE5E">
        <w:rPr>
          <w:noProof/>
          <w:lang w:eastAsia="en-GB"/>
        </w:rPr>
        <w:t xml:space="preserve"> above 20 MW </w:t>
      </w:r>
      <w:r>
        <w:rPr>
          <w:noProof/>
          <w:lang w:eastAsia="en-GB"/>
        </w:rPr>
        <w:t xml:space="preserve">under the EU ETS MRV obligation </w:t>
      </w:r>
      <w:r w:rsidRPr="09E5CE5E">
        <w:rPr>
          <w:noProof/>
          <w:lang w:eastAsia="en-GB"/>
        </w:rPr>
        <w:t xml:space="preserve">amounted to </w:t>
      </w:r>
      <w:r>
        <w:rPr>
          <w:noProof/>
        </w:rPr>
        <w:t>85 Mt</w:t>
      </w:r>
      <w:r w:rsidRPr="09E5CE5E">
        <w:rPr>
          <w:noProof/>
          <w:lang w:eastAsia="en-GB"/>
        </w:rPr>
        <w:t xml:space="preserve"> CO2</w:t>
      </w:r>
      <w:r>
        <w:rPr>
          <w:noProof/>
          <w:lang w:eastAsia="en-GB"/>
        </w:rPr>
        <w:t xml:space="preserve"> in 2024 for the EEA</w:t>
      </w:r>
      <w:r w:rsidRPr="09E5CE5E">
        <w:rPr>
          <w:noProof/>
          <w:lang w:eastAsia="en-GB"/>
        </w:rPr>
        <w:t xml:space="preserve">, of which </w:t>
      </w:r>
      <w:r>
        <w:rPr>
          <w:noProof/>
          <w:lang w:eastAsia="en-GB"/>
        </w:rPr>
        <w:t>39.4 MtCO2e</w:t>
      </w:r>
      <w:r w:rsidRPr="30798C05">
        <w:rPr>
          <w:b/>
          <w:bCs/>
          <w:noProof/>
          <w:lang w:eastAsia="en-GB"/>
        </w:rPr>
        <w:t xml:space="preserve"> </w:t>
      </w:r>
      <w:r>
        <w:rPr>
          <w:noProof/>
          <w:lang w:eastAsia="en-GB"/>
        </w:rPr>
        <w:t>(47%) fossil-based emissions, and 45.6 MtCO2e (53%) biogenic-based emissions which would be considered zero-rated under the EU ETS.</w:t>
      </w:r>
      <w:r w:rsidRPr="09E5CE5E">
        <w:rPr>
          <w:noProof/>
          <w:lang w:eastAsia="en-GB"/>
        </w:rPr>
        <w:t xml:space="preserve"> This is significant and </w:t>
      </w:r>
      <w:r>
        <w:rPr>
          <w:noProof/>
          <w:lang w:eastAsia="en-GB"/>
        </w:rPr>
        <w:t>equivalent to</w:t>
      </w:r>
      <w:r w:rsidRPr="09E5CE5E">
        <w:rPr>
          <w:noProof/>
          <w:lang w:eastAsia="en-GB"/>
        </w:rPr>
        <w:t xml:space="preserve"> </w:t>
      </w:r>
      <w:r>
        <w:rPr>
          <w:noProof/>
          <w:lang w:eastAsia="en-GB"/>
        </w:rPr>
        <w:t>total GHG emissions from Finland or to</w:t>
      </w:r>
      <w:r w:rsidRPr="4F0B9F10">
        <w:rPr>
          <w:noProof/>
          <w:lang w:eastAsia="en-GB"/>
        </w:rPr>
        <w:t xml:space="preserve"> two thirds</w:t>
      </w:r>
      <w:r w:rsidRPr="09E5CE5E">
        <w:rPr>
          <w:noProof/>
          <w:lang w:eastAsia="en-GB"/>
        </w:rPr>
        <w:t xml:space="preserve"> of all ETS aviation emissions in 2024. If included as a separate sector, </w:t>
      </w:r>
      <w:r>
        <w:rPr>
          <w:noProof/>
          <w:lang w:eastAsia="en-GB"/>
        </w:rPr>
        <w:t>the fossil fraction of MWI emissions</w:t>
      </w:r>
      <w:r w:rsidRPr="09E5CE5E">
        <w:rPr>
          <w:noProof/>
          <w:lang w:eastAsia="en-GB"/>
        </w:rPr>
        <w:t xml:space="preserve"> would be the 7</w:t>
      </w:r>
      <w:r w:rsidRPr="09E5CE5E">
        <w:rPr>
          <w:noProof/>
          <w:vertAlign w:val="superscript"/>
          <w:lang w:eastAsia="en-GB"/>
        </w:rPr>
        <w:t>th</w:t>
      </w:r>
      <w:r w:rsidRPr="09E5CE5E">
        <w:rPr>
          <w:noProof/>
          <w:lang w:eastAsia="en-GB"/>
        </w:rPr>
        <w:t xml:space="preserve"> largest </w:t>
      </w:r>
      <w:r>
        <w:rPr>
          <w:noProof/>
          <w:lang w:eastAsia="en-GB"/>
        </w:rPr>
        <w:t xml:space="preserve">out of 27 </w:t>
      </w:r>
      <w:r w:rsidRPr="09E5CE5E">
        <w:rPr>
          <w:noProof/>
          <w:lang w:eastAsia="en-GB"/>
        </w:rPr>
        <w:t>sector</w:t>
      </w:r>
      <w:r>
        <w:rPr>
          <w:noProof/>
          <w:lang w:eastAsia="en-GB"/>
        </w:rPr>
        <w:t>s</w:t>
      </w:r>
      <w:r w:rsidRPr="09E5CE5E">
        <w:rPr>
          <w:noProof/>
          <w:lang w:eastAsia="en-GB"/>
        </w:rPr>
        <w:t xml:space="preserve"> under the EU ETS.</w:t>
      </w:r>
      <w:r>
        <w:rPr>
          <w:noProof/>
          <w:lang w:eastAsia="en-GB"/>
        </w:rPr>
        <w:t xml:space="preserve"> </w:t>
      </w:r>
    </w:p>
    <w:p w14:paraId="45C2F7E1" w14:textId="77777777" w:rsidR="009010D9" w:rsidRPr="003D3BB3" w:rsidRDefault="009010D9">
      <w:pPr>
        <w:rPr>
          <w:noProof/>
        </w:rPr>
      </w:pPr>
      <w:r>
        <w:rPr>
          <w:noProof/>
          <w:lang w:eastAsia="en-GB"/>
        </w:rPr>
        <w:t>The carbon price is projected to drive both cost-effective emissions reductions and carbon removals or negative emissions from municipal waste incineration through</w:t>
      </w:r>
      <w:r w:rsidRPr="00C67FD1">
        <w:rPr>
          <w:noProof/>
          <w:lang w:eastAsia="en-GB"/>
        </w:rPr>
        <w:t xml:space="preserve"> a combination of waste prevention and reduction at source, pre- and post-collection sorting and recycling of waste, and </w:t>
      </w:r>
      <w:r>
        <w:rPr>
          <w:noProof/>
          <w:lang w:eastAsia="en-GB"/>
        </w:rPr>
        <w:t>carbon capture and process optimisation at installation-level (see Section 1.3.). These were also the most frequently raised justifications in the stakeholder consultation by the majority of respondents supporting</w:t>
      </w:r>
      <w:r w:rsidRPr="00D077B9">
        <w:rPr>
          <w:noProof/>
          <w:lang w:eastAsia="en-GB"/>
        </w:rPr>
        <w:t xml:space="preserve"> MWI inclusion,</w:t>
      </w:r>
      <w:r>
        <w:rPr>
          <w:noProof/>
          <w:lang w:eastAsia="en-GB"/>
        </w:rPr>
        <w:t xml:space="preserve"> arguing inclusion in the EU ETS will contribute to incentivise recycling higher up the waste hierarchy (over one third of responses), as well as incentivising CCUS uptake (nearly one fifth of responses) and the potential to generate removal credits from biogenic CO2 (nearly one tenth of responses). The price signal of the cost passthrough can incentivise</w:t>
      </w:r>
      <w:r w:rsidRPr="00117F4F">
        <w:rPr>
          <w:rStyle w:val="normaltextrun"/>
          <w:noProof/>
          <w:color w:val="000000"/>
          <w:shd w:val="clear" w:color="auto" w:fill="FFFFFF"/>
        </w:rPr>
        <w:t xml:space="preserve"> </w:t>
      </w:r>
      <w:r>
        <w:rPr>
          <w:rStyle w:val="normaltextrun"/>
          <w:noProof/>
          <w:color w:val="000000"/>
          <w:shd w:val="clear" w:color="auto" w:fill="FFFFFF"/>
        </w:rPr>
        <w:t xml:space="preserve">improved </w:t>
      </w:r>
      <w:r w:rsidRPr="00117F4F">
        <w:rPr>
          <w:rStyle w:val="normaltextrun"/>
          <w:noProof/>
          <w:color w:val="000000"/>
          <w:shd w:val="clear" w:color="auto" w:fill="FFFFFF"/>
        </w:rPr>
        <w:t>pre-collection sorting and residual waste reductions in the range of 10-20% (3.6-7.2 Mt CO2eq) and increase</w:t>
      </w:r>
      <w:r>
        <w:rPr>
          <w:rStyle w:val="normaltextrun"/>
          <w:noProof/>
          <w:color w:val="000000"/>
          <w:shd w:val="clear" w:color="auto" w:fill="FFFFFF"/>
        </w:rPr>
        <w:t>d</w:t>
      </w:r>
      <w:r w:rsidRPr="00117F4F">
        <w:rPr>
          <w:rStyle w:val="normaltextrun"/>
          <w:noProof/>
          <w:color w:val="000000"/>
          <w:shd w:val="clear" w:color="auto" w:fill="FFFFFF"/>
        </w:rPr>
        <w:t xml:space="preserve"> recycling in the range of 16-22.5%</w:t>
      </w:r>
      <w:r>
        <w:rPr>
          <w:rStyle w:val="normaltextrun"/>
          <w:noProof/>
          <w:color w:val="000000"/>
          <w:shd w:val="clear" w:color="auto" w:fill="FFFFFF"/>
        </w:rPr>
        <w:t xml:space="preserve"> on the basis of existing price elasticities </w:t>
      </w:r>
      <w:r w:rsidRPr="002F3779">
        <w:rPr>
          <w:rStyle w:val="normaltextrun"/>
          <w:noProof/>
          <w:color w:val="000000"/>
          <w:shd w:val="clear" w:color="auto" w:fill="FFFFFF"/>
        </w:rPr>
        <w:t xml:space="preserve">for the </w:t>
      </w:r>
      <w:r>
        <w:rPr>
          <w:rStyle w:val="normaltextrun"/>
          <w:noProof/>
          <w:color w:val="000000"/>
          <w:shd w:val="clear" w:color="auto" w:fill="FFFFFF"/>
        </w:rPr>
        <w:t xml:space="preserve">residual waste disposal </w:t>
      </w:r>
      <w:r w:rsidRPr="002F3779">
        <w:rPr>
          <w:rStyle w:val="normaltextrun"/>
          <w:noProof/>
          <w:color w:val="000000"/>
          <w:shd w:val="clear" w:color="auto" w:fill="FFFFFF"/>
        </w:rPr>
        <w:t>demand</w:t>
      </w:r>
      <w:r w:rsidRPr="00117F4F">
        <w:rPr>
          <w:rStyle w:val="normaltextrun"/>
          <w:noProof/>
          <w:color w:val="000000"/>
          <w:shd w:val="clear" w:color="auto" w:fill="FFFFFF"/>
        </w:rPr>
        <w:t xml:space="preserve">. Increased recycling generates </w:t>
      </w:r>
      <w:r>
        <w:rPr>
          <w:rStyle w:val="normaltextrun"/>
          <w:noProof/>
          <w:color w:val="000000"/>
          <w:shd w:val="clear" w:color="auto" w:fill="FFFFFF"/>
        </w:rPr>
        <w:t>a dual</w:t>
      </w:r>
      <w:r w:rsidRPr="00117F4F">
        <w:rPr>
          <w:rStyle w:val="normaltextrun"/>
          <w:noProof/>
          <w:color w:val="000000"/>
          <w:shd w:val="clear" w:color="auto" w:fill="FFFFFF"/>
        </w:rPr>
        <w:t xml:space="preserve"> benefit</w:t>
      </w:r>
      <w:r>
        <w:rPr>
          <w:rStyle w:val="normaltextrun"/>
          <w:noProof/>
          <w:color w:val="000000"/>
          <w:shd w:val="clear" w:color="auto" w:fill="FFFFFF"/>
        </w:rPr>
        <w:t xml:space="preserve"> through the reduction of</w:t>
      </w:r>
      <w:r w:rsidRPr="00117F4F">
        <w:rPr>
          <w:rStyle w:val="normaltextrun"/>
          <w:noProof/>
          <w:color w:val="000000"/>
          <w:shd w:val="clear" w:color="auto" w:fill="FFFFFF"/>
        </w:rPr>
        <w:t xml:space="preserve"> GHG emissions </w:t>
      </w:r>
      <w:r>
        <w:rPr>
          <w:rStyle w:val="normaltextrun"/>
          <w:noProof/>
          <w:color w:val="000000"/>
          <w:shd w:val="clear" w:color="auto" w:fill="FFFFFF"/>
        </w:rPr>
        <w:t xml:space="preserve">in the waste management sector </w:t>
      </w:r>
      <w:r w:rsidRPr="00117F4F">
        <w:rPr>
          <w:rStyle w:val="normaltextrun"/>
          <w:noProof/>
          <w:color w:val="000000"/>
          <w:shd w:val="clear" w:color="auto" w:fill="FFFFFF"/>
        </w:rPr>
        <w:t>and by providing recycled materials displacing more carbon intensive virgin materials. Combined with complementary circular economy policies and measures, an ambitious circular economy scenario has a substantial potential for up to 75-84 Mt CO2-eq emissions reductions from plastics by 2050</w:t>
      </w:r>
      <w:r w:rsidRPr="00117F4F">
        <w:rPr>
          <w:rStyle w:val="superscript"/>
          <w:noProof/>
          <w:color w:val="000000"/>
          <w:vertAlign w:val="superscript"/>
        </w:rPr>
        <w:t>45</w:t>
      </w:r>
      <w:r w:rsidRPr="001E484D">
        <w:rPr>
          <w:rStyle w:val="superscript"/>
          <w:noProof/>
          <w:color w:val="000000"/>
        </w:rPr>
        <w:t>.</w:t>
      </w:r>
      <w:r>
        <w:rPr>
          <w:noProof/>
          <w:lang w:eastAsia="en-GB"/>
        </w:rPr>
        <w:t xml:space="preserve"> Carbon capture likewise offers a dual benefit </w:t>
      </w:r>
      <w:r w:rsidRPr="009100BB">
        <w:rPr>
          <w:noProof/>
          <w:lang w:eastAsia="en-GB"/>
        </w:rPr>
        <w:t xml:space="preserve">of reducing fossil emissions </w:t>
      </w:r>
      <w:r>
        <w:rPr>
          <w:noProof/>
          <w:lang w:eastAsia="en-GB"/>
        </w:rPr>
        <w:t>and generating</w:t>
      </w:r>
      <w:r w:rsidRPr="009100BB">
        <w:rPr>
          <w:noProof/>
          <w:lang w:eastAsia="en-GB"/>
        </w:rPr>
        <w:t xml:space="preserve"> biogenic carbon removals and negative emissions</w:t>
      </w:r>
      <w:r>
        <w:rPr>
          <w:noProof/>
          <w:lang w:eastAsia="en-GB"/>
        </w:rPr>
        <w:t xml:space="preserve">. </w:t>
      </w:r>
      <w:r w:rsidRPr="005346B6">
        <w:rPr>
          <w:noProof/>
          <w:lang w:eastAsia="en-GB"/>
        </w:rPr>
        <w:t xml:space="preserve">The risk of </w:t>
      </w:r>
      <w:r w:rsidRPr="005346B6">
        <w:rPr>
          <w:i/>
          <w:iCs/>
          <w:noProof/>
          <w:lang w:eastAsia="en-GB"/>
        </w:rPr>
        <w:t>emissions</w:t>
      </w:r>
      <w:r w:rsidRPr="005346B6">
        <w:rPr>
          <w:noProof/>
          <w:lang w:eastAsia="en-GB"/>
        </w:rPr>
        <w:t xml:space="preserve"> leakage due to potential waste diversion to landfilling </w:t>
      </w:r>
      <w:r>
        <w:rPr>
          <w:noProof/>
          <w:lang w:eastAsia="en-GB"/>
        </w:rPr>
        <w:t>would be limited by the design of W1</w:t>
      </w:r>
      <w:r w:rsidRPr="005346B6">
        <w:rPr>
          <w:noProof/>
          <w:lang w:eastAsia="en-GB"/>
        </w:rPr>
        <w:t xml:space="preserve"> </w:t>
      </w:r>
      <w:r>
        <w:rPr>
          <w:noProof/>
          <w:lang w:eastAsia="en-GB"/>
        </w:rPr>
        <w:t>as emissions from organic waste</w:t>
      </w:r>
      <w:r w:rsidRPr="005346B6">
        <w:rPr>
          <w:noProof/>
          <w:lang w:eastAsia="en-GB"/>
        </w:rPr>
        <w:t xml:space="preserve"> – the main source of methane emissions from landfills – would be zero-rated</w:t>
      </w:r>
      <w:r>
        <w:rPr>
          <w:noProof/>
          <w:lang w:eastAsia="en-GB"/>
        </w:rPr>
        <w:t>, substantially restricting incentives to divert organic waste to landfills in avoidance of the carbon cost, where they would be responsible for increased methane emissions</w:t>
      </w:r>
      <w:r w:rsidRPr="005346B6">
        <w:rPr>
          <w:noProof/>
          <w:lang w:eastAsia="en-GB"/>
        </w:rPr>
        <w:t xml:space="preserve">. </w:t>
      </w:r>
      <w:r>
        <w:rPr>
          <w:noProof/>
          <w:lang w:eastAsia="en-GB"/>
        </w:rPr>
        <w:t>Conversely, t</w:t>
      </w:r>
      <w:r w:rsidRPr="005346B6">
        <w:rPr>
          <w:noProof/>
          <w:lang w:eastAsia="en-GB"/>
        </w:rPr>
        <w:t xml:space="preserve">he environmental risk of </w:t>
      </w:r>
      <w:r>
        <w:rPr>
          <w:noProof/>
          <w:lang w:eastAsia="en-GB"/>
        </w:rPr>
        <w:t>(</w:t>
      </w:r>
      <w:r w:rsidRPr="005346B6">
        <w:rPr>
          <w:noProof/>
          <w:lang w:eastAsia="en-GB"/>
        </w:rPr>
        <w:t>fossil</w:t>
      </w:r>
      <w:r>
        <w:rPr>
          <w:noProof/>
          <w:lang w:eastAsia="en-GB"/>
        </w:rPr>
        <w:t>)</w:t>
      </w:r>
      <w:r w:rsidRPr="005346B6">
        <w:rPr>
          <w:noProof/>
          <w:lang w:eastAsia="en-GB"/>
        </w:rPr>
        <w:t xml:space="preserve"> </w:t>
      </w:r>
      <w:r w:rsidRPr="005555D9">
        <w:rPr>
          <w:i/>
          <w:iCs/>
          <w:noProof/>
          <w:lang w:eastAsia="en-GB"/>
        </w:rPr>
        <w:t>waste</w:t>
      </w:r>
      <w:r w:rsidRPr="005346B6">
        <w:rPr>
          <w:noProof/>
          <w:lang w:eastAsia="en-GB"/>
        </w:rPr>
        <w:t xml:space="preserve"> diversion to landfills is further assessed in section 1.</w:t>
      </w:r>
      <w:r>
        <w:rPr>
          <w:noProof/>
          <w:lang w:eastAsia="en-GB"/>
        </w:rPr>
        <w:t>7</w:t>
      </w:r>
      <w:r w:rsidRPr="005346B6">
        <w:rPr>
          <w:noProof/>
          <w:lang w:eastAsia="en-GB"/>
        </w:rPr>
        <w:t>.1.2.1.</w:t>
      </w:r>
    </w:p>
    <w:p w14:paraId="63AC5D36" w14:textId="77777777" w:rsidR="009010D9" w:rsidRDefault="009010D9">
      <w:pPr>
        <w:rPr>
          <w:noProof/>
          <w:lang w:eastAsia="en-GB"/>
        </w:rPr>
      </w:pPr>
      <w:r w:rsidRPr="09E5CE5E">
        <w:rPr>
          <w:noProof/>
          <w:lang w:eastAsia="en-GB"/>
        </w:rPr>
        <w:t xml:space="preserve">Second, extending the </w:t>
      </w:r>
      <w:r>
        <w:rPr>
          <w:noProof/>
          <w:lang w:eastAsia="en-GB"/>
        </w:rPr>
        <w:t>EU ETS</w:t>
      </w:r>
      <w:r w:rsidRPr="09E5CE5E">
        <w:rPr>
          <w:noProof/>
          <w:lang w:eastAsia="en-GB"/>
        </w:rPr>
        <w:t xml:space="preserve"> to non-hazardous waste incineration installations would harmonise the application of the polluter-pays principle within the waste incineration sector, addressing the current heterogeneous coverage of emissions from waste incineration depending on the waste type and Member States’ classification of installations. In addition, an extension would </w:t>
      </w:r>
      <w:r>
        <w:rPr>
          <w:noProof/>
          <w:lang w:eastAsia="en-GB"/>
        </w:rPr>
        <w:t>support a level playing field for</w:t>
      </w:r>
      <w:r w:rsidRPr="09E5CE5E">
        <w:rPr>
          <w:noProof/>
          <w:lang w:eastAsia="en-GB"/>
        </w:rPr>
        <w:t xml:space="preserve"> the application of the polluter-pays between </w:t>
      </w:r>
      <w:r>
        <w:rPr>
          <w:noProof/>
          <w:lang w:eastAsia="en-GB"/>
        </w:rPr>
        <w:t>sectors, notably with the co-incineration of waste in industrial installations (e.g. cement kilns) and power generation already in EU ETS</w:t>
      </w:r>
      <w:r w:rsidRPr="09E5CE5E">
        <w:rPr>
          <w:noProof/>
          <w:lang w:eastAsia="en-GB"/>
        </w:rPr>
        <w:t xml:space="preserve">. Finally, an extension would also harmonise the application of the polluter-pays principle between Member States, addressing competitive distortions resulting from the current differentiated </w:t>
      </w:r>
      <w:r>
        <w:rPr>
          <w:noProof/>
          <w:lang w:eastAsia="en-GB"/>
        </w:rPr>
        <w:t>carbon pricing</w:t>
      </w:r>
      <w:r w:rsidRPr="09E5CE5E">
        <w:rPr>
          <w:noProof/>
          <w:lang w:eastAsia="en-GB"/>
        </w:rPr>
        <w:t xml:space="preserve"> of waste-to-energy installations in selected Member States (Denmark, Sweden, Lithuania</w:t>
      </w:r>
      <w:r>
        <w:rPr>
          <w:noProof/>
          <w:lang w:eastAsia="en-GB"/>
        </w:rPr>
        <w:t>, Germany, the Netherlands</w:t>
      </w:r>
      <w:r w:rsidRPr="09E5CE5E">
        <w:rPr>
          <w:noProof/>
          <w:lang w:eastAsia="en-GB"/>
        </w:rPr>
        <w:t xml:space="preserve">). Nearly one third of respondents in the OPC who supported an inclusion of </w:t>
      </w:r>
      <w:r>
        <w:rPr>
          <w:noProof/>
          <w:lang w:eastAsia="en-GB"/>
        </w:rPr>
        <w:t>MWI</w:t>
      </w:r>
      <w:r w:rsidRPr="09E5CE5E">
        <w:rPr>
          <w:noProof/>
          <w:lang w:eastAsia="en-GB"/>
        </w:rPr>
        <w:t xml:space="preserve"> into the EU ETS substantiated their support to ensure a level playing field between sectors and maximise cost-effectiveness of emission reductions, while it was also raised by multiple stakeholders in position papers and during the interviews.</w:t>
      </w:r>
      <w:r>
        <w:rPr>
          <w:noProof/>
          <w:lang w:eastAsia="en-GB"/>
        </w:rPr>
        <w:t xml:space="preserve"> </w:t>
      </w:r>
      <w:r>
        <w:rPr>
          <w:noProof/>
        </w:rPr>
        <w:t xml:space="preserve">On the other hand, W1 carries a risk of uneven distribution of the carbon price incentive across the EU, given the diverse range of incineration shares across Member States. </w:t>
      </w:r>
      <w:r w:rsidRPr="002B2106">
        <w:rPr>
          <w:noProof/>
        </w:rPr>
        <w:t xml:space="preserve">A ‘three-speed Europe’ can be observed in terms of incineration rates, with </w:t>
      </w:r>
      <w:r>
        <w:rPr>
          <w:noProof/>
        </w:rPr>
        <w:t>a share</w:t>
      </w:r>
      <w:r w:rsidRPr="002B2106">
        <w:rPr>
          <w:noProof/>
        </w:rPr>
        <w:t xml:space="preserve"> of Member States having high incineration capacity and low to zero landfilling, </w:t>
      </w:r>
      <w:r>
        <w:rPr>
          <w:noProof/>
        </w:rPr>
        <w:t>a share</w:t>
      </w:r>
      <w:r w:rsidRPr="002B2106">
        <w:rPr>
          <w:noProof/>
        </w:rPr>
        <w:t xml:space="preserve"> of Member States transitioning from landfilling to incineration, and another </w:t>
      </w:r>
      <w:r>
        <w:rPr>
          <w:noProof/>
        </w:rPr>
        <w:t>share</w:t>
      </w:r>
      <w:r w:rsidRPr="002B2106">
        <w:rPr>
          <w:noProof/>
        </w:rPr>
        <w:t xml:space="preserve"> of Member States </w:t>
      </w:r>
      <w:r>
        <w:rPr>
          <w:noProof/>
        </w:rPr>
        <w:t>remaining</w:t>
      </w:r>
      <w:r w:rsidRPr="002B2106">
        <w:rPr>
          <w:noProof/>
        </w:rPr>
        <w:t xml:space="preserve"> heavily reliant on landfilling and hav</w:t>
      </w:r>
      <w:r>
        <w:rPr>
          <w:noProof/>
        </w:rPr>
        <w:t>ing</w:t>
      </w:r>
      <w:r w:rsidRPr="002B2106">
        <w:rPr>
          <w:noProof/>
        </w:rPr>
        <w:t xml:space="preserve"> no or almost no incineration capacity. </w:t>
      </w:r>
      <w:r>
        <w:rPr>
          <w:noProof/>
        </w:rPr>
        <w:t xml:space="preserve">Under </w:t>
      </w:r>
      <w:r w:rsidRPr="002B2106">
        <w:rPr>
          <w:noProof/>
        </w:rPr>
        <w:t>W1</w:t>
      </w:r>
      <w:r>
        <w:rPr>
          <w:noProof/>
        </w:rPr>
        <w:t xml:space="preserve">, the carbon price would not directly affect waste management in </w:t>
      </w:r>
      <w:r w:rsidRPr="002B2106">
        <w:rPr>
          <w:noProof/>
        </w:rPr>
        <w:t>the latter Member States.</w:t>
      </w:r>
      <w:r>
        <w:rPr>
          <w:noProof/>
        </w:rPr>
        <w:t xml:space="preserve"> </w:t>
      </w:r>
    </w:p>
    <w:p w14:paraId="6680BEBA" w14:textId="77777777" w:rsidR="009010D9" w:rsidRPr="003D3BB3" w:rsidRDefault="009010D9" w:rsidP="002F3B20">
      <w:pPr>
        <w:pStyle w:val="Heading5COM"/>
        <w:ind w:left="2232"/>
        <w:outlineLvl w:val="5"/>
        <w:rPr>
          <w:noProof/>
        </w:rPr>
      </w:pPr>
      <w:bookmarkStart w:id="734" w:name="_Toc230861535"/>
      <w:bookmarkStart w:id="735" w:name="_Toc232751157"/>
      <w:r>
        <w:rPr>
          <w:noProof/>
        </w:rPr>
        <w:t>W2 - EU ETS expansion to non-hazardous and hazardous waste incineration’</w:t>
      </w:r>
      <w:bookmarkEnd w:id="734"/>
      <w:bookmarkEnd w:id="735"/>
      <w:r>
        <w:rPr>
          <w:noProof/>
        </w:rPr>
        <w:t xml:space="preserve"> </w:t>
      </w:r>
    </w:p>
    <w:p w14:paraId="7421C4CD" w14:textId="77777777" w:rsidR="009010D9" w:rsidRPr="003D3BB3" w:rsidRDefault="009010D9">
      <w:pPr>
        <w:rPr>
          <w:noProof/>
          <w:lang w:eastAsia="en-GB"/>
        </w:rPr>
      </w:pPr>
      <w:r>
        <w:rPr>
          <w:noProof/>
          <w:lang w:eastAsia="en-GB"/>
        </w:rPr>
        <w:t>In addition to W1, u</w:t>
      </w:r>
      <w:r w:rsidRPr="003D3BB3">
        <w:rPr>
          <w:noProof/>
          <w:lang w:eastAsia="en-GB"/>
        </w:rPr>
        <w:t>nder W2, the carbon price signal is</w:t>
      </w:r>
      <w:r>
        <w:rPr>
          <w:noProof/>
          <w:lang w:eastAsia="en-GB"/>
        </w:rPr>
        <w:t xml:space="preserve"> also</w:t>
      </w:r>
      <w:r w:rsidRPr="003D3BB3">
        <w:rPr>
          <w:noProof/>
          <w:lang w:eastAsia="en-GB"/>
        </w:rPr>
        <w:t xml:space="preserve"> applied to hazardous waste incineration</w:t>
      </w:r>
      <w:r>
        <w:rPr>
          <w:noProof/>
          <w:lang w:eastAsia="en-GB"/>
        </w:rPr>
        <w:t xml:space="preserve"> (HWI)</w:t>
      </w:r>
      <w:r w:rsidRPr="003D3BB3">
        <w:rPr>
          <w:noProof/>
          <w:lang w:eastAsia="en-GB"/>
        </w:rPr>
        <w:t xml:space="preserve">. </w:t>
      </w:r>
      <w:r>
        <w:rPr>
          <w:noProof/>
          <w:lang w:eastAsia="en-GB"/>
        </w:rPr>
        <w:t xml:space="preserve">A detailed analysis of cost-effective emissions reductions under W2 was not possible due to data limitations on current HWI emissions. HWI emissions were approximated in Section 1.2.2. to amount to around 3.15 MtCO2e (2022). The establishment of the cap increase and modelling of cost-effective emissions reductions under the LRF would ideally require more accurate MRV data to be collected prior to inclusion. However, the cost-effective emission reduction potential for HWI is expected to be more limited compared to W1 in view of these waste streams more regularly originating from products with limited recycling potential and a lack of viable alternatives for the hygienic and environmentally sound disposal of non-recyclable hazardous waste in view of strict regulatory requirements.  </w:t>
      </w:r>
    </w:p>
    <w:p w14:paraId="4E87E781" w14:textId="77777777" w:rsidR="009010D9" w:rsidRPr="003D3BB3" w:rsidRDefault="009010D9">
      <w:pPr>
        <w:rPr>
          <w:noProof/>
          <w:lang w:eastAsia="en-GB"/>
        </w:rPr>
      </w:pPr>
      <w:r>
        <w:rPr>
          <w:noProof/>
          <w:lang w:eastAsia="en-GB"/>
        </w:rPr>
        <w:t>There was no majority for the inclusion of installations for the incineration of hazardous waste in the EU ETS among stakeholders in the OPC, with a relative majority of just over one third against, versus one third in favour and one third uncertain. The main arguments against inclusion of HWI were the stricter regulatory requirements and more limited alternatives in safely handling hazardous waste and potential risks to public health and safety compared to MWI, the public-service role and lack of control over upstream hazardous waste production, and limited fuel-switch options due to the need for destruction at high temperatures. O</w:t>
      </w:r>
      <w:r w:rsidRPr="09E5CE5E">
        <w:rPr>
          <w:noProof/>
          <w:lang w:eastAsia="en-GB"/>
        </w:rPr>
        <w:t xml:space="preserve">ne of the most frequently raised grounds in favour of including </w:t>
      </w:r>
      <w:r>
        <w:rPr>
          <w:noProof/>
          <w:lang w:eastAsia="en-GB"/>
        </w:rPr>
        <w:t>HWI</w:t>
      </w:r>
      <w:r w:rsidRPr="09E5CE5E">
        <w:rPr>
          <w:noProof/>
          <w:lang w:eastAsia="en-GB"/>
        </w:rPr>
        <w:t xml:space="preserve"> installations was to uphold the polluter pays principle by enhancing coherence and a level playing field between incineration activities, and that </w:t>
      </w:r>
      <w:r>
        <w:rPr>
          <w:noProof/>
          <w:lang w:eastAsia="en-GB"/>
        </w:rPr>
        <w:t>some MWI</w:t>
      </w:r>
      <w:r w:rsidRPr="09E5CE5E">
        <w:rPr>
          <w:noProof/>
          <w:lang w:eastAsia="en-GB"/>
        </w:rPr>
        <w:t xml:space="preserve"> installations hold permits </w:t>
      </w:r>
      <w:r>
        <w:rPr>
          <w:noProof/>
          <w:lang w:eastAsia="en-GB"/>
        </w:rPr>
        <w:t>also</w:t>
      </w:r>
      <w:r w:rsidRPr="09E5CE5E">
        <w:rPr>
          <w:noProof/>
          <w:lang w:eastAsia="en-GB"/>
        </w:rPr>
        <w:t xml:space="preserve"> for </w:t>
      </w:r>
      <w:r>
        <w:rPr>
          <w:noProof/>
          <w:lang w:eastAsia="en-GB"/>
        </w:rPr>
        <w:t>some hazardous waste fractions</w:t>
      </w:r>
      <w:r w:rsidRPr="09E5CE5E">
        <w:rPr>
          <w:noProof/>
          <w:lang w:eastAsia="en-GB"/>
        </w:rPr>
        <w:t xml:space="preserve"> (the other main argument being to incentivise cleaner technologies and cleaner consumer choices).</w:t>
      </w:r>
      <w:r>
        <w:rPr>
          <w:noProof/>
          <w:lang w:eastAsia="en-GB"/>
        </w:rPr>
        <w:t xml:space="preserve"> </w:t>
      </w:r>
    </w:p>
    <w:p w14:paraId="4EC92398" w14:textId="77777777" w:rsidR="009010D9" w:rsidRPr="003D3BB3" w:rsidRDefault="009010D9" w:rsidP="002F3B20">
      <w:pPr>
        <w:pStyle w:val="Heading5COM"/>
        <w:ind w:left="2232"/>
        <w:outlineLvl w:val="5"/>
        <w:rPr>
          <w:noProof/>
        </w:rPr>
      </w:pPr>
      <w:bookmarkStart w:id="736" w:name="_Toc212426448"/>
      <w:bookmarkStart w:id="737" w:name="_Toc1873603265"/>
      <w:bookmarkStart w:id="738" w:name="_Toc230861536"/>
      <w:bookmarkStart w:id="739" w:name="_Toc232751158"/>
      <w:r w:rsidRPr="003D3BB3">
        <w:rPr>
          <w:noProof/>
        </w:rPr>
        <w:t>W3 ‘</w:t>
      </w:r>
      <w:r>
        <w:rPr>
          <w:noProof/>
        </w:rPr>
        <w:t xml:space="preserve">EU ETS </w:t>
      </w:r>
      <w:r w:rsidRPr="003D3BB3">
        <w:rPr>
          <w:noProof/>
        </w:rPr>
        <w:t>expansion to non-hazardous and hazardous waste incineration as well as non-hazardous landfills’</w:t>
      </w:r>
      <w:bookmarkEnd w:id="736"/>
      <w:bookmarkEnd w:id="737"/>
      <w:bookmarkEnd w:id="738"/>
      <w:bookmarkEnd w:id="739"/>
      <w:r w:rsidRPr="003D3BB3">
        <w:rPr>
          <w:noProof/>
        </w:rPr>
        <w:t xml:space="preserve"> </w:t>
      </w:r>
    </w:p>
    <w:p w14:paraId="15674EFF" w14:textId="77777777" w:rsidR="009010D9" w:rsidRDefault="009010D9">
      <w:pPr>
        <w:rPr>
          <w:noProof/>
          <w:lang w:eastAsia="en-GB"/>
        </w:rPr>
      </w:pPr>
      <w:r>
        <w:rPr>
          <w:noProof/>
          <w:lang w:eastAsia="en-GB"/>
        </w:rPr>
        <w:t>Methane e</w:t>
      </w:r>
      <w:r w:rsidRPr="009E29F1">
        <w:rPr>
          <w:noProof/>
          <w:lang w:eastAsia="en-GB"/>
        </w:rPr>
        <w:t xml:space="preserve">missions from landfills </w:t>
      </w:r>
      <w:r w:rsidRPr="00633708">
        <w:rPr>
          <w:noProof/>
          <w:lang w:eastAsia="en-GB"/>
        </w:rPr>
        <w:t>are responsible for the largest share of emissions from EU waste management</w:t>
      </w:r>
      <w:r>
        <w:rPr>
          <w:noProof/>
          <w:lang w:eastAsia="en-GB"/>
        </w:rPr>
        <w:t>,</w:t>
      </w:r>
      <w:r w:rsidRPr="009E29F1">
        <w:rPr>
          <w:noProof/>
          <w:lang w:eastAsia="en-GB"/>
        </w:rPr>
        <w:t xml:space="preserve"> with many Member States still seeing high landfill rates</w:t>
      </w:r>
      <w:r>
        <w:rPr>
          <w:noProof/>
          <w:lang w:eastAsia="en-GB"/>
        </w:rPr>
        <w:t>, despite an overall decrease over the past decades</w:t>
      </w:r>
      <w:r w:rsidRPr="009E29F1">
        <w:rPr>
          <w:noProof/>
          <w:lang w:eastAsia="en-GB"/>
        </w:rPr>
        <w:t>.</w:t>
      </w:r>
      <w:r>
        <w:rPr>
          <w:noProof/>
          <w:lang w:eastAsia="en-GB"/>
        </w:rPr>
        <w:t xml:space="preserve"> </w:t>
      </w:r>
      <w:r w:rsidRPr="003D3BB3">
        <w:rPr>
          <w:noProof/>
          <w:lang w:eastAsia="en-GB"/>
        </w:rPr>
        <w:t xml:space="preserve"> Landfills are a persisting source of </w:t>
      </w:r>
      <w:r w:rsidRPr="003D3BB3">
        <w:rPr>
          <w:noProof/>
        </w:rPr>
        <w:t xml:space="preserve">methane (CH₄), which is a </w:t>
      </w:r>
      <w:r>
        <w:rPr>
          <w:noProof/>
        </w:rPr>
        <w:t xml:space="preserve">more </w:t>
      </w:r>
      <w:r w:rsidRPr="003D3BB3">
        <w:rPr>
          <w:noProof/>
        </w:rPr>
        <w:t xml:space="preserve">potent </w:t>
      </w:r>
      <w:r>
        <w:rPr>
          <w:noProof/>
        </w:rPr>
        <w:t>GHG</w:t>
      </w:r>
      <w:r w:rsidRPr="003D3BB3">
        <w:rPr>
          <w:noProof/>
        </w:rPr>
        <w:t xml:space="preserve"> than CO</w:t>
      </w:r>
      <w:r w:rsidRPr="003D3BB3">
        <w:rPr>
          <w:noProof/>
        </w:rPr>
        <w:softHyphen/>
      </w:r>
      <w:r w:rsidRPr="003D3BB3">
        <w:rPr>
          <w:noProof/>
          <w:vertAlign w:val="subscript"/>
        </w:rPr>
        <w:t>2</w:t>
      </w:r>
      <w:r w:rsidRPr="003D3BB3">
        <w:rPr>
          <w:rStyle w:val="FootnoteReference"/>
          <w:noProof/>
          <w:sz w:val="22"/>
          <w:szCs w:val="22"/>
        </w:rPr>
        <w:footnoteReference w:id="131"/>
      </w:r>
      <w:r w:rsidRPr="003D3BB3">
        <w:rPr>
          <w:noProof/>
          <w:lang w:eastAsia="en-GB"/>
        </w:rPr>
        <w:t xml:space="preserve">. </w:t>
      </w:r>
      <w:r>
        <w:rPr>
          <w:noProof/>
          <w:lang w:eastAsia="en-GB"/>
        </w:rPr>
        <w:t>Contrary to MWI, EU and national regulatory frameworks are currently in place to reduce landfills and landfill emissions (Landfill Directive and national bans on landfilling of organic and combustible waste) which, when implemented effectively, have been successful in several Member States in reducing emissions from non-hazardous landfills.</w:t>
      </w:r>
    </w:p>
    <w:p w14:paraId="374E38C5" w14:textId="77777777" w:rsidR="009010D9" w:rsidRPr="003D3BB3" w:rsidRDefault="009010D9">
      <w:pPr>
        <w:rPr>
          <w:noProof/>
          <w:lang w:eastAsia="en-GB"/>
        </w:rPr>
      </w:pPr>
      <w:r>
        <w:rPr>
          <w:noProof/>
          <w:lang w:eastAsia="en-GB"/>
        </w:rPr>
        <w:t>T</w:t>
      </w:r>
      <w:r w:rsidRPr="0018453A">
        <w:rPr>
          <w:noProof/>
          <w:lang w:eastAsia="en-GB"/>
        </w:rPr>
        <w:t xml:space="preserve">he uncertainty in the quantification of methane emissions from </w:t>
      </w:r>
      <w:r>
        <w:rPr>
          <w:noProof/>
          <w:lang w:eastAsia="en-GB"/>
        </w:rPr>
        <w:t xml:space="preserve">landfills remains high. Reported emissions based on reference values range from </w:t>
      </w:r>
      <w:r w:rsidRPr="0050721F">
        <w:rPr>
          <w:noProof/>
          <w:lang w:eastAsia="en-GB"/>
        </w:rPr>
        <w:t>74 MtCO2eq (based on ‘historical emissions’, i.e. emissions in a given year resulting from historical and current waste disposed in landfills) to 82 MtCO2eq</w:t>
      </w:r>
      <w:r>
        <w:rPr>
          <w:noProof/>
          <w:lang w:eastAsia="en-GB"/>
        </w:rPr>
        <w:t xml:space="preserve"> (based on ‘future emissions’, i.e. all emissions expected over the lifetime of the waste disposed in a given year), depending on the methodology used (see Section 1.2.3.). Under both approaches, emissions </w:t>
      </w:r>
      <w:r w:rsidRPr="003D3BB3">
        <w:rPr>
          <w:noProof/>
          <w:lang w:eastAsia="en-GB"/>
        </w:rPr>
        <w:t xml:space="preserve">exceed those from aviation currently under the EU ETS. </w:t>
      </w:r>
      <w:r>
        <w:rPr>
          <w:noProof/>
          <w:lang w:eastAsia="en-GB"/>
        </w:rPr>
        <w:t xml:space="preserve">The assessment of abatement options for landfills suggests a relatively high potential for cost-effective emissions reductions, for which the carbon price could be an important incentive (see Section 1.3.). </w:t>
      </w:r>
      <w:r w:rsidRPr="0057117E">
        <w:rPr>
          <w:noProof/>
          <w:lang w:eastAsia="en-GB"/>
        </w:rPr>
        <w:t>The establishment of the cap increase and modelling of cost-effective emissions reductions under the LRF would ideally require more accurate</w:t>
      </w:r>
      <w:r>
        <w:rPr>
          <w:noProof/>
          <w:lang w:eastAsia="en-GB"/>
        </w:rPr>
        <w:t xml:space="preserve"> and harmonised</w:t>
      </w:r>
      <w:r w:rsidRPr="0057117E">
        <w:rPr>
          <w:noProof/>
          <w:lang w:eastAsia="en-GB"/>
        </w:rPr>
        <w:t xml:space="preserve"> MRV data to be collected prior to inclusion.</w:t>
      </w:r>
      <w:r>
        <w:rPr>
          <w:noProof/>
          <w:lang w:eastAsia="en-GB"/>
        </w:rPr>
        <w:t xml:space="preserve"> E</w:t>
      </w:r>
      <w:r w:rsidRPr="002D31A2">
        <w:rPr>
          <w:noProof/>
          <w:lang w:eastAsia="en-GB"/>
        </w:rPr>
        <w:t xml:space="preserve">missions from non-hazardous landfilling are projected to continue to gradually decrease by 2040 </w:t>
      </w:r>
      <w:r>
        <w:rPr>
          <w:noProof/>
          <w:lang w:eastAsia="en-GB"/>
        </w:rPr>
        <w:t>if the existing regulatory framework is fully enforced and implemented</w:t>
      </w:r>
      <w:r w:rsidRPr="002D31A2">
        <w:rPr>
          <w:noProof/>
          <w:lang w:eastAsia="en-GB"/>
        </w:rPr>
        <w:t>, in line with the trend over the previous decades (albeit at a below-potential rate so far due to slow progress towards the landfill target in some Member States)</w:t>
      </w:r>
      <w:r>
        <w:rPr>
          <w:noProof/>
          <w:lang w:eastAsia="en-GB"/>
        </w:rPr>
        <w:t>, with the benefit of ETS inclusion being to increase certainty and provide complementary incentives to achieve these reductions in view of the current slow progress towards the landfill target in some Member States.</w:t>
      </w:r>
      <w:r w:rsidRPr="002D31A2">
        <w:rPr>
          <w:noProof/>
          <w:lang w:eastAsia="en-GB"/>
        </w:rPr>
        <w:t xml:space="preserve"> </w:t>
      </w:r>
    </w:p>
    <w:p w14:paraId="4EE4B6E1" w14:textId="77777777" w:rsidR="009010D9" w:rsidRDefault="009010D9">
      <w:pPr>
        <w:rPr>
          <w:noProof/>
        </w:rPr>
      </w:pPr>
      <w:r>
        <w:rPr>
          <w:noProof/>
        </w:rPr>
        <w:t>An extension of the carbon price to emissions from landfills would have to consider whether to include only emissions from future waste disposal or also emissions from waste disposed prior to the application of the carbon price. A significant proportion of landfill emissions are expected to be a result of waste disposed of in the past as the emissions are produced by the ongoing anaerobic decay of organic material deposited years or decades earlier. The scope of coverage needs to consider not only the environmental impact of the scope, but also the feasibility of establishing a robust MRV, economic costs and abatement options. Extending the carbon price to historical emissions from landfills would provide a more extensive coverage of the polluter-pays-principle compared to applying the carbon price only to future emissions from landfills. The MRV and economic considerations are assessed in the subsequent sections.</w:t>
      </w:r>
    </w:p>
    <w:p w14:paraId="3748C35C" w14:textId="77777777" w:rsidR="009010D9" w:rsidRPr="003D3BB3" w:rsidRDefault="009010D9" w:rsidP="002F3B20">
      <w:pPr>
        <w:pStyle w:val="Heading4COM"/>
        <w:outlineLvl w:val="4"/>
        <w:rPr>
          <w:noProof/>
        </w:rPr>
      </w:pPr>
      <w:bookmarkStart w:id="740" w:name="_Toc230861537"/>
      <w:bookmarkStart w:id="741" w:name="_Toc232751159"/>
      <w:bookmarkStart w:id="742" w:name="_Toc212426444"/>
      <w:bookmarkStart w:id="743" w:name="_Toc1794426829"/>
      <w:r>
        <w:rPr>
          <w:noProof/>
        </w:rPr>
        <w:t>Other environmental impacts</w:t>
      </w:r>
      <w:bookmarkEnd w:id="740"/>
      <w:bookmarkEnd w:id="741"/>
    </w:p>
    <w:p w14:paraId="7D7B704B" w14:textId="77777777" w:rsidR="009010D9" w:rsidRDefault="009010D9" w:rsidP="002F3B20">
      <w:pPr>
        <w:pStyle w:val="Heading5COM"/>
        <w:ind w:left="2232"/>
        <w:outlineLvl w:val="5"/>
        <w:rPr>
          <w:noProof/>
        </w:rPr>
      </w:pPr>
      <w:bookmarkStart w:id="744" w:name="_Toc230861538"/>
      <w:bookmarkStart w:id="745" w:name="_Toc232751160"/>
      <w:r w:rsidRPr="003D3BB3">
        <w:rPr>
          <w:noProof/>
        </w:rPr>
        <w:t>W1 ‘</w:t>
      </w:r>
      <w:r>
        <w:rPr>
          <w:noProof/>
        </w:rPr>
        <w:t xml:space="preserve">EU ETS </w:t>
      </w:r>
      <w:r w:rsidRPr="003D3BB3">
        <w:rPr>
          <w:noProof/>
        </w:rPr>
        <w:t>expansion to non-hazardous waste incineration’</w:t>
      </w:r>
      <w:bookmarkEnd w:id="744"/>
      <w:bookmarkEnd w:id="745"/>
      <w:r w:rsidRPr="003D3BB3">
        <w:rPr>
          <w:noProof/>
        </w:rPr>
        <w:t xml:space="preserve"> </w:t>
      </w:r>
    </w:p>
    <w:p w14:paraId="038FDF37" w14:textId="77777777" w:rsidR="009010D9" w:rsidRDefault="009010D9" w:rsidP="00084EF1">
      <w:pPr>
        <w:rPr>
          <w:noProof/>
        </w:rPr>
      </w:pPr>
      <w:r>
        <w:rPr>
          <w:noProof/>
        </w:rPr>
        <w:t xml:space="preserve">By incentivising waste reduction and increased recycling, the extension of the carbon price signal to MWI will contribute to the environmental policy framework objectives to reduce environmental (non-GHG) pollution (e.g. Industrial Emissions Directive, Landfill Directive) and to move waste higher up the waste hierarchy (e.g. Waste Framework Directive, Packaging and Packaging Waste Regulation). </w:t>
      </w:r>
    </w:p>
    <w:p w14:paraId="4172FF19" w14:textId="77777777" w:rsidR="009010D9" w:rsidRPr="003D3BB3" w:rsidRDefault="009010D9">
      <w:pPr>
        <w:rPr>
          <w:noProof/>
          <w:lang w:eastAsia="en-GB"/>
        </w:rPr>
      </w:pPr>
      <w:r>
        <w:rPr>
          <w:noProof/>
        </w:rPr>
        <w:t>First, action is needed at different levels to move waste up the waste hierarchy, from upstream improvements in product design to facilitate recyclability and increase recycled content, to waste prevention and effective sorting at consumption level, and separate waste collection and expanding recycling capacity. Extending carbon pricing to GHG emissions from waste incineration can provide an important complementary financial incentive supporting the circular economy by making waste prevention, recycling and reuse more financially competitive through the application of a carbon price on waste management processes further down the waste hierarchy. By internalising the carbon footprint of non-hazardous waste incineration, W1 would incentivise more efficient material flows through improved separate waste collection, sorting and material recovery. The most frequently cited argument among OPC respondents in support of MWI inclusion was to incentivise recycling higher up the waste hierarchy. On the other hand, W1 carries a risk of waste diversion to landfills, especially for fossil waste streams, which would contradict the waste hierarchy. The risk would not be uniform across the EU and is crucially dependent on the effective enforcement and implementation of the existing regulatory framework. Landfilling is currently the cheapest disposal route in Member States where bans or high taxation are not in place. Higher compliance and operational costs for municipal waste incineration may further incentivise some operators or waste producers to look for cheaper treatment or disposal routes, chiefly landfilling, where strict regulatory of fiscal policies</w:t>
      </w:r>
      <w:r w:rsidRPr="00025C38">
        <w:rPr>
          <w:noProof/>
        </w:rPr>
        <w:t xml:space="preserve"> closing the gap</w:t>
      </w:r>
      <w:r>
        <w:rPr>
          <w:noProof/>
        </w:rPr>
        <w:t xml:space="preserve"> are not in place. This concern was also consistently raised in the public consultation by almost half of the respondents who oppose MWI inclusion, while several respondents supporting MWI inclusion also linked their support to addressing potential unintended consequences in terms of landfill diversion. Their views were divided, however, on the appropriate approach to achieve this, whether regulatory (e.g. stronger enforcement or advancing implementation of targets under the Landfill Directive), fiscal (taxation or levies) or carbon pricing (inclusion in the EU ETS). </w:t>
      </w:r>
      <w:r>
        <w:rPr>
          <w:noProof/>
          <w:lang w:eastAsia="en-GB"/>
        </w:rPr>
        <w:t xml:space="preserve">Experience of landfill development across the EU also confirms that mitigating the risk of landfill diversion is </w:t>
      </w:r>
      <w:r w:rsidRPr="005A46A6">
        <w:rPr>
          <w:noProof/>
          <w:lang w:eastAsia="en-GB"/>
        </w:rPr>
        <w:t xml:space="preserve">crucially dependent on </w:t>
      </w:r>
      <w:r w:rsidRPr="006A3D29">
        <w:rPr>
          <w:noProof/>
          <w:lang w:eastAsia="en-GB"/>
        </w:rPr>
        <w:t xml:space="preserve">effective implementation and enforcement of </w:t>
      </w:r>
      <w:r>
        <w:rPr>
          <w:noProof/>
          <w:lang w:eastAsia="en-GB"/>
        </w:rPr>
        <w:t xml:space="preserve">the waste policy framework to discourage landfilling.  </w:t>
      </w:r>
      <w:r w:rsidRPr="005A46A6">
        <w:rPr>
          <w:noProof/>
          <w:lang w:eastAsia="en-GB"/>
        </w:rPr>
        <w:t>Member States</w:t>
      </w:r>
      <w:r>
        <w:rPr>
          <w:noProof/>
          <w:lang w:eastAsia="en-GB"/>
        </w:rPr>
        <w:t xml:space="preserve"> effectively banning</w:t>
      </w:r>
      <w:r w:rsidRPr="005A46A6">
        <w:rPr>
          <w:noProof/>
          <w:lang w:eastAsia="en-GB"/>
        </w:rPr>
        <w:t xml:space="preserve"> or (heavily) tax</w:t>
      </w:r>
      <w:r>
        <w:rPr>
          <w:noProof/>
          <w:lang w:eastAsia="en-GB"/>
        </w:rPr>
        <w:t>ing</w:t>
      </w:r>
      <w:r w:rsidRPr="005A46A6">
        <w:rPr>
          <w:noProof/>
          <w:lang w:eastAsia="en-GB"/>
        </w:rPr>
        <w:t xml:space="preserve"> landfilling of waste</w:t>
      </w:r>
      <w:r w:rsidRPr="00346ECA">
        <w:rPr>
          <w:noProof/>
          <w:lang w:eastAsia="en-GB"/>
        </w:rPr>
        <w:t xml:space="preserve"> </w:t>
      </w:r>
      <w:r>
        <w:rPr>
          <w:noProof/>
          <w:lang w:eastAsia="en-GB"/>
        </w:rPr>
        <w:t xml:space="preserve">have generally achieved </w:t>
      </w:r>
      <w:r w:rsidRPr="005A46A6">
        <w:rPr>
          <w:noProof/>
          <w:lang w:eastAsia="en-GB"/>
        </w:rPr>
        <w:t>low landfilling levels, effectively deterring diversion</w:t>
      </w:r>
      <w:r>
        <w:rPr>
          <w:noProof/>
          <w:lang w:eastAsia="en-GB"/>
        </w:rPr>
        <w:t xml:space="preserve"> and directing waste up the waste hierarchy. Th</w:t>
      </w:r>
      <w:r w:rsidRPr="00BC559D">
        <w:rPr>
          <w:noProof/>
          <w:lang w:eastAsia="en-GB"/>
        </w:rPr>
        <w:t xml:space="preserve">is </w:t>
      </w:r>
      <w:r>
        <w:rPr>
          <w:noProof/>
          <w:lang w:eastAsia="en-GB"/>
        </w:rPr>
        <w:t>evidence also</w:t>
      </w:r>
      <w:r w:rsidRPr="00BC559D">
        <w:rPr>
          <w:noProof/>
          <w:lang w:eastAsia="en-GB"/>
        </w:rPr>
        <w:t xml:space="preserve"> holds for Member States currently </w:t>
      </w:r>
      <w:r>
        <w:rPr>
          <w:noProof/>
          <w:lang w:eastAsia="en-GB"/>
        </w:rPr>
        <w:t xml:space="preserve">already </w:t>
      </w:r>
      <w:r w:rsidRPr="00BC559D">
        <w:rPr>
          <w:noProof/>
          <w:lang w:eastAsia="en-GB"/>
        </w:rPr>
        <w:t xml:space="preserve">applying carbon pricing </w:t>
      </w:r>
      <w:r>
        <w:rPr>
          <w:noProof/>
          <w:lang w:eastAsia="en-GB"/>
        </w:rPr>
        <w:t>to</w:t>
      </w:r>
      <w:r w:rsidRPr="00BC559D">
        <w:rPr>
          <w:noProof/>
          <w:lang w:eastAsia="en-GB"/>
        </w:rPr>
        <w:t xml:space="preserve"> municipal waste incineration</w:t>
      </w:r>
      <w:r>
        <w:rPr>
          <w:noProof/>
          <w:lang w:eastAsia="en-GB"/>
        </w:rPr>
        <w:t xml:space="preserve">, with landfill rates having continued to decrease in </w:t>
      </w:r>
      <w:r w:rsidRPr="00BC559D">
        <w:rPr>
          <w:noProof/>
          <w:lang w:eastAsia="en-GB"/>
        </w:rPr>
        <w:t xml:space="preserve">Denmark, Germany, Lithuania and Sweden since </w:t>
      </w:r>
      <w:r>
        <w:rPr>
          <w:noProof/>
          <w:lang w:eastAsia="en-GB"/>
        </w:rPr>
        <w:t>inclusion of the incineration sector in the ETS</w:t>
      </w:r>
      <w:r w:rsidRPr="00BC559D">
        <w:rPr>
          <w:noProof/>
          <w:lang w:eastAsia="en-GB"/>
        </w:rPr>
        <w:t>.</w:t>
      </w:r>
    </w:p>
    <w:p w14:paraId="73B12BCF" w14:textId="77777777" w:rsidR="009010D9" w:rsidRDefault="009010D9">
      <w:pPr>
        <w:rPr>
          <w:noProof/>
        </w:rPr>
      </w:pPr>
      <w:r>
        <w:rPr>
          <w:noProof/>
        </w:rPr>
        <w:t>Second, by incentivising waste reduction, extending carbon pricing under W1 will further contribute to reduce non-GHG air pollutant emissions from MWI. The average net (non-GHG) environmental life cycle costs of overall waste management in the EU-27 have recently been estimated at 162 EUR/tonne of waste, with incineration and landfilling one of the main cost drivers</w:t>
      </w:r>
      <w:r>
        <w:rPr>
          <w:rStyle w:val="FootnoteReference"/>
          <w:noProof/>
        </w:rPr>
        <w:footnoteReference w:id="132"/>
      </w:r>
      <w:r>
        <w:rPr>
          <w:noProof/>
        </w:rPr>
        <w:t xml:space="preserve">, with </w:t>
      </w:r>
      <w:r w:rsidRPr="00996977">
        <w:rPr>
          <w:noProof/>
        </w:rPr>
        <w:t xml:space="preserve">Member States with high recycling rates </w:t>
      </w:r>
      <w:r>
        <w:rPr>
          <w:noProof/>
        </w:rPr>
        <w:t>having</w:t>
      </w:r>
      <w:r w:rsidRPr="00996977">
        <w:rPr>
          <w:noProof/>
        </w:rPr>
        <w:t xml:space="preserve"> lower environmental life cycle costs than those with high disposal rates. </w:t>
      </w:r>
      <w:r>
        <w:rPr>
          <w:noProof/>
        </w:rPr>
        <w:t xml:space="preserve"> MWI is a substantial source of particulate matter (PM2.5 and PM10) and polycyclic aromatic hydrocarbons (PAHs), which contribute to respiratory and heart problems, and sulphur dioxide (SO2) and nitrogen oxides (NOx), which contribute to acid rain and local smog. T</w:t>
      </w:r>
      <w:r w:rsidRPr="00486747">
        <w:rPr>
          <w:noProof/>
        </w:rPr>
        <w:t xml:space="preserve">ypical emission factors for modern EU plants </w:t>
      </w:r>
      <w:r>
        <w:rPr>
          <w:noProof/>
        </w:rPr>
        <w:t>are</w:t>
      </w:r>
      <w:r w:rsidRPr="00486747">
        <w:rPr>
          <w:noProof/>
        </w:rPr>
        <w:t xml:space="preserve"> roughly 1.07 kg NOₓ per tonne of waste, 0.087 kg SO2 per tonne, and 0.03 kg </w:t>
      </w:r>
      <w:r>
        <w:rPr>
          <w:noProof/>
        </w:rPr>
        <w:t>PM</w:t>
      </w:r>
      <w:r w:rsidRPr="00486747">
        <w:rPr>
          <w:noProof/>
        </w:rPr>
        <w:t xml:space="preserve"> per tonne, alongside trace emissions of heavy metals </w:t>
      </w:r>
      <w:r>
        <w:rPr>
          <w:noProof/>
        </w:rPr>
        <w:t xml:space="preserve">(lead, mercury) </w:t>
      </w:r>
      <w:r w:rsidRPr="00486747">
        <w:rPr>
          <w:noProof/>
        </w:rPr>
        <w:t xml:space="preserve">and highly toxic </w:t>
      </w:r>
      <w:r>
        <w:rPr>
          <w:noProof/>
        </w:rPr>
        <w:t xml:space="preserve">persistent organic pollutants (dioxins, furans) </w:t>
      </w:r>
      <w:r w:rsidRPr="00486747">
        <w:rPr>
          <w:noProof/>
        </w:rPr>
        <w:t xml:space="preserve">measured in nanograms per tonne of waste. </w:t>
      </w:r>
      <w:r>
        <w:rPr>
          <w:noProof/>
        </w:rPr>
        <w:t>T</w:t>
      </w:r>
      <w:r w:rsidRPr="00E471FF">
        <w:rPr>
          <w:noProof/>
        </w:rPr>
        <w:t xml:space="preserve">hese pollutants are regulated by the IED and adopted BREF conclusions. However, </w:t>
      </w:r>
      <w:r>
        <w:rPr>
          <w:noProof/>
        </w:rPr>
        <w:t>pollutants can concentrate in the resulting ash and residues, and</w:t>
      </w:r>
      <w:r w:rsidRPr="00E471FF">
        <w:rPr>
          <w:noProof/>
        </w:rPr>
        <w:t xml:space="preserve"> total emissions remain notable due to the scale of incineration capacity</w:t>
      </w:r>
      <w:r>
        <w:rPr>
          <w:noProof/>
        </w:rPr>
        <w:t>. Changes in the emission to air of different pollutants (see Figure) by EU incineration facilities varied between 2010 and 2022, showing either increasing or decreasing trends, with a more stable path since 2017</w:t>
      </w:r>
      <w:r w:rsidRPr="00230082">
        <w:rPr>
          <w:noProof/>
          <w:vertAlign w:val="superscript"/>
        </w:rPr>
        <w:footnoteReference w:id="133"/>
      </w:r>
      <w:r>
        <w:rPr>
          <w:noProof/>
        </w:rPr>
        <w:t>. The potential for additional environmental costs reduction at EU27 level through increased recycling and reduced disposal has been estimated at EUR 8.4 billion annually</w:t>
      </w:r>
      <w:r>
        <w:rPr>
          <w:rStyle w:val="FootnoteReference"/>
          <w:noProof/>
        </w:rPr>
        <w:footnoteReference w:id="134"/>
      </w:r>
      <w:r>
        <w:rPr>
          <w:noProof/>
        </w:rPr>
        <w:t>.</w:t>
      </w:r>
    </w:p>
    <w:p w14:paraId="6EEA9A35" w14:textId="77777777" w:rsidR="009010D9" w:rsidRPr="003D3BB3" w:rsidRDefault="009010D9" w:rsidP="00084EF1">
      <w:pPr>
        <w:rPr>
          <w:noProof/>
        </w:rPr>
      </w:pPr>
      <w:r>
        <w:rPr>
          <w:noProof/>
        </w:rPr>
        <w:t xml:space="preserve">The risk of waste diversion to HWI is limited given the technical and operational differences, smaller capacity and higher incineration cost due to higher temperatures and 2-3 times higher gate fees, and strict regulatory requirements. Still, there are MWI installations with permits to also incinerate hazardous waste fractions (generally low-hazardous fractions that can be incinerated at ‘standard’ temperature), for which a risk of waste misclassification under W1 cannot be fully ruled out but can be limited through careful boundary setting under the scope and MRR framework. </w:t>
      </w:r>
    </w:p>
    <w:p w14:paraId="392AE6C1" w14:textId="77777777" w:rsidR="009010D9" w:rsidRPr="003D3BB3" w:rsidRDefault="009010D9" w:rsidP="00084EF1">
      <w:pPr>
        <w:rPr>
          <w:noProof/>
          <w:lang w:eastAsia="en-GB"/>
        </w:rPr>
      </w:pPr>
      <w:r w:rsidRPr="003D3BB3">
        <w:rPr>
          <w:noProof/>
          <w:lang w:eastAsia="en-GB"/>
        </w:rPr>
        <w:t xml:space="preserve">The risk of waste diversion to exports to third countries is considered to be limited. Member States exported </w:t>
      </w:r>
      <w:r>
        <w:rPr>
          <w:noProof/>
          <w:lang w:eastAsia="en-GB"/>
        </w:rPr>
        <w:t>11.4</w:t>
      </w:r>
      <w:r w:rsidRPr="003D3BB3">
        <w:rPr>
          <w:noProof/>
          <w:lang w:eastAsia="en-GB"/>
        </w:rPr>
        <w:t xml:space="preserve"> million tonnes of waste outside of the EU in 202</w:t>
      </w:r>
      <w:r>
        <w:rPr>
          <w:noProof/>
          <w:lang w:eastAsia="en-GB"/>
        </w:rPr>
        <w:t>4 (excluding mineral and metal waste)</w:t>
      </w:r>
      <w:r>
        <w:rPr>
          <w:rStyle w:val="FootnoteReference"/>
          <w:noProof/>
          <w:lang w:eastAsia="en-GB"/>
        </w:rPr>
        <w:footnoteReference w:id="135"/>
      </w:r>
      <w:r w:rsidRPr="003D3BB3">
        <w:rPr>
          <w:noProof/>
          <w:lang w:eastAsia="en-GB"/>
        </w:rPr>
        <w:t xml:space="preserve">. From </w:t>
      </w:r>
      <w:r>
        <w:rPr>
          <w:noProof/>
          <w:lang w:eastAsia="en-GB"/>
        </w:rPr>
        <w:t xml:space="preserve">November 2026 and May </w:t>
      </w:r>
      <w:r w:rsidRPr="003D3BB3">
        <w:rPr>
          <w:noProof/>
          <w:lang w:eastAsia="en-GB"/>
        </w:rPr>
        <w:t xml:space="preserve">2027, the EU will enforce stricter rules on </w:t>
      </w:r>
      <w:r>
        <w:rPr>
          <w:noProof/>
          <w:lang w:eastAsia="en-GB"/>
        </w:rPr>
        <w:t xml:space="preserve">plastic and hazardous </w:t>
      </w:r>
      <w:r w:rsidRPr="003D3BB3">
        <w:rPr>
          <w:noProof/>
          <w:lang w:eastAsia="en-GB"/>
        </w:rPr>
        <w:t>waste exports under the Waste Shipment Regulation; waste export to non-OECD countries would be generally prohibited (with some exceptions)</w:t>
      </w:r>
      <w:r>
        <w:rPr>
          <w:noProof/>
          <w:lang w:eastAsia="en-GB"/>
        </w:rPr>
        <w:t xml:space="preserve"> (see also Section 1.5.)</w:t>
      </w:r>
      <w:r w:rsidRPr="003D3BB3">
        <w:rPr>
          <w:noProof/>
          <w:lang w:eastAsia="en-GB"/>
        </w:rPr>
        <w:t>.</w:t>
      </w:r>
    </w:p>
    <w:p w14:paraId="3DE34B90" w14:textId="77777777" w:rsidR="009010D9" w:rsidRDefault="009010D9" w:rsidP="002F3B20">
      <w:pPr>
        <w:pStyle w:val="Heading5COM"/>
        <w:ind w:left="2232"/>
        <w:outlineLvl w:val="5"/>
        <w:rPr>
          <w:noProof/>
        </w:rPr>
      </w:pPr>
      <w:bookmarkStart w:id="746" w:name="_Toc230861539"/>
      <w:bookmarkStart w:id="747" w:name="_Toc232751161"/>
      <w:r w:rsidRPr="003D3BB3">
        <w:rPr>
          <w:noProof/>
        </w:rPr>
        <w:t xml:space="preserve">W2 </w:t>
      </w:r>
      <w:r>
        <w:rPr>
          <w:noProof/>
        </w:rPr>
        <w:t xml:space="preserve">- EU ETS </w:t>
      </w:r>
      <w:r w:rsidRPr="003D3BB3">
        <w:rPr>
          <w:noProof/>
        </w:rPr>
        <w:t>expansion to non-hazardous and hazardous waste incineration’</w:t>
      </w:r>
      <w:bookmarkEnd w:id="746"/>
      <w:bookmarkEnd w:id="747"/>
      <w:r w:rsidRPr="003D3BB3">
        <w:rPr>
          <w:noProof/>
        </w:rPr>
        <w:t xml:space="preserve"> </w:t>
      </w:r>
    </w:p>
    <w:p w14:paraId="53D697CC" w14:textId="77777777" w:rsidR="009010D9" w:rsidRDefault="009010D9" w:rsidP="00084EF1">
      <w:pPr>
        <w:rPr>
          <w:noProof/>
        </w:rPr>
      </w:pPr>
      <w:r>
        <w:rPr>
          <w:noProof/>
          <w:lang w:eastAsia="en-GB"/>
        </w:rPr>
        <w:t xml:space="preserve">In addition to the assessment of the impacts under measure W1, </w:t>
      </w:r>
      <w:r w:rsidRPr="003D3BB3">
        <w:rPr>
          <w:noProof/>
        </w:rPr>
        <w:t xml:space="preserve">W2 </w:t>
      </w:r>
      <w:r>
        <w:rPr>
          <w:noProof/>
        </w:rPr>
        <w:t xml:space="preserve">addresses any residual </w:t>
      </w:r>
      <w:r w:rsidRPr="00FC4BCF">
        <w:rPr>
          <w:noProof/>
        </w:rPr>
        <w:t>risk of waste diversion</w:t>
      </w:r>
      <w:r>
        <w:rPr>
          <w:noProof/>
        </w:rPr>
        <w:t xml:space="preserve"> and waste misclassification</w:t>
      </w:r>
      <w:r w:rsidRPr="00FC4BCF">
        <w:rPr>
          <w:noProof/>
        </w:rPr>
        <w:t xml:space="preserve"> to </w:t>
      </w:r>
      <w:r>
        <w:rPr>
          <w:noProof/>
        </w:rPr>
        <w:t xml:space="preserve">HWI under W1. </w:t>
      </w:r>
      <w:r w:rsidRPr="003D3BB3">
        <w:rPr>
          <w:noProof/>
        </w:rPr>
        <w:t xml:space="preserve">The risk of diversion </w:t>
      </w:r>
      <w:r>
        <w:rPr>
          <w:noProof/>
        </w:rPr>
        <w:t xml:space="preserve">to landfills </w:t>
      </w:r>
      <w:r w:rsidRPr="003D3BB3">
        <w:rPr>
          <w:noProof/>
        </w:rPr>
        <w:t xml:space="preserve">is considered </w:t>
      </w:r>
      <w:r>
        <w:rPr>
          <w:noProof/>
        </w:rPr>
        <w:t xml:space="preserve">overall </w:t>
      </w:r>
      <w:r w:rsidRPr="003D3BB3">
        <w:rPr>
          <w:noProof/>
        </w:rPr>
        <w:t xml:space="preserve">smaller than for W1, as landfilling or improper treatment of hazardous waste is either prohibited or strictly controlled under EU and national legislation. Hazardous waste export to facilities outside the </w:t>
      </w:r>
      <w:r>
        <w:rPr>
          <w:noProof/>
        </w:rPr>
        <w:t xml:space="preserve">EU ETS </w:t>
      </w:r>
      <w:r w:rsidRPr="003D3BB3">
        <w:rPr>
          <w:noProof/>
        </w:rPr>
        <w:t xml:space="preserve">is </w:t>
      </w:r>
      <w:r>
        <w:rPr>
          <w:noProof/>
        </w:rPr>
        <w:t xml:space="preserve">likewise </w:t>
      </w:r>
      <w:r w:rsidRPr="003D3BB3">
        <w:rPr>
          <w:noProof/>
        </w:rPr>
        <w:t>considered unlikely</w:t>
      </w:r>
      <w:r>
        <w:rPr>
          <w:noProof/>
        </w:rPr>
        <w:t xml:space="preserve"> for the same reasons</w:t>
      </w:r>
      <w:r w:rsidRPr="003D3BB3">
        <w:rPr>
          <w:noProof/>
        </w:rPr>
        <w:t xml:space="preserve">. </w:t>
      </w:r>
    </w:p>
    <w:p w14:paraId="6A8A47B2" w14:textId="77777777" w:rsidR="009010D9" w:rsidRPr="003D3BB3" w:rsidRDefault="009010D9" w:rsidP="00084EF1">
      <w:pPr>
        <w:rPr>
          <w:noProof/>
        </w:rPr>
      </w:pPr>
      <w:r>
        <w:rPr>
          <w:noProof/>
        </w:rPr>
        <w:t>In terms of reducing environmental</w:t>
      </w:r>
      <w:r w:rsidRPr="00E30B85">
        <w:rPr>
          <w:noProof/>
        </w:rPr>
        <w:t xml:space="preserve"> pollutant emissions</w:t>
      </w:r>
      <w:r>
        <w:rPr>
          <w:noProof/>
        </w:rPr>
        <w:t xml:space="preserve"> and</w:t>
      </w:r>
      <w:r w:rsidRPr="00E30B85">
        <w:rPr>
          <w:noProof/>
        </w:rPr>
        <w:t xml:space="preserve"> </w:t>
      </w:r>
      <w:r>
        <w:rPr>
          <w:noProof/>
        </w:rPr>
        <w:t xml:space="preserve">incentivising waste management higher up the waste hierarchy, the additional impact of W2 is expected to be more limited compared to the impact of W1 as there is generally lower flexibility in </w:t>
      </w:r>
      <w:r w:rsidRPr="003D3BB3">
        <w:rPr>
          <w:noProof/>
        </w:rPr>
        <w:t>treatment option</w:t>
      </w:r>
      <w:r>
        <w:rPr>
          <w:noProof/>
        </w:rPr>
        <w:t>s</w:t>
      </w:r>
      <w:r w:rsidRPr="003D3BB3">
        <w:rPr>
          <w:noProof/>
        </w:rPr>
        <w:t xml:space="preserve"> for materials that cannot be safely recycled, recovered, or treated by other means</w:t>
      </w:r>
      <w:r>
        <w:rPr>
          <w:noProof/>
        </w:rPr>
        <w:t xml:space="preserve"> compared to municipal waste due to stricter regulatory requirements</w:t>
      </w:r>
      <w:r w:rsidRPr="003D3BB3">
        <w:rPr>
          <w:noProof/>
        </w:rPr>
        <w:t xml:space="preserve">. </w:t>
      </w:r>
      <w:r>
        <w:rPr>
          <w:noProof/>
        </w:rPr>
        <w:t>However, data on treatment on hazardous waste in the EU indicates that while the amount of hazardous waste disposed through landfills and incineration (without energy recovery) has substantially increased between 2004 and 2022, the amount of hazardous waste recycled and recovered has remained constant</w:t>
      </w:r>
      <w:r>
        <w:rPr>
          <w:rStyle w:val="FootnoteReference"/>
          <w:noProof/>
        </w:rPr>
        <w:footnoteReference w:id="136"/>
      </w:r>
      <w:r>
        <w:rPr>
          <w:noProof/>
        </w:rPr>
        <w:t>, suggesting room for improvement.</w:t>
      </w:r>
    </w:p>
    <w:p w14:paraId="55ED68A8" w14:textId="77777777" w:rsidR="009010D9" w:rsidRDefault="009010D9" w:rsidP="00737D22">
      <w:pPr>
        <w:pStyle w:val="Heading5COM"/>
        <w:ind w:left="2232"/>
        <w:outlineLvl w:val="5"/>
        <w:rPr>
          <w:noProof/>
        </w:rPr>
      </w:pPr>
      <w:bookmarkStart w:id="748" w:name="_Toc230861540"/>
      <w:bookmarkStart w:id="749" w:name="_Toc232751162"/>
      <w:r w:rsidRPr="003D3BB3">
        <w:rPr>
          <w:noProof/>
        </w:rPr>
        <w:t>W3 ‘</w:t>
      </w:r>
      <w:r>
        <w:rPr>
          <w:noProof/>
        </w:rPr>
        <w:t xml:space="preserve">EU ETS </w:t>
      </w:r>
      <w:r w:rsidRPr="003D3BB3">
        <w:rPr>
          <w:noProof/>
        </w:rPr>
        <w:t>expansion to non-hazardous and hazardous waste incineration as well as non-hazardous landfills’</w:t>
      </w:r>
      <w:bookmarkEnd w:id="748"/>
      <w:bookmarkEnd w:id="749"/>
      <w:r w:rsidRPr="003D3BB3">
        <w:rPr>
          <w:noProof/>
        </w:rPr>
        <w:t xml:space="preserve"> </w:t>
      </w:r>
    </w:p>
    <w:p w14:paraId="0FD4CB94" w14:textId="77777777" w:rsidR="009010D9" w:rsidRDefault="009010D9" w:rsidP="00084EF1">
      <w:pPr>
        <w:rPr>
          <w:noProof/>
        </w:rPr>
      </w:pPr>
      <w:r w:rsidRPr="003D3BB3">
        <w:rPr>
          <w:noProof/>
        </w:rPr>
        <w:t xml:space="preserve">Compared to W1 and W2, </w:t>
      </w:r>
      <w:r>
        <w:rPr>
          <w:noProof/>
        </w:rPr>
        <w:t xml:space="preserve">the additional extension of the carbon price signal to landfilling under </w:t>
      </w:r>
      <w:r w:rsidRPr="003D3BB3">
        <w:rPr>
          <w:noProof/>
        </w:rPr>
        <w:t xml:space="preserve">W3 </w:t>
      </w:r>
      <w:r>
        <w:rPr>
          <w:noProof/>
        </w:rPr>
        <w:t xml:space="preserve">would further contribute to </w:t>
      </w:r>
      <w:r w:rsidRPr="00AF3B5B">
        <w:rPr>
          <w:noProof/>
        </w:rPr>
        <w:t>incentivising waste management higher up the waste hierarchy</w:t>
      </w:r>
      <w:r>
        <w:rPr>
          <w:noProof/>
        </w:rPr>
        <w:t xml:space="preserve"> and to</w:t>
      </w:r>
      <w:r w:rsidRPr="00AF3B5B">
        <w:rPr>
          <w:noProof/>
        </w:rPr>
        <w:t xml:space="preserve"> reducing environmental pollutant emissions</w:t>
      </w:r>
      <w:r>
        <w:rPr>
          <w:noProof/>
        </w:rPr>
        <w:t>.</w:t>
      </w:r>
    </w:p>
    <w:p w14:paraId="7192985F" w14:textId="77777777" w:rsidR="009010D9" w:rsidRPr="003D3BB3" w:rsidRDefault="009010D9" w:rsidP="00084EF1">
      <w:pPr>
        <w:rPr>
          <w:noProof/>
          <w:lang w:eastAsia="en-GB"/>
        </w:rPr>
      </w:pPr>
      <w:r>
        <w:rPr>
          <w:noProof/>
        </w:rPr>
        <w:t>First, W3 would further support  waste diversion up the waste hierarchy and contribute to address the risk of diversion to landfills down the waste hierarchy under W1, by providing a level playing field, but continues to carry a</w:t>
      </w:r>
      <w:r w:rsidRPr="003D3BB3">
        <w:rPr>
          <w:noProof/>
        </w:rPr>
        <w:t xml:space="preserve"> risk of possible waste diversion albeit more nuanced:</w:t>
      </w:r>
    </w:p>
    <w:p w14:paraId="1FEC69C7" w14:textId="77777777" w:rsidR="009010D9" w:rsidRPr="003D3BB3" w:rsidRDefault="009010D9" w:rsidP="0018561F">
      <w:pPr>
        <w:pStyle w:val="ListParagraph"/>
        <w:numPr>
          <w:ilvl w:val="0"/>
          <w:numId w:val="38"/>
        </w:numPr>
        <w:spacing w:line="259" w:lineRule="auto"/>
        <w:rPr>
          <w:noProof/>
          <w:lang w:eastAsia="en-GB"/>
        </w:rPr>
      </w:pPr>
      <w:r>
        <w:rPr>
          <w:noProof/>
          <w:lang w:eastAsia="en-GB"/>
        </w:rPr>
        <w:t>t</w:t>
      </w:r>
      <w:r w:rsidRPr="003D3BB3">
        <w:rPr>
          <w:noProof/>
          <w:lang w:eastAsia="en-GB"/>
        </w:rPr>
        <w:t>o illegal landfilling, which is considered to be a significant problem in the EU.</w:t>
      </w:r>
    </w:p>
    <w:p w14:paraId="4BA2B51C" w14:textId="77777777" w:rsidR="009010D9" w:rsidRPr="003D3BB3" w:rsidRDefault="009010D9" w:rsidP="0018561F">
      <w:pPr>
        <w:pStyle w:val="ListParagraph"/>
        <w:numPr>
          <w:ilvl w:val="0"/>
          <w:numId w:val="38"/>
        </w:numPr>
        <w:spacing w:line="259" w:lineRule="auto"/>
        <w:rPr>
          <w:noProof/>
          <w:lang w:eastAsia="en-GB"/>
        </w:rPr>
      </w:pPr>
      <w:r>
        <w:rPr>
          <w:noProof/>
          <w:lang w:eastAsia="en-GB"/>
        </w:rPr>
        <w:t>shifts</w:t>
      </w:r>
      <w:r w:rsidRPr="003D3BB3">
        <w:rPr>
          <w:noProof/>
          <w:lang w:eastAsia="en-GB"/>
        </w:rPr>
        <w:t xml:space="preserve"> of plastic waste away from incineration to landfilling</w:t>
      </w:r>
      <w:r>
        <w:rPr>
          <w:noProof/>
          <w:lang w:eastAsia="en-GB"/>
        </w:rPr>
        <w:t>, and of biogenic waste from landfilling to incineration,</w:t>
      </w:r>
      <w:r w:rsidRPr="003D3BB3">
        <w:rPr>
          <w:noProof/>
          <w:lang w:eastAsia="en-GB"/>
        </w:rPr>
        <w:t xml:space="preserve"> to avoid the carbon cost. </w:t>
      </w:r>
    </w:p>
    <w:p w14:paraId="3C0AC764" w14:textId="77777777" w:rsidR="009010D9" w:rsidRDefault="009010D9" w:rsidP="00084EF1">
      <w:pPr>
        <w:rPr>
          <w:noProof/>
          <w:lang w:eastAsia="en-GB"/>
        </w:rPr>
      </w:pPr>
      <w:r w:rsidRPr="003D3BB3">
        <w:rPr>
          <w:noProof/>
          <w:lang w:eastAsia="en-GB"/>
        </w:rPr>
        <w:t xml:space="preserve">While overall relatively few stakeholders provided their view in the OPC on whether additional waste management activities should be included in the </w:t>
      </w:r>
      <w:r>
        <w:rPr>
          <w:noProof/>
          <w:lang w:eastAsia="en-GB"/>
        </w:rPr>
        <w:t xml:space="preserve">EU ETS </w:t>
      </w:r>
      <w:r w:rsidRPr="003D3BB3">
        <w:rPr>
          <w:noProof/>
          <w:lang w:eastAsia="en-GB"/>
        </w:rPr>
        <w:t xml:space="preserve">if waste incineration is to be covered, more than one third of those called for appropriate measures </w:t>
      </w:r>
      <w:r>
        <w:rPr>
          <w:noProof/>
          <w:lang w:eastAsia="en-GB"/>
        </w:rPr>
        <w:t>to address landfill emissions, both to ensure a level playing field with incineration (if covered) and to address the climate impact of methane emissions</w:t>
      </w:r>
      <w:r w:rsidRPr="003D3BB3">
        <w:rPr>
          <w:noProof/>
          <w:lang w:eastAsia="en-GB"/>
        </w:rPr>
        <w:t xml:space="preserve">. However, views were divided on the concrete approach, with diverse suggestions ranging from </w:t>
      </w:r>
      <w:r>
        <w:rPr>
          <w:noProof/>
          <w:lang w:eastAsia="en-GB"/>
        </w:rPr>
        <w:t xml:space="preserve">strengthening </w:t>
      </w:r>
      <w:r w:rsidRPr="003D3BB3">
        <w:rPr>
          <w:noProof/>
          <w:lang w:eastAsia="en-GB"/>
        </w:rPr>
        <w:t>the Landfilling Directive to advance the ban on landfilling, introducing a carbon tax on landfilling</w:t>
      </w:r>
      <w:r>
        <w:rPr>
          <w:noProof/>
          <w:lang w:eastAsia="en-GB"/>
        </w:rPr>
        <w:t xml:space="preserve">, or </w:t>
      </w:r>
      <w:r w:rsidRPr="003D3BB3">
        <w:rPr>
          <w:noProof/>
          <w:lang w:eastAsia="en-GB"/>
        </w:rPr>
        <w:t>the inclusion of landfilling in the EU ETS.</w:t>
      </w:r>
    </w:p>
    <w:p w14:paraId="04902777" w14:textId="77777777" w:rsidR="009010D9" w:rsidRPr="00D15067" w:rsidRDefault="009010D9">
      <w:pPr>
        <w:rPr>
          <w:rFonts w:ascii="Arial" w:eastAsia="Arial" w:hAnsi="Arial"/>
          <w:noProof/>
          <w:color w:val="auto"/>
          <w:kern w:val="2"/>
          <w:sz w:val="22"/>
          <w:szCs w:val="22"/>
          <w:lang w:val="en-AU"/>
          <w14:ligatures w14:val="standardContextual"/>
        </w:rPr>
      </w:pPr>
      <w:r>
        <w:rPr>
          <w:noProof/>
          <w:lang w:eastAsia="en-GB"/>
        </w:rPr>
        <w:t>Second, W3 would support the reduction of</w:t>
      </w:r>
      <w:r w:rsidRPr="2D9DC4C1">
        <w:rPr>
          <w:noProof/>
          <w:lang w:eastAsia="en-GB"/>
        </w:rPr>
        <w:t xml:space="preserve"> </w:t>
      </w:r>
      <w:r>
        <w:rPr>
          <w:noProof/>
          <w:lang w:eastAsia="en-GB"/>
        </w:rPr>
        <w:t>air</w:t>
      </w:r>
      <w:r w:rsidRPr="2D9DC4C1">
        <w:rPr>
          <w:noProof/>
          <w:lang w:eastAsia="en-GB"/>
        </w:rPr>
        <w:t xml:space="preserve"> and groundwater contamination from landfills by </w:t>
      </w:r>
      <w:r w:rsidRPr="00D15067">
        <w:rPr>
          <w:noProof/>
          <w:lang w:eastAsia="en-GB"/>
        </w:rPr>
        <w:t xml:space="preserve">disincentivising landfilling in favour of waste reduction and alternative waste management processes. </w:t>
      </w:r>
      <w:r w:rsidRPr="00506356">
        <w:rPr>
          <w:noProof/>
          <w:lang w:eastAsia="en-GB"/>
        </w:rPr>
        <w:t xml:space="preserve">Landfills that are covered by the </w:t>
      </w:r>
      <w:r>
        <w:rPr>
          <w:noProof/>
          <w:lang w:eastAsia="en-GB"/>
        </w:rPr>
        <w:t>Industrial Emissions Directive</w:t>
      </w:r>
      <w:r w:rsidRPr="00506356">
        <w:rPr>
          <w:noProof/>
          <w:lang w:eastAsia="en-GB"/>
        </w:rPr>
        <w:t xml:space="preserve"> are subject to rules that aim to prevent soil pollution.</w:t>
      </w:r>
      <w:r>
        <w:rPr>
          <w:noProof/>
          <w:lang w:eastAsia="en-GB"/>
        </w:rPr>
        <w:t xml:space="preserve"> L</w:t>
      </w:r>
      <w:r w:rsidRPr="00D15067">
        <w:rPr>
          <w:rFonts w:eastAsia="Arial"/>
          <w:noProof/>
          <w:color w:val="auto"/>
          <w:kern w:val="2"/>
          <w:lang w:val="en-AU"/>
          <w14:ligatures w14:val="standardContextual"/>
        </w:rPr>
        <w:t>andfilling impacts local air quality through other landfill gas constituents (e.g., non-methane VOCs and ammonia) and soil/groundwater quality through leachate formation</w:t>
      </w:r>
      <w:r w:rsidRPr="007848AA">
        <w:rPr>
          <w:noProof/>
          <w:vertAlign w:val="superscript"/>
          <w:lang w:eastAsia="en-GB"/>
        </w:rPr>
        <w:footnoteReference w:id="137"/>
      </w:r>
      <w:r w:rsidRPr="00D15067">
        <w:rPr>
          <w:rFonts w:eastAsia="Arial"/>
          <w:noProof/>
          <w:color w:val="auto"/>
          <w:kern w:val="2"/>
          <w:lang w:val="en-AU"/>
          <w14:ligatures w14:val="standardContextual"/>
        </w:rPr>
        <w:t>. As biodegradable waste decomposes, leachate containing nutrients, heavy metals, and organic contaminants can percolate into surrounding soil and, if not managed with engineered liners and collection systems, contaminate groundwater and local ecosystems. One study estimated that 0.2 m</w:t>
      </w:r>
      <w:r w:rsidRPr="00D15067">
        <w:rPr>
          <w:rFonts w:eastAsia="Arial"/>
          <w:noProof/>
          <w:color w:val="auto"/>
          <w:kern w:val="2"/>
          <w:vertAlign w:val="superscript"/>
          <w:lang w:val="en-AU"/>
          <w14:ligatures w14:val="standardContextual"/>
        </w:rPr>
        <w:t xml:space="preserve">3 </w:t>
      </w:r>
      <w:r w:rsidRPr="00D15067">
        <w:rPr>
          <w:rFonts w:eastAsia="Arial"/>
          <w:noProof/>
          <w:color w:val="auto"/>
          <w:kern w:val="2"/>
          <w:lang w:val="en-AU"/>
          <w14:ligatures w14:val="standardContextual"/>
        </w:rPr>
        <w:t xml:space="preserve">of leachate </w:t>
      </w:r>
      <w:r>
        <w:rPr>
          <w:rFonts w:eastAsia="Arial"/>
          <w:noProof/>
          <w:color w:val="auto"/>
          <w:kern w:val="2"/>
          <w:lang w:val="en-AU"/>
          <w14:ligatures w14:val="standardContextual"/>
        </w:rPr>
        <w:t>can</w:t>
      </w:r>
      <w:r w:rsidRPr="00D15067">
        <w:rPr>
          <w:rFonts w:eastAsia="Arial"/>
          <w:noProof/>
          <w:color w:val="auto"/>
          <w:kern w:val="2"/>
          <w:lang w:val="en-AU"/>
          <w14:ligatures w14:val="standardContextual"/>
        </w:rPr>
        <w:t xml:space="preserve"> be generated by one tonne of landfilled solid waste, depending on the type of waste and seasonal climate.</w:t>
      </w:r>
      <w:r w:rsidRPr="00D15067">
        <w:rPr>
          <w:rFonts w:eastAsia="Arial"/>
          <w:noProof/>
          <w:color w:val="auto"/>
          <w:kern w:val="2"/>
          <w:vertAlign w:val="superscript"/>
          <w:lang w:val="en-AU"/>
          <w14:ligatures w14:val="standardContextual"/>
        </w:rPr>
        <w:footnoteReference w:id="138"/>
      </w:r>
    </w:p>
    <w:p w14:paraId="2946B56E" w14:textId="77777777" w:rsidR="009010D9" w:rsidRDefault="009010D9" w:rsidP="00C3254C">
      <w:pPr>
        <w:pStyle w:val="Heading3COM"/>
        <w:outlineLvl w:val="3"/>
        <w:rPr>
          <w:noProof/>
        </w:rPr>
      </w:pPr>
      <w:bookmarkStart w:id="750" w:name="_Toc211284575"/>
      <w:bookmarkStart w:id="751" w:name="_Toc212426454"/>
      <w:bookmarkStart w:id="752" w:name="_Toc1778798070"/>
      <w:bookmarkStart w:id="753" w:name="_Toc230861541"/>
      <w:bookmarkStart w:id="754" w:name="_Toc232751163"/>
      <w:bookmarkEnd w:id="742"/>
      <w:bookmarkEnd w:id="743"/>
      <w:r w:rsidRPr="003D3BB3">
        <w:rPr>
          <w:noProof/>
        </w:rPr>
        <w:t>Economic impacts</w:t>
      </w:r>
      <w:bookmarkEnd w:id="750"/>
      <w:bookmarkEnd w:id="751"/>
      <w:bookmarkEnd w:id="752"/>
      <w:bookmarkEnd w:id="753"/>
      <w:bookmarkEnd w:id="754"/>
    </w:p>
    <w:p w14:paraId="18AB1574" w14:textId="77777777" w:rsidR="009010D9" w:rsidRPr="003D3BB3" w:rsidRDefault="009010D9" w:rsidP="00C3254C">
      <w:pPr>
        <w:pStyle w:val="Heading4COM"/>
        <w:outlineLvl w:val="4"/>
        <w:rPr>
          <w:noProof/>
        </w:rPr>
      </w:pPr>
      <w:bookmarkStart w:id="755" w:name="_Toc230861542"/>
      <w:bookmarkStart w:id="756" w:name="_Toc232751164"/>
      <w:r>
        <w:rPr>
          <w:noProof/>
        </w:rPr>
        <w:t>Cost of compliance</w:t>
      </w:r>
      <w:bookmarkEnd w:id="755"/>
      <w:bookmarkEnd w:id="756"/>
      <w:r>
        <w:rPr>
          <w:noProof/>
        </w:rPr>
        <w:t xml:space="preserve"> </w:t>
      </w:r>
    </w:p>
    <w:p w14:paraId="7662CA78" w14:textId="77777777" w:rsidR="009010D9" w:rsidRPr="003D3BB3" w:rsidRDefault="009010D9" w:rsidP="00C3254C">
      <w:pPr>
        <w:pStyle w:val="Heading5COM"/>
        <w:ind w:left="2232"/>
        <w:outlineLvl w:val="5"/>
        <w:rPr>
          <w:noProof/>
        </w:rPr>
      </w:pPr>
      <w:bookmarkStart w:id="757" w:name="_Toc212426455"/>
      <w:bookmarkStart w:id="758" w:name="_Toc513288372"/>
      <w:bookmarkStart w:id="759" w:name="_Toc230861543"/>
      <w:bookmarkStart w:id="760" w:name="_Toc232751165"/>
      <w:r>
        <w:rPr>
          <w:noProof/>
        </w:rPr>
        <w:t>W1 ‘ EU ETS expansion to non-hazardous waste incineration’</w:t>
      </w:r>
      <w:bookmarkEnd w:id="757"/>
      <w:bookmarkEnd w:id="758"/>
      <w:bookmarkEnd w:id="759"/>
      <w:bookmarkEnd w:id="760"/>
      <w:r>
        <w:rPr>
          <w:noProof/>
        </w:rPr>
        <w:t xml:space="preserve"> </w:t>
      </w:r>
    </w:p>
    <w:p w14:paraId="46FE5ACD" w14:textId="77777777" w:rsidR="009010D9" w:rsidRPr="003D3BB3" w:rsidRDefault="009010D9">
      <w:pPr>
        <w:rPr>
          <w:noProof/>
          <w:lang w:eastAsia="en-GB"/>
        </w:rPr>
      </w:pPr>
      <w:r w:rsidRPr="30E88104">
        <w:rPr>
          <w:noProof/>
          <w:lang w:eastAsia="en-GB"/>
        </w:rPr>
        <w:t xml:space="preserve">Under W1, the overall carbon cost to operators depends on multiple factors including total </w:t>
      </w:r>
      <w:r>
        <w:rPr>
          <w:noProof/>
          <w:lang w:eastAsia="en-GB"/>
        </w:rPr>
        <w:t>volume of waste treated</w:t>
      </w:r>
      <w:r w:rsidRPr="30E88104">
        <w:rPr>
          <w:noProof/>
          <w:lang w:eastAsia="en-GB"/>
        </w:rPr>
        <w:t>, the share of fossil-based emissions, the carbon price, action</w:t>
      </w:r>
      <w:r>
        <w:rPr>
          <w:noProof/>
          <w:lang w:eastAsia="en-GB"/>
        </w:rPr>
        <w:t>s</w:t>
      </w:r>
      <w:r w:rsidRPr="30E88104">
        <w:rPr>
          <w:noProof/>
          <w:lang w:eastAsia="en-GB"/>
        </w:rPr>
        <w:t xml:space="preserve"> to reduce emissions at </w:t>
      </w:r>
      <w:r>
        <w:rPr>
          <w:noProof/>
          <w:lang w:eastAsia="en-GB"/>
        </w:rPr>
        <w:t>installation</w:t>
      </w:r>
      <w:r w:rsidRPr="30E88104">
        <w:rPr>
          <w:noProof/>
          <w:lang w:eastAsia="en-GB"/>
        </w:rPr>
        <w:t xml:space="preserve"> level and cost passthrough and actions to reduce emissions in the waste value chain. The cost is expected to vary between countries or even regions in the same country. The </w:t>
      </w:r>
      <w:r>
        <w:rPr>
          <w:noProof/>
          <w:lang w:eastAsia="en-GB"/>
        </w:rPr>
        <w:t xml:space="preserve">effective </w:t>
      </w:r>
      <w:r w:rsidRPr="30E88104">
        <w:rPr>
          <w:noProof/>
          <w:lang w:eastAsia="en-GB"/>
        </w:rPr>
        <w:t xml:space="preserve">carbon cost </w:t>
      </w:r>
      <w:r>
        <w:rPr>
          <w:noProof/>
          <w:lang w:eastAsia="en-GB"/>
        </w:rPr>
        <w:t xml:space="preserve">for the fossil fraction </w:t>
      </w:r>
      <w:r w:rsidRPr="30E88104">
        <w:rPr>
          <w:noProof/>
          <w:lang w:eastAsia="en-GB"/>
        </w:rPr>
        <w:t xml:space="preserve">per tonne of municipal waste </w:t>
      </w:r>
      <w:r>
        <w:rPr>
          <w:noProof/>
          <w:lang w:eastAsia="en-GB"/>
        </w:rPr>
        <w:t>has been</w:t>
      </w:r>
      <w:r w:rsidRPr="30E88104">
        <w:rPr>
          <w:noProof/>
          <w:lang w:eastAsia="en-GB"/>
        </w:rPr>
        <w:t xml:space="preserve"> estimated </w:t>
      </w:r>
      <w:r>
        <w:rPr>
          <w:noProof/>
          <w:lang w:eastAsia="en-GB"/>
        </w:rPr>
        <w:t xml:space="preserve">in section 1.3.1. </w:t>
      </w:r>
      <w:r w:rsidRPr="30E88104">
        <w:rPr>
          <w:noProof/>
          <w:lang w:eastAsia="en-GB"/>
        </w:rPr>
        <w:t xml:space="preserve">to </w:t>
      </w:r>
      <w:r>
        <w:rPr>
          <w:noProof/>
          <w:lang w:eastAsia="en-GB"/>
        </w:rPr>
        <w:t xml:space="preserve">range from EUR 38.5 to 66 in 2030 at </w:t>
      </w:r>
      <w:r w:rsidRPr="30E88104">
        <w:rPr>
          <w:noProof/>
          <w:lang w:eastAsia="en-GB"/>
        </w:rPr>
        <w:t xml:space="preserve">a carbon price of EUR </w:t>
      </w:r>
      <w:r>
        <w:rPr>
          <w:noProof/>
          <w:lang w:eastAsia="en-GB"/>
        </w:rPr>
        <w:t>110</w:t>
      </w:r>
      <w:r w:rsidRPr="30E88104">
        <w:rPr>
          <w:noProof/>
          <w:lang w:eastAsia="en-GB"/>
        </w:rPr>
        <w:t xml:space="preserve"> per tonne CO2e. The cost is expected to increase over time with the increasing ETS price until 2040.</w:t>
      </w:r>
      <w:r>
        <w:rPr>
          <w:noProof/>
          <w:lang w:eastAsia="en-GB"/>
        </w:rPr>
        <w:t xml:space="preserve"> While operating costs vary considerably depending on installation type, size and location, evidence from the application of the EU ETS price to municipal waste incinerators with energy recovery in Sweden and Denmark indicates the carbon cost (in 2025) represented 10-20% of total operating costs.</w:t>
      </w:r>
    </w:p>
    <w:p w14:paraId="26EE3208" w14:textId="569BC99F" w:rsidR="009010D9" w:rsidRPr="00712E81" w:rsidRDefault="009010D9">
      <w:pPr>
        <w:spacing w:before="0" w:after="0"/>
        <w:rPr>
          <w:noProof/>
          <w:lang w:eastAsia="en-GB"/>
        </w:rPr>
      </w:pPr>
      <w:r w:rsidRPr="22FEA6BF">
        <w:rPr>
          <w:noProof/>
          <w:lang w:eastAsia="en-GB"/>
        </w:rPr>
        <w:t xml:space="preserve">One of the most effective cost abatement pathways is source reduction and diversion to recycling. The carbon cost passthrough from operators to waste suppliers and waste collection authorities can incentivise </w:t>
      </w:r>
      <w:r w:rsidRPr="49CB0866">
        <w:rPr>
          <w:noProof/>
          <w:lang w:eastAsia="en-GB"/>
        </w:rPr>
        <w:t xml:space="preserve">improved pre-collection sorting and </w:t>
      </w:r>
      <w:r w:rsidRPr="22FEA6BF">
        <w:rPr>
          <w:noProof/>
          <w:lang w:eastAsia="en-GB"/>
        </w:rPr>
        <w:t xml:space="preserve">residual waste </w:t>
      </w:r>
      <w:r w:rsidRPr="49CB0866">
        <w:rPr>
          <w:noProof/>
          <w:lang w:eastAsia="en-GB"/>
        </w:rPr>
        <w:t xml:space="preserve">reductions in </w:t>
      </w:r>
      <w:r w:rsidRPr="22FEA6BF">
        <w:rPr>
          <w:noProof/>
          <w:lang w:eastAsia="en-GB"/>
        </w:rPr>
        <w:t xml:space="preserve">the range of 10-20% and </w:t>
      </w:r>
      <w:r w:rsidRPr="49CB0866">
        <w:rPr>
          <w:noProof/>
          <w:lang w:eastAsia="en-GB"/>
        </w:rPr>
        <w:t>increased</w:t>
      </w:r>
      <w:r w:rsidRPr="22FEA6BF">
        <w:rPr>
          <w:noProof/>
          <w:lang w:eastAsia="en-GB"/>
        </w:rPr>
        <w:t xml:space="preserve"> recycl</w:t>
      </w:r>
      <w:r>
        <w:rPr>
          <w:noProof/>
          <w:lang w:eastAsia="en-GB"/>
        </w:rPr>
        <w:t xml:space="preserve">ing </w:t>
      </w:r>
      <w:r w:rsidRPr="22FEA6BF">
        <w:rPr>
          <w:noProof/>
          <w:lang w:eastAsia="en-GB"/>
        </w:rPr>
        <w:t>in the range of 16-22.5</w:t>
      </w:r>
      <w:r w:rsidRPr="49CB0866">
        <w:rPr>
          <w:noProof/>
          <w:lang w:eastAsia="en-GB"/>
        </w:rPr>
        <w:t>% on the basis of existing price elasticities for the residual waste disposal demand</w:t>
      </w:r>
      <w:r w:rsidRPr="22FEA6BF">
        <w:rPr>
          <w:noProof/>
          <w:lang w:eastAsia="en-GB"/>
        </w:rPr>
        <w:t xml:space="preserve"> (see Section 1.3.1.), supporting the circular economy. </w:t>
      </w:r>
      <w:r w:rsidRPr="22FEA6BF">
        <w:rPr>
          <w:rFonts w:eastAsia="Arial"/>
          <w:noProof/>
          <w:color w:val="auto"/>
          <w:lang w:val="en-AU"/>
        </w:rPr>
        <w:t xml:space="preserve">Circular economy activities already represent around </w:t>
      </w:r>
      <w:r>
        <w:rPr>
          <w:rFonts w:eastAsia="Arial"/>
          <w:noProof/>
          <w:color w:val="auto"/>
          <w:lang w:val="en-AU"/>
        </w:rPr>
        <w:t>1-</w:t>
      </w:r>
      <w:r w:rsidRPr="22FEA6BF">
        <w:rPr>
          <w:rFonts w:eastAsia="Arial"/>
          <w:noProof/>
          <w:color w:val="auto"/>
          <w:lang w:val="en-AU"/>
        </w:rPr>
        <w:t>2% of EU GDP</w:t>
      </w:r>
      <w:r w:rsidRPr="00061737">
        <w:rPr>
          <w:rFonts w:eastAsia="Arial"/>
          <w:noProof/>
          <w:color w:val="auto"/>
          <w:vertAlign w:val="superscript"/>
          <w:lang w:val="en-AU"/>
        </w:rPr>
        <w:footnoteReference w:id="139"/>
      </w:r>
      <w:r w:rsidRPr="22FEA6BF">
        <w:rPr>
          <w:rFonts w:eastAsia="Arial"/>
          <w:noProof/>
          <w:color w:val="auto"/>
          <w:lang w:val="en-AU"/>
        </w:rPr>
        <w:t xml:space="preserve">. </w:t>
      </w:r>
      <w:r w:rsidRPr="22FEA6BF">
        <w:rPr>
          <w:rFonts w:eastAsia="Arial"/>
          <w:noProof/>
        </w:rPr>
        <w:t>In 2021, recycling, reuse and related circular economy activities accounted for 4.3 million jobs across the EU (an 11% increase since 2015) and generated approximately 299 billion EUR in gross value added, alongside the 121.6 billion EUR in private investment</w:t>
      </w:r>
      <w:r w:rsidRPr="00691274">
        <w:rPr>
          <w:rStyle w:val="FootnoteReference"/>
          <w:rFonts w:eastAsia="Arial"/>
          <w:noProof/>
        </w:rPr>
        <w:footnoteReference w:id="140"/>
      </w:r>
      <w:r w:rsidRPr="00691274">
        <w:rPr>
          <w:rFonts w:eastAsia="Arial"/>
          <w:noProof/>
        </w:rPr>
        <w:t>.</w:t>
      </w:r>
      <w:r>
        <w:rPr>
          <w:rFonts w:eastAsia="Arial"/>
          <w:noProof/>
        </w:rPr>
        <w:t xml:space="preserve"> </w:t>
      </w:r>
      <w:r w:rsidRPr="00691274">
        <w:rPr>
          <w:rFonts w:eastAsia="Calibri"/>
          <w:noProof/>
          <w:color w:val="auto"/>
        </w:rPr>
        <w:t>Evidence shows that the higher the separate collection of recyclables and, consequently, of recycling, the higher the amounts of jobs created within the waste management system, with an overall potential for (additional) job creation in collection, transport and recycling estimated at 206.100 FTE annually in the EU27 in one study</w:t>
      </w:r>
      <w:r w:rsidRPr="00691274">
        <w:rPr>
          <w:rFonts w:eastAsia="Calibri"/>
          <w:noProof/>
          <w:color w:val="auto"/>
          <w:vertAlign w:val="superscript"/>
        </w:rPr>
        <w:footnoteReference w:id="141"/>
      </w:r>
      <w:r w:rsidRPr="00691274">
        <w:rPr>
          <w:rFonts w:eastAsia="Calibri"/>
          <w:noProof/>
          <w:color w:val="auto"/>
        </w:rPr>
        <w:t>, and a potential to create up to 2.5 million additional jobs by 2030 in another study</w:t>
      </w:r>
      <w:r w:rsidRPr="00691274">
        <w:rPr>
          <w:rFonts w:eastAsia="Arial"/>
          <w:noProof/>
          <w:color w:val="auto"/>
          <w:vertAlign w:val="superscript"/>
          <w:lang w:val="en-AU"/>
        </w:rPr>
        <w:footnoteReference w:id="142"/>
      </w:r>
      <w:r w:rsidRPr="00691274">
        <w:rPr>
          <w:rFonts w:eastAsia="Calibri"/>
          <w:noProof/>
          <w:color w:val="auto"/>
        </w:rPr>
        <w:t xml:space="preserve">. </w:t>
      </w:r>
      <w:r w:rsidRPr="00691274">
        <w:rPr>
          <w:noProof/>
          <w:lang w:eastAsia="en-GB"/>
        </w:rPr>
        <w:t>The recycling</w:t>
      </w:r>
      <w:r w:rsidRPr="22FEA6BF">
        <w:rPr>
          <w:noProof/>
          <w:lang w:eastAsia="en-GB"/>
        </w:rPr>
        <w:t xml:space="preserve"> sector delivers economic security, added value, employments, and a potential for long-term competitiveness for the EU economy by reducing reliance on imported virgin materials, reducing volatility of input costs, </w:t>
      </w:r>
      <w:r w:rsidRPr="22FEA6BF">
        <w:rPr>
          <w:rFonts w:eastAsia="Arial"/>
          <w:noProof/>
        </w:rPr>
        <w:t>improving resource productivity</w:t>
      </w:r>
      <w:r w:rsidRPr="22FEA6BF">
        <w:rPr>
          <w:noProof/>
          <w:lang w:eastAsia="en-GB"/>
        </w:rPr>
        <w:t xml:space="preserve">, and strengthening </w:t>
      </w:r>
      <w:r w:rsidRPr="22FEA6BF">
        <w:rPr>
          <w:rFonts w:eastAsia="Arial"/>
          <w:noProof/>
        </w:rPr>
        <w:t xml:space="preserve">innovation. At </w:t>
      </w:r>
      <w:r>
        <w:rPr>
          <w:rFonts w:eastAsia="Arial"/>
          <w:noProof/>
        </w:rPr>
        <w:t>installation</w:t>
      </w:r>
      <w:r w:rsidRPr="22FEA6BF">
        <w:rPr>
          <w:rFonts w:eastAsia="Arial"/>
          <w:noProof/>
        </w:rPr>
        <w:t xml:space="preserve"> level, cost-effective abatement options include improved Mixed Waste Sorting in the short-term and CCUS in the medium- to longer term by the mid-2030s, with the </w:t>
      </w:r>
      <w:r w:rsidRPr="22FEA6BF">
        <w:rPr>
          <w:noProof/>
          <w:lang w:eastAsia="en-GB"/>
        </w:rPr>
        <w:t xml:space="preserve">integration of carbon removals under the EU ETS further providing the MWI sector with a potential for </w:t>
      </w:r>
      <w:r>
        <w:rPr>
          <w:noProof/>
          <w:lang w:eastAsia="en-GB"/>
        </w:rPr>
        <w:t xml:space="preserve">compensating allowance costs </w:t>
      </w:r>
      <w:r w:rsidRPr="22FEA6BF">
        <w:rPr>
          <w:noProof/>
          <w:lang w:eastAsia="en-GB"/>
        </w:rPr>
        <w:t xml:space="preserve">through removals from the biogenic fraction of waste, representing around 50% of all waste incinerated, </w:t>
      </w:r>
      <w:r>
        <w:rPr>
          <w:noProof/>
          <w:lang w:eastAsia="en-GB"/>
        </w:rPr>
        <w:t>supporting</w:t>
      </w:r>
      <w:r w:rsidRPr="22FEA6BF">
        <w:rPr>
          <w:noProof/>
          <w:lang w:eastAsia="en-GB"/>
        </w:rPr>
        <w:t xml:space="preserve"> the business case for cost-effective emissions abatement </w:t>
      </w:r>
      <w:r w:rsidRPr="22FEA6BF">
        <w:rPr>
          <w:rFonts w:eastAsia="Arial"/>
          <w:noProof/>
        </w:rPr>
        <w:t>(see Section 1.3.2.)</w:t>
      </w:r>
      <w:r w:rsidRPr="22FEA6BF">
        <w:rPr>
          <w:noProof/>
          <w:lang w:eastAsia="en-GB"/>
        </w:rPr>
        <w:t xml:space="preserve">. Complementary policies and measures and the targeted investment of EU ETS revenues to support the rollout of CCUS and complementary measures in the waste value chain play an important role to contribute manage operational costs for operators and local authorities (see Section 1.3.3.). </w:t>
      </w:r>
      <w:r>
        <w:rPr>
          <w:noProof/>
          <w:lang w:eastAsia="en-GB"/>
        </w:rPr>
        <w:t>Annual</w:t>
      </w:r>
      <w:r w:rsidR="6D0187B4" w:rsidRPr="22FEA6BF">
        <w:rPr>
          <w:noProof/>
          <w:lang w:eastAsia="en-GB"/>
        </w:rPr>
        <w:t xml:space="preserve"> </w:t>
      </w:r>
      <w:r w:rsidRPr="22FEA6BF">
        <w:rPr>
          <w:noProof/>
          <w:lang w:eastAsia="en-GB"/>
        </w:rPr>
        <w:t xml:space="preserve">EU ETS revenues from the inclusion of MWI are </w:t>
      </w:r>
      <w:r w:rsidR="42CFE117" w:rsidRPr="6072D23C">
        <w:rPr>
          <w:noProof/>
          <w:lang w:eastAsia="en-GB"/>
        </w:rPr>
        <w:t>expected</w:t>
      </w:r>
      <w:r w:rsidRPr="22FEA6BF">
        <w:rPr>
          <w:noProof/>
          <w:lang w:eastAsia="en-GB"/>
        </w:rPr>
        <w:t xml:space="preserve"> to </w:t>
      </w:r>
      <w:r w:rsidR="42CFE117" w:rsidRPr="6072D23C">
        <w:rPr>
          <w:noProof/>
          <w:lang w:eastAsia="en-GB"/>
        </w:rPr>
        <w:t xml:space="preserve">be significant and </w:t>
      </w:r>
      <w:r>
        <w:rPr>
          <w:noProof/>
          <w:lang w:eastAsia="en-GB"/>
        </w:rPr>
        <w:t>average around 4.75</w:t>
      </w:r>
      <w:r w:rsidRPr="0025640F">
        <w:rPr>
          <w:noProof/>
          <w:lang w:eastAsia="en-GB"/>
        </w:rPr>
        <w:t xml:space="preserve"> billion</w:t>
      </w:r>
      <w:r w:rsidRPr="22FEA6BF">
        <w:rPr>
          <w:noProof/>
          <w:lang w:eastAsia="en-GB"/>
        </w:rPr>
        <w:t xml:space="preserve"> EUR over 203</w:t>
      </w:r>
      <w:r w:rsidR="2EACA445" w:rsidRPr="22FEA6BF">
        <w:rPr>
          <w:noProof/>
          <w:lang w:eastAsia="en-GB"/>
        </w:rPr>
        <w:t>1</w:t>
      </w:r>
      <w:r w:rsidRPr="22FEA6BF">
        <w:rPr>
          <w:noProof/>
          <w:lang w:eastAsia="en-GB"/>
        </w:rPr>
        <w:t>-2040</w:t>
      </w:r>
      <w:r>
        <w:rPr>
          <w:noProof/>
          <w:lang w:eastAsia="en-GB"/>
        </w:rPr>
        <w:t>, assuming an average carbon price of EUR 150.</w:t>
      </w:r>
      <w:r w:rsidRPr="22FEA6BF">
        <w:rPr>
          <w:noProof/>
          <w:lang w:eastAsia="en-GB"/>
        </w:rPr>
        <w:t xml:space="preserve"> </w:t>
      </w:r>
    </w:p>
    <w:p w14:paraId="1B02224B" w14:textId="77777777" w:rsidR="009010D9" w:rsidRDefault="009010D9">
      <w:pPr>
        <w:rPr>
          <w:noProof/>
        </w:rPr>
      </w:pPr>
      <w:r>
        <w:rPr>
          <w:noProof/>
        </w:rPr>
        <w:t>Almost a quarter of stakeholders in the OPC, from across different stakeholder groups, signalled that the EU ETS expansion to non-hazardous waste incineration can contribute to significant reductions in GHG emissions if complementary circular economy policies are effectively implemented. Some stakeholders across OPC responses, position papers and interviews also highlighted the importance of passing through the carbon costs to waste producers, following the Polluter Pays Principle (PPP), including through the extension of the EPR schemes to those producers which manufacture non-recyclable products, for example textiles.</w:t>
      </w:r>
    </w:p>
    <w:p w14:paraId="3BEA525D" w14:textId="77777777" w:rsidR="009010D9" w:rsidRDefault="009010D9" w:rsidP="00C3254C">
      <w:pPr>
        <w:pStyle w:val="Heading5COM"/>
        <w:ind w:left="2232"/>
        <w:outlineLvl w:val="5"/>
        <w:rPr>
          <w:noProof/>
        </w:rPr>
      </w:pPr>
      <w:bookmarkStart w:id="761" w:name="_Toc230861544"/>
      <w:bookmarkStart w:id="762" w:name="_Toc232751166"/>
      <w:r w:rsidRPr="003D3BB3">
        <w:rPr>
          <w:noProof/>
        </w:rPr>
        <w:t xml:space="preserve">W2 </w:t>
      </w:r>
      <w:r>
        <w:rPr>
          <w:noProof/>
        </w:rPr>
        <w:t xml:space="preserve">- EU ETS </w:t>
      </w:r>
      <w:r w:rsidRPr="003D3BB3">
        <w:rPr>
          <w:noProof/>
        </w:rPr>
        <w:t>expansion to non-hazardous and hazardous waste incineration’</w:t>
      </w:r>
      <w:bookmarkEnd w:id="761"/>
      <w:bookmarkEnd w:id="762"/>
      <w:r w:rsidRPr="003D3BB3">
        <w:rPr>
          <w:noProof/>
        </w:rPr>
        <w:t xml:space="preserve"> </w:t>
      </w:r>
    </w:p>
    <w:p w14:paraId="27669FB1" w14:textId="77777777" w:rsidR="009010D9" w:rsidRPr="003D3BB3" w:rsidRDefault="009010D9">
      <w:pPr>
        <w:rPr>
          <w:noProof/>
          <w:lang w:eastAsia="en-GB"/>
        </w:rPr>
      </w:pPr>
      <w:r w:rsidRPr="003D3BB3">
        <w:rPr>
          <w:noProof/>
          <w:lang w:eastAsia="en-GB"/>
        </w:rPr>
        <w:t xml:space="preserve">Under W2, </w:t>
      </w:r>
      <w:r>
        <w:rPr>
          <w:noProof/>
          <w:lang w:eastAsia="en-GB"/>
        </w:rPr>
        <w:t>the carbon price would be further extended to</w:t>
      </w:r>
      <w:r w:rsidRPr="003D3BB3">
        <w:rPr>
          <w:noProof/>
          <w:lang w:eastAsia="en-GB"/>
        </w:rPr>
        <w:t xml:space="preserve"> hazardous waste incineration </w:t>
      </w:r>
      <w:r>
        <w:rPr>
          <w:noProof/>
          <w:lang w:eastAsia="en-GB"/>
        </w:rPr>
        <w:t xml:space="preserve">(HWI) </w:t>
      </w:r>
      <w:r w:rsidRPr="003D3BB3">
        <w:rPr>
          <w:noProof/>
          <w:lang w:eastAsia="en-GB"/>
        </w:rPr>
        <w:t xml:space="preserve">installations. </w:t>
      </w:r>
      <w:r>
        <w:rPr>
          <w:noProof/>
          <w:lang w:eastAsia="en-GB"/>
        </w:rPr>
        <w:t>Similar to W1, t</w:t>
      </w:r>
      <w:r w:rsidRPr="003D3BB3">
        <w:rPr>
          <w:noProof/>
          <w:lang w:eastAsia="en-GB"/>
        </w:rPr>
        <w:t xml:space="preserve">he overall carbon cost to </w:t>
      </w:r>
      <w:r>
        <w:rPr>
          <w:noProof/>
          <w:lang w:eastAsia="en-GB"/>
        </w:rPr>
        <w:t>the remaining</w:t>
      </w:r>
      <w:r w:rsidRPr="003D3BB3">
        <w:rPr>
          <w:noProof/>
          <w:lang w:eastAsia="en-GB"/>
        </w:rPr>
        <w:t xml:space="preserve"> installations would depend on the </w:t>
      </w:r>
      <w:r>
        <w:rPr>
          <w:noProof/>
          <w:lang w:eastAsia="en-GB"/>
        </w:rPr>
        <w:t>total volume and composition of hazardous waste incinerated</w:t>
      </w:r>
      <w:r w:rsidRPr="003D3BB3">
        <w:rPr>
          <w:noProof/>
          <w:lang w:eastAsia="en-GB"/>
        </w:rPr>
        <w:t xml:space="preserve">, </w:t>
      </w:r>
      <w:r w:rsidRPr="00AF5FA1">
        <w:rPr>
          <w:noProof/>
          <w:lang w:eastAsia="en-GB"/>
        </w:rPr>
        <w:t>the carbon price, action taken to reduce emissions at operator level, and the cost passthrough and actions to reduce emissions throughout the waste value chain.</w:t>
      </w:r>
      <w:r w:rsidRPr="003D3BB3">
        <w:rPr>
          <w:noProof/>
          <w:lang w:eastAsia="en-GB"/>
        </w:rPr>
        <w:t xml:space="preserve"> </w:t>
      </w:r>
      <w:r>
        <w:rPr>
          <w:noProof/>
          <w:lang w:eastAsia="en-GB"/>
        </w:rPr>
        <w:t>Overall,</w:t>
      </w:r>
      <w:r w:rsidRPr="003D3BB3">
        <w:rPr>
          <w:noProof/>
          <w:lang w:eastAsia="en-GB"/>
        </w:rPr>
        <w:t xml:space="preserve"> </w:t>
      </w:r>
      <w:r>
        <w:rPr>
          <w:noProof/>
          <w:lang w:eastAsia="en-GB"/>
        </w:rPr>
        <w:t>operational cost increases</w:t>
      </w:r>
      <w:r w:rsidRPr="003D3BB3">
        <w:rPr>
          <w:noProof/>
          <w:lang w:eastAsia="en-GB"/>
        </w:rPr>
        <w:t xml:space="preserve"> </w:t>
      </w:r>
      <w:r>
        <w:rPr>
          <w:noProof/>
          <w:lang w:eastAsia="en-GB"/>
        </w:rPr>
        <w:t>due to the carbon price are</w:t>
      </w:r>
      <w:r w:rsidRPr="003D3BB3">
        <w:rPr>
          <w:noProof/>
          <w:lang w:eastAsia="en-GB"/>
        </w:rPr>
        <w:t xml:space="preserve"> expected to be </w:t>
      </w:r>
      <w:r>
        <w:rPr>
          <w:noProof/>
          <w:lang w:eastAsia="en-GB"/>
        </w:rPr>
        <w:t>comparatively higher</w:t>
      </w:r>
      <w:r w:rsidRPr="003D3BB3">
        <w:rPr>
          <w:noProof/>
          <w:lang w:eastAsia="en-GB"/>
        </w:rPr>
        <w:t xml:space="preserve"> to that of non-hazardous waste incineration installations given the higher fossil content of hazardous waste (90% compared to 50% for municipal waste)</w:t>
      </w:r>
      <w:r>
        <w:rPr>
          <w:noProof/>
          <w:lang w:eastAsia="en-GB"/>
        </w:rPr>
        <w:t xml:space="preserve"> and more restricted alternatives due to regulatory constraints.</w:t>
      </w:r>
    </w:p>
    <w:p w14:paraId="2708FDFA" w14:textId="77777777" w:rsidR="009010D9" w:rsidRDefault="009010D9">
      <w:pPr>
        <w:rPr>
          <w:noProof/>
          <w:lang w:eastAsia="en-GB"/>
        </w:rPr>
      </w:pPr>
      <w:r>
        <w:rPr>
          <w:noProof/>
          <w:lang w:eastAsia="en-GB"/>
        </w:rPr>
        <w:t>T</w:t>
      </w:r>
      <w:r w:rsidRPr="003D3BB3">
        <w:rPr>
          <w:noProof/>
          <w:lang w:eastAsia="en-GB"/>
        </w:rPr>
        <w:t xml:space="preserve">he treatment and sorting of hazardous waste are </w:t>
      </w:r>
      <w:r>
        <w:rPr>
          <w:noProof/>
          <w:lang w:eastAsia="en-GB"/>
        </w:rPr>
        <w:t>strictly regulated</w:t>
      </w:r>
      <w:r w:rsidRPr="003D3BB3">
        <w:rPr>
          <w:noProof/>
          <w:lang w:eastAsia="en-GB"/>
        </w:rPr>
        <w:t xml:space="preserve"> by health and safety regulations</w:t>
      </w:r>
      <w:r>
        <w:rPr>
          <w:noProof/>
          <w:lang w:eastAsia="en-GB"/>
        </w:rPr>
        <w:t>, implying more limited abatement options compared to W1 in terms of incentivising increased recycling, while incentives to reduce hazardous waste at source are expected to be heterogeneous depending on the specific product/waste stream and applicable regulatory requirements. A</w:t>
      </w:r>
      <w:r w:rsidRPr="003D3BB3">
        <w:rPr>
          <w:noProof/>
          <w:lang w:eastAsia="en-GB"/>
        </w:rPr>
        <w:t xml:space="preserve">batement </w:t>
      </w:r>
      <w:r>
        <w:rPr>
          <w:noProof/>
          <w:lang w:eastAsia="en-GB"/>
        </w:rPr>
        <w:t>options</w:t>
      </w:r>
      <w:r w:rsidRPr="003D3BB3">
        <w:rPr>
          <w:noProof/>
          <w:lang w:eastAsia="en-GB"/>
        </w:rPr>
        <w:t xml:space="preserve"> </w:t>
      </w:r>
      <w:r>
        <w:rPr>
          <w:noProof/>
          <w:lang w:eastAsia="en-GB"/>
        </w:rPr>
        <w:t>at installation-level are equally expected to be less cost-effective compared to W1, with Mixed Waste Sorting less technically, economically and regulatorily viable and CCUS application showing a more limited potential for biogenic carbon removal generation due to the higher fossil emission fraction.</w:t>
      </w:r>
    </w:p>
    <w:p w14:paraId="1F042DE6" w14:textId="77777777" w:rsidR="009010D9" w:rsidRPr="003D3BB3" w:rsidRDefault="009010D9">
      <w:pPr>
        <w:rPr>
          <w:noProof/>
          <w:lang w:eastAsia="en-GB"/>
        </w:rPr>
      </w:pPr>
      <w:r w:rsidRPr="003D3BB3">
        <w:rPr>
          <w:noProof/>
          <w:lang w:eastAsia="en-GB"/>
        </w:rPr>
        <w:t xml:space="preserve">A </w:t>
      </w:r>
      <w:r>
        <w:rPr>
          <w:noProof/>
          <w:lang w:eastAsia="en-GB"/>
        </w:rPr>
        <w:t xml:space="preserve">relative </w:t>
      </w:r>
      <w:r w:rsidRPr="003D3BB3">
        <w:rPr>
          <w:noProof/>
          <w:lang w:eastAsia="en-GB"/>
        </w:rPr>
        <w:t xml:space="preserve">majority of stakeholders </w:t>
      </w:r>
      <w:r>
        <w:rPr>
          <w:noProof/>
          <w:lang w:eastAsia="en-GB"/>
        </w:rPr>
        <w:t>opposed</w:t>
      </w:r>
      <w:r w:rsidRPr="003D3BB3">
        <w:rPr>
          <w:noProof/>
          <w:lang w:eastAsia="en-GB"/>
        </w:rPr>
        <w:t xml:space="preserve"> the expansion of the </w:t>
      </w:r>
      <w:r>
        <w:rPr>
          <w:noProof/>
          <w:lang w:eastAsia="en-GB"/>
        </w:rPr>
        <w:t xml:space="preserve">EU ETS </w:t>
      </w:r>
      <w:r w:rsidRPr="003D3BB3">
        <w:rPr>
          <w:noProof/>
          <w:lang w:eastAsia="en-GB"/>
        </w:rPr>
        <w:t xml:space="preserve">to </w:t>
      </w:r>
      <w:r>
        <w:rPr>
          <w:noProof/>
          <w:lang w:eastAsia="en-GB"/>
        </w:rPr>
        <w:t>HWI,</w:t>
      </w:r>
      <w:r w:rsidRPr="003D3BB3">
        <w:rPr>
          <w:noProof/>
          <w:lang w:eastAsia="en-GB"/>
        </w:rPr>
        <w:t xml:space="preserve"> mainly </w:t>
      </w:r>
      <w:r>
        <w:rPr>
          <w:noProof/>
          <w:lang w:eastAsia="en-GB"/>
        </w:rPr>
        <w:t>questioning</w:t>
      </w:r>
      <w:r w:rsidRPr="003D3BB3">
        <w:rPr>
          <w:noProof/>
          <w:lang w:eastAsia="en-GB"/>
        </w:rPr>
        <w:t xml:space="preserve"> the extent to which carbon pricing </w:t>
      </w:r>
      <w:r>
        <w:rPr>
          <w:noProof/>
          <w:lang w:eastAsia="en-GB"/>
        </w:rPr>
        <w:t>c</w:t>
      </w:r>
      <w:r w:rsidRPr="003D3BB3">
        <w:rPr>
          <w:noProof/>
          <w:lang w:eastAsia="en-GB"/>
        </w:rPr>
        <w:t xml:space="preserve">ould be effective in reducing emissions from a process that has very few alternatives. They argued that fuel-switch options are limited due to the need for destruction at high temperatures, while applying the added cost pressure would not remove the need for the removal of hazardous waste as the production of such waste is not within their control and those installations have a public-service </w:t>
      </w:r>
      <w:r>
        <w:rPr>
          <w:noProof/>
          <w:lang w:eastAsia="en-GB"/>
        </w:rPr>
        <w:t>requirement</w:t>
      </w:r>
      <w:r w:rsidRPr="003D3BB3">
        <w:rPr>
          <w:noProof/>
          <w:lang w:eastAsia="en-GB"/>
        </w:rPr>
        <w:t xml:space="preserve"> in safely handling hazardous waste and potential risks to public health and safety. </w:t>
      </w:r>
    </w:p>
    <w:p w14:paraId="7E618E5E" w14:textId="77777777" w:rsidR="009010D9" w:rsidRDefault="009010D9" w:rsidP="00C3254C">
      <w:pPr>
        <w:pStyle w:val="Heading5COM"/>
        <w:ind w:left="2232"/>
        <w:outlineLvl w:val="5"/>
        <w:rPr>
          <w:noProof/>
        </w:rPr>
      </w:pPr>
      <w:bookmarkStart w:id="763" w:name="_Toc230861545"/>
      <w:bookmarkStart w:id="764" w:name="_Toc232751167"/>
      <w:r w:rsidRPr="003D3BB3">
        <w:rPr>
          <w:noProof/>
        </w:rPr>
        <w:t>W3 ‘</w:t>
      </w:r>
      <w:r>
        <w:rPr>
          <w:noProof/>
        </w:rPr>
        <w:t xml:space="preserve">EU ETS </w:t>
      </w:r>
      <w:r w:rsidRPr="003D3BB3">
        <w:rPr>
          <w:noProof/>
        </w:rPr>
        <w:t>expansion to non-hazardous and hazardous waste incineration as well as non-hazardous landfills’</w:t>
      </w:r>
      <w:bookmarkEnd w:id="763"/>
      <w:bookmarkEnd w:id="764"/>
      <w:r w:rsidRPr="003D3BB3">
        <w:rPr>
          <w:noProof/>
        </w:rPr>
        <w:t xml:space="preserve"> </w:t>
      </w:r>
    </w:p>
    <w:p w14:paraId="7F9FA6BA" w14:textId="77777777" w:rsidR="009010D9" w:rsidRDefault="009010D9">
      <w:pPr>
        <w:rPr>
          <w:noProof/>
        </w:rPr>
      </w:pPr>
      <w:r w:rsidRPr="003D3BB3">
        <w:rPr>
          <w:noProof/>
          <w:lang w:eastAsia="en-GB"/>
        </w:rPr>
        <w:t xml:space="preserve">Under W3, </w:t>
      </w:r>
      <w:r>
        <w:rPr>
          <w:noProof/>
          <w:lang w:eastAsia="en-GB"/>
        </w:rPr>
        <w:t>like</w:t>
      </w:r>
      <w:r w:rsidRPr="00E1211C">
        <w:rPr>
          <w:noProof/>
          <w:lang w:eastAsia="en-GB"/>
        </w:rPr>
        <w:t xml:space="preserve"> W1, the overall carbon cost to installations would depend on the emissions, the carbon price, action taken to reduce emissions at operator level, and the cost passthrough and actions to reduce emissions throughout the waste value chain</w:t>
      </w:r>
      <w:r w:rsidRPr="003D3BB3">
        <w:rPr>
          <w:noProof/>
          <w:lang w:eastAsia="en-GB"/>
        </w:rPr>
        <w:t>. With</w:t>
      </w:r>
      <w:r>
        <w:rPr>
          <w:noProof/>
          <w:lang w:eastAsia="en-GB"/>
        </w:rPr>
        <w:t xml:space="preserve"> total</w:t>
      </w:r>
      <w:r w:rsidRPr="003D3BB3">
        <w:rPr>
          <w:noProof/>
          <w:lang w:eastAsia="en-GB"/>
        </w:rPr>
        <w:t xml:space="preserve"> emissions from landfills being </w:t>
      </w:r>
      <w:r>
        <w:rPr>
          <w:noProof/>
          <w:lang w:eastAsia="en-GB"/>
        </w:rPr>
        <w:t>substantially larger</w:t>
      </w:r>
      <w:r w:rsidRPr="003D3BB3">
        <w:rPr>
          <w:noProof/>
          <w:lang w:eastAsia="en-GB"/>
        </w:rPr>
        <w:t xml:space="preserve"> than those from </w:t>
      </w:r>
      <w:r>
        <w:rPr>
          <w:noProof/>
          <w:lang w:eastAsia="en-GB"/>
        </w:rPr>
        <w:t>MWI</w:t>
      </w:r>
      <w:r w:rsidRPr="003D3BB3">
        <w:rPr>
          <w:noProof/>
          <w:lang w:eastAsia="en-GB"/>
        </w:rPr>
        <w:t xml:space="preserve">, the </w:t>
      </w:r>
      <w:r>
        <w:rPr>
          <w:noProof/>
          <w:lang w:eastAsia="en-GB"/>
        </w:rPr>
        <w:t xml:space="preserve">economy-wide </w:t>
      </w:r>
      <w:r w:rsidRPr="003D3BB3">
        <w:rPr>
          <w:noProof/>
          <w:lang w:eastAsia="en-GB"/>
        </w:rPr>
        <w:t xml:space="preserve">carbon cost </w:t>
      </w:r>
      <w:r>
        <w:rPr>
          <w:noProof/>
          <w:lang w:eastAsia="en-GB"/>
        </w:rPr>
        <w:t>will</w:t>
      </w:r>
      <w:r w:rsidRPr="003D3BB3">
        <w:rPr>
          <w:noProof/>
          <w:lang w:eastAsia="en-GB"/>
        </w:rPr>
        <w:t xml:space="preserve"> </w:t>
      </w:r>
      <w:r>
        <w:rPr>
          <w:noProof/>
          <w:lang w:eastAsia="en-GB"/>
        </w:rPr>
        <w:t xml:space="preserve">be </w:t>
      </w:r>
      <w:r w:rsidRPr="003D3BB3">
        <w:rPr>
          <w:noProof/>
          <w:lang w:eastAsia="en-GB"/>
        </w:rPr>
        <w:t>higher</w:t>
      </w:r>
      <w:r>
        <w:rPr>
          <w:noProof/>
          <w:lang w:eastAsia="en-GB"/>
        </w:rPr>
        <w:t>, but will also be distributed among a larger number of installations compared to W1 or W2</w:t>
      </w:r>
      <w:r w:rsidRPr="003D3BB3">
        <w:rPr>
          <w:noProof/>
          <w:lang w:eastAsia="en-GB"/>
        </w:rPr>
        <w:t xml:space="preserve">. </w:t>
      </w:r>
      <w:r w:rsidRPr="30E88104">
        <w:rPr>
          <w:noProof/>
          <w:lang w:eastAsia="en-GB"/>
        </w:rPr>
        <w:t xml:space="preserve">The average carbon cost per tonne of </w:t>
      </w:r>
      <w:r>
        <w:rPr>
          <w:noProof/>
          <w:lang w:eastAsia="en-GB"/>
        </w:rPr>
        <w:t>non-hazardous waste landfilled</w:t>
      </w:r>
      <w:r w:rsidRPr="30E88104">
        <w:rPr>
          <w:noProof/>
          <w:lang w:eastAsia="en-GB"/>
        </w:rPr>
        <w:t xml:space="preserve"> </w:t>
      </w:r>
      <w:r>
        <w:rPr>
          <w:noProof/>
          <w:lang w:eastAsia="en-GB"/>
        </w:rPr>
        <w:t>has been</w:t>
      </w:r>
      <w:r w:rsidRPr="30E88104">
        <w:rPr>
          <w:noProof/>
          <w:lang w:eastAsia="en-GB"/>
        </w:rPr>
        <w:t xml:space="preserve"> estimated </w:t>
      </w:r>
      <w:r>
        <w:rPr>
          <w:noProof/>
          <w:lang w:eastAsia="en-GB"/>
        </w:rPr>
        <w:t xml:space="preserve">in Section 1.3.1. </w:t>
      </w:r>
      <w:r w:rsidRPr="30E88104">
        <w:rPr>
          <w:noProof/>
          <w:lang w:eastAsia="en-GB"/>
        </w:rPr>
        <w:t xml:space="preserve">to amount to EUR </w:t>
      </w:r>
      <w:r>
        <w:rPr>
          <w:noProof/>
          <w:lang w:eastAsia="en-GB"/>
        </w:rPr>
        <w:t>66 in 2030</w:t>
      </w:r>
      <w:r w:rsidRPr="30E88104">
        <w:rPr>
          <w:noProof/>
          <w:lang w:eastAsia="en-GB"/>
        </w:rPr>
        <w:t xml:space="preserve">, assuming a carbon price of EUR </w:t>
      </w:r>
      <w:r>
        <w:rPr>
          <w:noProof/>
          <w:lang w:eastAsia="en-GB"/>
        </w:rPr>
        <w:t>110</w:t>
      </w:r>
      <w:r w:rsidRPr="30E88104">
        <w:rPr>
          <w:noProof/>
          <w:lang w:eastAsia="en-GB"/>
        </w:rPr>
        <w:t xml:space="preserve"> per tonne CO2e and 1 tonne of municipal waste being associated with 0.</w:t>
      </w:r>
      <w:r>
        <w:rPr>
          <w:noProof/>
          <w:lang w:eastAsia="en-GB"/>
        </w:rPr>
        <w:t>6</w:t>
      </w:r>
      <w:r w:rsidRPr="30E88104">
        <w:rPr>
          <w:noProof/>
          <w:lang w:eastAsia="en-GB"/>
        </w:rPr>
        <w:t xml:space="preserve"> tonnes of fossil CO2 emissions. Th</w:t>
      </w:r>
      <w:r>
        <w:rPr>
          <w:noProof/>
          <w:lang w:eastAsia="en-GB"/>
        </w:rPr>
        <w:t>is</w:t>
      </w:r>
      <w:r w:rsidRPr="30E88104">
        <w:rPr>
          <w:noProof/>
          <w:lang w:eastAsia="en-GB"/>
        </w:rPr>
        <w:t xml:space="preserve"> cost is expected to increase over time with the increasing ETS price until 2040.</w:t>
      </w:r>
      <w:r>
        <w:rPr>
          <w:noProof/>
          <w:lang w:eastAsia="en-GB"/>
        </w:rPr>
        <w:t xml:space="preserve"> </w:t>
      </w:r>
      <w:r w:rsidRPr="00FB0AA7">
        <w:rPr>
          <w:noProof/>
          <w:lang w:eastAsia="en-GB"/>
        </w:rPr>
        <w:t xml:space="preserve">From an economic perspective, the associated costs would </w:t>
      </w:r>
      <w:r>
        <w:rPr>
          <w:noProof/>
          <w:lang w:eastAsia="en-GB"/>
        </w:rPr>
        <w:t xml:space="preserve">also depend on whether only future emissions would be covered under the scope of extension, or also historical emissions. Overall costs would </w:t>
      </w:r>
      <w:r w:rsidRPr="00FB0AA7">
        <w:rPr>
          <w:noProof/>
          <w:lang w:eastAsia="en-GB"/>
        </w:rPr>
        <w:t xml:space="preserve">be higher over time </w:t>
      </w:r>
      <w:r>
        <w:rPr>
          <w:noProof/>
          <w:lang w:eastAsia="en-GB"/>
        </w:rPr>
        <w:t xml:space="preserve">in the latter case, </w:t>
      </w:r>
      <w:r w:rsidRPr="00FB0AA7">
        <w:rPr>
          <w:noProof/>
          <w:lang w:eastAsia="en-GB"/>
        </w:rPr>
        <w:t xml:space="preserve">as operators would also be liable for historical emissions resulting from disposal before the start of application of carbon pricing. </w:t>
      </w:r>
      <w:r>
        <w:rPr>
          <w:noProof/>
          <w:lang w:eastAsia="en-GB"/>
        </w:rPr>
        <w:t>While evidence on price elasticities for non-hazardous landfilling is limited, the combination of the existing regulatory framework with the increase in the cost of landfilling would be expected to further drive a reduction of organic residual waste streams disposed in landfills. In addition, t</w:t>
      </w:r>
      <w:r w:rsidRPr="006C17A4">
        <w:rPr>
          <w:noProof/>
        </w:rPr>
        <w:t>he assessment of abatement options for landfills</w:t>
      </w:r>
      <w:r>
        <w:rPr>
          <w:noProof/>
        </w:rPr>
        <w:t xml:space="preserve"> in Section 1.3.2.</w:t>
      </w:r>
      <w:r w:rsidRPr="006C17A4">
        <w:rPr>
          <w:noProof/>
        </w:rPr>
        <w:t xml:space="preserve"> </w:t>
      </w:r>
      <w:r>
        <w:rPr>
          <w:noProof/>
        </w:rPr>
        <w:t>indicates</w:t>
      </w:r>
      <w:r w:rsidRPr="006C17A4">
        <w:rPr>
          <w:noProof/>
        </w:rPr>
        <w:t xml:space="preserve"> a</w:t>
      </w:r>
      <w:r>
        <w:rPr>
          <w:noProof/>
        </w:rPr>
        <w:t xml:space="preserve"> </w:t>
      </w:r>
      <w:r w:rsidRPr="006C17A4">
        <w:rPr>
          <w:noProof/>
        </w:rPr>
        <w:t>high</w:t>
      </w:r>
      <w:r>
        <w:rPr>
          <w:noProof/>
        </w:rPr>
        <w:t xml:space="preserve"> cost-effective</w:t>
      </w:r>
      <w:r w:rsidRPr="006C17A4">
        <w:rPr>
          <w:noProof/>
        </w:rPr>
        <w:t xml:space="preserve"> </w:t>
      </w:r>
      <w:r>
        <w:rPr>
          <w:noProof/>
        </w:rPr>
        <w:t xml:space="preserve">abatement </w:t>
      </w:r>
      <w:r w:rsidRPr="006C17A4">
        <w:rPr>
          <w:noProof/>
        </w:rPr>
        <w:t xml:space="preserve">potential </w:t>
      </w:r>
      <w:r>
        <w:rPr>
          <w:noProof/>
        </w:rPr>
        <w:t>c</w:t>
      </w:r>
      <w:r w:rsidRPr="006C17A4">
        <w:rPr>
          <w:noProof/>
        </w:rPr>
        <w:t>ompared to W1 and W2</w:t>
      </w:r>
      <w:r>
        <w:rPr>
          <w:noProof/>
        </w:rPr>
        <w:t>, with biogas production from landfill gas capture providing additional economic opportunities for operators</w:t>
      </w:r>
      <w:r w:rsidRPr="00656AC6">
        <w:rPr>
          <w:noProof/>
          <w:lang w:eastAsia="en-GB"/>
        </w:rPr>
        <w:t>.</w:t>
      </w:r>
    </w:p>
    <w:p w14:paraId="2ACC3411" w14:textId="77777777" w:rsidR="009010D9" w:rsidRPr="003D3BB3" w:rsidRDefault="009010D9">
      <w:pPr>
        <w:rPr>
          <w:noProof/>
        </w:rPr>
      </w:pPr>
      <w:r w:rsidRPr="003D3BB3">
        <w:rPr>
          <w:noProof/>
        </w:rPr>
        <w:t xml:space="preserve">Similarly to W1 and W2, </w:t>
      </w:r>
      <w:r>
        <w:rPr>
          <w:noProof/>
        </w:rPr>
        <w:t xml:space="preserve">complementary upstream measures and policies </w:t>
      </w:r>
      <w:r w:rsidRPr="003D3BB3">
        <w:rPr>
          <w:noProof/>
        </w:rPr>
        <w:t>to prevent and reduce the amount of biodegradable waste that is landfilled</w:t>
      </w:r>
      <w:r>
        <w:rPr>
          <w:noProof/>
        </w:rPr>
        <w:t xml:space="preserve"> play an important role to increase</w:t>
      </w:r>
      <w:r w:rsidRPr="003D3BB3">
        <w:rPr>
          <w:noProof/>
        </w:rPr>
        <w:t xml:space="preserve"> waste prevention, diversion to recycling or composting. </w:t>
      </w:r>
      <w:r>
        <w:rPr>
          <w:noProof/>
        </w:rPr>
        <w:t>However, u</w:t>
      </w:r>
      <w:r w:rsidRPr="003D3BB3">
        <w:rPr>
          <w:noProof/>
        </w:rPr>
        <w:t xml:space="preserve">pstream interventions </w:t>
      </w:r>
      <w:r>
        <w:rPr>
          <w:noProof/>
        </w:rPr>
        <w:t>mainly affect future emissions, while abatement at installation level is needed to address</w:t>
      </w:r>
      <w:r w:rsidRPr="003D3BB3">
        <w:rPr>
          <w:noProof/>
        </w:rPr>
        <w:t xml:space="preserve"> </w:t>
      </w:r>
      <w:r>
        <w:rPr>
          <w:noProof/>
        </w:rPr>
        <w:t>historical emissions from</w:t>
      </w:r>
      <w:r w:rsidRPr="003D3BB3">
        <w:rPr>
          <w:noProof/>
        </w:rPr>
        <w:t xml:space="preserve"> waste that has been landfilled</w:t>
      </w:r>
      <w:r>
        <w:rPr>
          <w:noProof/>
        </w:rPr>
        <w:t xml:space="preserve"> in the past</w:t>
      </w:r>
      <w:r w:rsidRPr="003D3BB3">
        <w:rPr>
          <w:noProof/>
        </w:rPr>
        <w:t>.</w:t>
      </w:r>
    </w:p>
    <w:p w14:paraId="76F64BCF" w14:textId="77777777" w:rsidR="009010D9" w:rsidRDefault="009010D9" w:rsidP="0018561F">
      <w:pPr>
        <w:pStyle w:val="Heading4COM"/>
        <w:numPr>
          <w:ilvl w:val="3"/>
          <w:numId w:val="36"/>
        </w:numPr>
        <w:outlineLvl w:val="4"/>
        <w:rPr>
          <w:noProof/>
        </w:rPr>
      </w:pPr>
      <w:bookmarkStart w:id="765" w:name="_Toc230861546"/>
      <w:bookmarkStart w:id="766" w:name="_Toc232751168"/>
      <w:bookmarkStart w:id="767" w:name="_Toc212426457"/>
      <w:bookmarkStart w:id="768" w:name="_Toc20406734"/>
      <w:r>
        <w:rPr>
          <w:noProof/>
        </w:rPr>
        <w:t>Administrative efforts</w:t>
      </w:r>
      <w:bookmarkEnd w:id="765"/>
      <w:bookmarkEnd w:id="766"/>
    </w:p>
    <w:p w14:paraId="61C74A05" w14:textId="77777777" w:rsidR="009010D9" w:rsidRPr="003D3BB3" w:rsidRDefault="009010D9" w:rsidP="00C3254C">
      <w:pPr>
        <w:pStyle w:val="Heading5COM"/>
        <w:ind w:left="2232"/>
        <w:outlineLvl w:val="5"/>
        <w:rPr>
          <w:noProof/>
        </w:rPr>
      </w:pPr>
      <w:bookmarkStart w:id="769" w:name="_Toc230861547"/>
      <w:bookmarkStart w:id="770" w:name="_Toc232751169"/>
      <w:r w:rsidRPr="003D3BB3">
        <w:rPr>
          <w:noProof/>
        </w:rPr>
        <w:t>W1 ‘</w:t>
      </w:r>
      <w:r>
        <w:rPr>
          <w:noProof/>
        </w:rPr>
        <w:t xml:space="preserve">EU ETS </w:t>
      </w:r>
      <w:r w:rsidRPr="003D3BB3">
        <w:rPr>
          <w:noProof/>
        </w:rPr>
        <w:t>expansion to non-hazardous waste incineration’</w:t>
      </w:r>
      <w:bookmarkEnd w:id="769"/>
      <w:bookmarkEnd w:id="770"/>
      <w:r w:rsidRPr="003D3BB3">
        <w:rPr>
          <w:noProof/>
        </w:rPr>
        <w:t xml:space="preserve"> </w:t>
      </w:r>
    </w:p>
    <w:p w14:paraId="356F8B8B" w14:textId="77777777" w:rsidR="009010D9" w:rsidRDefault="009010D9">
      <w:pPr>
        <w:rPr>
          <w:noProof/>
          <w:lang w:eastAsia="en-GB"/>
        </w:rPr>
      </w:pPr>
      <w:r w:rsidRPr="00AE6CE0">
        <w:rPr>
          <w:noProof/>
          <w:lang w:eastAsia="en-GB"/>
        </w:rPr>
        <w:t xml:space="preserve">Extending the scope of the EU ETS to waste </w:t>
      </w:r>
      <w:r>
        <w:rPr>
          <w:noProof/>
          <w:lang w:eastAsia="en-GB"/>
        </w:rPr>
        <w:t>incineration</w:t>
      </w:r>
      <w:r w:rsidRPr="00AE6CE0">
        <w:rPr>
          <w:noProof/>
          <w:lang w:eastAsia="en-GB"/>
        </w:rPr>
        <w:t xml:space="preserve"> relies on the existing system under the </w:t>
      </w:r>
      <w:r>
        <w:rPr>
          <w:noProof/>
          <w:lang w:eastAsia="en-GB"/>
        </w:rPr>
        <w:t>EU ETS</w:t>
      </w:r>
      <w:r w:rsidRPr="00AE6CE0">
        <w:rPr>
          <w:noProof/>
          <w:lang w:eastAsia="en-GB"/>
        </w:rPr>
        <w:t xml:space="preserve">. For both options </w:t>
      </w:r>
      <w:r>
        <w:rPr>
          <w:noProof/>
          <w:lang w:eastAsia="en-GB"/>
        </w:rPr>
        <w:t>W1 and W2</w:t>
      </w:r>
      <w:r w:rsidRPr="00AE6CE0">
        <w:rPr>
          <w:noProof/>
          <w:lang w:eastAsia="en-GB"/>
        </w:rPr>
        <w:t xml:space="preserve">, one-time administrative costs, regularly occurring administrative costs and costs for disclosure and sanctioning can be identified for competent authorities and for the operators. However, the existing system, processes and infrastructure (such as the Registry) can be used, limiting costs. </w:t>
      </w:r>
    </w:p>
    <w:p w14:paraId="1349124A" w14:textId="77777777" w:rsidR="009010D9" w:rsidRPr="003D3BB3" w:rsidRDefault="009010D9">
      <w:pPr>
        <w:rPr>
          <w:noProof/>
          <w:lang w:eastAsia="en-GB"/>
        </w:rPr>
      </w:pPr>
      <w:r>
        <w:rPr>
          <w:noProof/>
          <w:lang w:eastAsia="en-GB"/>
        </w:rPr>
        <w:t>W1</w:t>
      </w:r>
      <w:r w:rsidRPr="22FEA6BF">
        <w:rPr>
          <w:noProof/>
          <w:lang w:eastAsia="en-GB"/>
        </w:rPr>
        <w:t xml:space="preserve"> builds on the already implemented MRV requirements for MWI, including the developed monitoring plans, data collection and reporting infrastructure. Additional monitoring and reporting costs under </w:t>
      </w:r>
      <w:r>
        <w:rPr>
          <w:noProof/>
          <w:lang w:eastAsia="en-GB"/>
        </w:rPr>
        <w:t>W1</w:t>
      </w:r>
      <w:r w:rsidRPr="22FEA6BF">
        <w:rPr>
          <w:noProof/>
          <w:lang w:eastAsia="en-GB"/>
        </w:rPr>
        <w:t xml:space="preserve"> may result from a review</w:t>
      </w:r>
      <w:r>
        <w:rPr>
          <w:noProof/>
          <w:lang w:eastAsia="en-GB"/>
        </w:rPr>
        <w:t xml:space="preserve"> of the MRV rules</w:t>
      </w:r>
      <w:r w:rsidRPr="22FEA6BF">
        <w:rPr>
          <w:noProof/>
          <w:lang w:eastAsia="en-GB"/>
        </w:rPr>
        <w:t xml:space="preserve"> to further </w:t>
      </w:r>
      <w:r>
        <w:rPr>
          <w:noProof/>
          <w:lang w:eastAsia="en-GB"/>
        </w:rPr>
        <w:t>specify</w:t>
      </w:r>
      <w:r w:rsidRPr="22FEA6BF">
        <w:rPr>
          <w:noProof/>
          <w:lang w:eastAsia="en-GB"/>
        </w:rPr>
        <w:t xml:space="preserve"> the harmonised monitoring and reporting standards and protocols for the sector. As with the inclusion of any sector, being subject to the ETS entails third-party verification of emissions reports. Depending on the MRV protocol followed, other third-party cost may arise from periodic sampling if required,  laboratory analysis (e.g., radiocarbon testing or waste composition studies), and the integration of IT systems for emissions tracking and record-keeping. For many facilities, particularly those without existing carbon accounting systems, these obligations necessitate specialist staff training and potentially, engagement of external consultants. The administrative burden for a specific operator will vary according to plant size, complexity and the MRV methodology adopted.  </w:t>
      </w:r>
    </w:p>
    <w:p w14:paraId="754F5C99" w14:textId="77777777" w:rsidR="009010D9" w:rsidRPr="003D3BB3" w:rsidRDefault="009010D9">
      <w:pPr>
        <w:rPr>
          <w:noProof/>
          <w:lang w:eastAsia="en-GB"/>
        </w:rPr>
      </w:pPr>
      <w:r w:rsidRPr="003D3BB3">
        <w:rPr>
          <w:noProof/>
          <w:lang w:eastAsia="en-GB"/>
        </w:rPr>
        <w:t xml:space="preserve">There are a range of methods available for monitoring emissions from waste incinerators, which have different associated costs. The </w:t>
      </w:r>
      <w:r>
        <w:rPr>
          <w:noProof/>
          <w:lang w:eastAsia="en-GB"/>
        </w:rPr>
        <w:t xml:space="preserve">estimated </w:t>
      </w:r>
      <w:r w:rsidRPr="003D3BB3">
        <w:rPr>
          <w:noProof/>
          <w:lang w:eastAsia="en-GB"/>
        </w:rPr>
        <w:t xml:space="preserve">costs associated with these methods </w:t>
      </w:r>
      <w:r>
        <w:rPr>
          <w:noProof/>
          <w:lang w:eastAsia="en-GB"/>
        </w:rPr>
        <w:t xml:space="preserve">have been assessed in Section 1.4 and Appendix 3. </w:t>
      </w:r>
      <w:r w:rsidRPr="00510158">
        <w:rPr>
          <w:noProof/>
          <w:lang w:eastAsia="en-GB"/>
        </w:rPr>
        <w:t xml:space="preserve">Overall, the technical implementation and cost related to MRV, while additional, </w:t>
      </w:r>
      <w:r>
        <w:rPr>
          <w:noProof/>
          <w:lang w:eastAsia="en-GB"/>
        </w:rPr>
        <w:t>are</w:t>
      </w:r>
      <w:r w:rsidRPr="00510158">
        <w:rPr>
          <w:noProof/>
          <w:lang w:eastAsia="en-GB"/>
        </w:rPr>
        <w:t xml:space="preserve"> expected to be manageable </w:t>
      </w:r>
      <w:r>
        <w:rPr>
          <w:noProof/>
          <w:lang w:eastAsia="en-GB"/>
        </w:rPr>
        <w:t>under W1 in light of</w:t>
      </w:r>
      <w:r w:rsidRPr="00510158">
        <w:rPr>
          <w:noProof/>
          <w:lang w:eastAsia="en-GB"/>
        </w:rPr>
        <w:t xml:space="preserve"> </w:t>
      </w:r>
      <w:r>
        <w:rPr>
          <w:noProof/>
          <w:lang w:eastAsia="en-GB"/>
        </w:rPr>
        <w:t xml:space="preserve">the already applicable MRV obligation and </w:t>
      </w:r>
      <w:r w:rsidRPr="00510158">
        <w:rPr>
          <w:noProof/>
          <w:lang w:eastAsia="en-GB"/>
        </w:rPr>
        <w:t xml:space="preserve">other reporting obligations and experience already in place, for example under the Industrial Emissions Directive (IED), and </w:t>
      </w:r>
      <w:r>
        <w:rPr>
          <w:noProof/>
          <w:lang w:eastAsia="en-GB"/>
        </w:rPr>
        <w:t>the possibility to establish a</w:t>
      </w:r>
      <w:r w:rsidRPr="006C4FCB">
        <w:rPr>
          <w:noProof/>
          <w:lang w:eastAsia="en-GB"/>
        </w:rPr>
        <w:t xml:space="preserve"> tiered system that incorporates both measurement-based and calculation-based methodologies, along with simplified provisions for smaller emitters, provid</w:t>
      </w:r>
      <w:r>
        <w:rPr>
          <w:noProof/>
          <w:lang w:eastAsia="en-GB"/>
        </w:rPr>
        <w:t xml:space="preserve">ing </w:t>
      </w:r>
      <w:r w:rsidRPr="006C4FCB">
        <w:rPr>
          <w:noProof/>
          <w:lang w:eastAsia="en-GB"/>
        </w:rPr>
        <w:t xml:space="preserve">scalable and proportionate MRV system </w:t>
      </w:r>
      <w:r>
        <w:rPr>
          <w:noProof/>
          <w:lang w:eastAsia="en-GB"/>
        </w:rPr>
        <w:t>minimising administrative costs. The threshold for inclusion may need to be modulated to alternative mechanisms based e.g. on tonnage instead of thermal capacity, to adjust to the specificities of the waste sector, as indicated by multiple sector stakeholders during the consultation.</w:t>
      </w:r>
    </w:p>
    <w:p w14:paraId="00A050DF" w14:textId="77777777" w:rsidR="009010D9" w:rsidRPr="003D3BB3" w:rsidRDefault="009010D9" w:rsidP="00C3254C">
      <w:pPr>
        <w:pStyle w:val="Heading5COM"/>
        <w:ind w:left="2232"/>
        <w:outlineLvl w:val="5"/>
        <w:rPr>
          <w:noProof/>
        </w:rPr>
      </w:pPr>
      <w:bookmarkStart w:id="771" w:name="_Toc230861548"/>
      <w:bookmarkStart w:id="772" w:name="_Toc232751170"/>
      <w:r w:rsidRPr="003D3BB3">
        <w:rPr>
          <w:noProof/>
        </w:rPr>
        <w:t xml:space="preserve">W2 </w:t>
      </w:r>
      <w:r>
        <w:rPr>
          <w:noProof/>
        </w:rPr>
        <w:t xml:space="preserve">- EU ETS </w:t>
      </w:r>
      <w:r w:rsidRPr="003D3BB3">
        <w:rPr>
          <w:noProof/>
        </w:rPr>
        <w:t>expansion to non-hazardous and hazardous waste incineration’</w:t>
      </w:r>
      <w:bookmarkEnd w:id="771"/>
      <w:bookmarkEnd w:id="772"/>
      <w:r w:rsidRPr="003D3BB3">
        <w:rPr>
          <w:noProof/>
        </w:rPr>
        <w:t xml:space="preserve"> </w:t>
      </w:r>
    </w:p>
    <w:p w14:paraId="214B3515" w14:textId="77777777" w:rsidR="009010D9" w:rsidRDefault="009010D9">
      <w:pPr>
        <w:rPr>
          <w:noProof/>
        </w:rPr>
      </w:pPr>
      <w:r w:rsidRPr="00AA7871">
        <w:rPr>
          <w:noProof/>
          <w:lang w:eastAsia="en-GB"/>
        </w:rPr>
        <w:t xml:space="preserve">While largely building on W1, W2 may </w:t>
      </w:r>
      <w:r w:rsidRPr="00F61D6F">
        <w:rPr>
          <w:noProof/>
        </w:rPr>
        <w:t>may require a</w:t>
      </w:r>
      <w:r>
        <w:rPr>
          <w:noProof/>
        </w:rPr>
        <w:t xml:space="preserve"> tailored </w:t>
      </w:r>
      <w:r w:rsidRPr="00F61D6F">
        <w:rPr>
          <w:noProof/>
        </w:rPr>
        <w:t>approach</w:t>
      </w:r>
      <w:r w:rsidRPr="00AA7871">
        <w:rPr>
          <w:noProof/>
          <w:lang w:eastAsia="en-GB"/>
        </w:rPr>
        <w:t xml:space="preserve"> since some analytical methods cannot or should not be applied for hazardous waste </w:t>
      </w:r>
      <w:r w:rsidRPr="00F61D6F">
        <w:rPr>
          <w:noProof/>
        </w:rPr>
        <w:t xml:space="preserve">given </w:t>
      </w:r>
      <w:r>
        <w:rPr>
          <w:noProof/>
        </w:rPr>
        <w:t>the regulatory and practical restrictions on the application of</w:t>
      </w:r>
      <w:r w:rsidRPr="00F61D6F">
        <w:rPr>
          <w:noProof/>
        </w:rPr>
        <w:t xml:space="preserve"> some measurement-based methods </w:t>
      </w:r>
      <w:r>
        <w:rPr>
          <w:noProof/>
        </w:rPr>
        <w:t>for these waste streams</w:t>
      </w:r>
      <w:r w:rsidRPr="00F61D6F">
        <w:rPr>
          <w:noProof/>
        </w:rPr>
        <w:t xml:space="preserve"> (</w:t>
      </w:r>
      <w:r>
        <w:rPr>
          <w:noProof/>
          <w:lang w:eastAsia="en-GB"/>
        </w:rPr>
        <w:t xml:space="preserve">e.g. </w:t>
      </w:r>
      <w:r w:rsidRPr="00AA7871">
        <w:rPr>
          <w:noProof/>
          <w:lang w:eastAsia="en-GB"/>
        </w:rPr>
        <w:t xml:space="preserve">radiocarbon and the waste analysis might not be possible due to the health and safety implications of these waste inputs). </w:t>
      </w:r>
      <w:r>
        <w:rPr>
          <w:noProof/>
          <w:lang w:eastAsia="en-GB"/>
        </w:rPr>
        <w:t>C</w:t>
      </w:r>
      <w:r w:rsidRPr="00F61D6F">
        <w:rPr>
          <w:noProof/>
        </w:rPr>
        <w:t>alculation-based methodologies</w:t>
      </w:r>
      <w:r>
        <w:rPr>
          <w:noProof/>
        </w:rPr>
        <w:t xml:space="preserve"> and simplified requirements could be developed for these installations to limit administrative efforts, especially when small</w:t>
      </w:r>
      <w:r w:rsidRPr="00F61D6F">
        <w:rPr>
          <w:noProof/>
        </w:rPr>
        <w:t>.</w:t>
      </w:r>
    </w:p>
    <w:p w14:paraId="5D4037B3" w14:textId="77777777" w:rsidR="009010D9" w:rsidRPr="003D3BB3" w:rsidRDefault="009010D9" w:rsidP="00C3254C">
      <w:pPr>
        <w:pStyle w:val="Heading5COM"/>
        <w:ind w:left="2232"/>
        <w:outlineLvl w:val="5"/>
        <w:rPr>
          <w:noProof/>
        </w:rPr>
      </w:pPr>
      <w:bookmarkStart w:id="773" w:name="_Toc230861549"/>
      <w:bookmarkStart w:id="774" w:name="_Toc232751171"/>
      <w:r w:rsidRPr="003D3BB3">
        <w:rPr>
          <w:noProof/>
        </w:rPr>
        <w:t>W3 ‘</w:t>
      </w:r>
      <w:r>
        <w:rPr>
          <w:noProof/>
        </w:rPr>
        <w:t xml:space="preserve">EU ETS </w:t>
      </w:r>
      <w:r w:rsidRPr="003D3BB3">
        <w:rPr>
          <w:noProof/>
        </w:rPr>
        <w:t>expansion to non-hazardous and hazardous waste incineration as well as non-hazardous landfills’</w:t>
      </w:r>
      <w:bookmarkEnd w:id="773"/>
      <w:bookmarkEnd w:id="774"/>
      <w:r w:rsidRPr="003D3BB3">
        <w:rPr>
          <w:noProof/>
        </w:rPr>
        <w:t xml:space="preserve"> </w:t>
      </w:r>
    </w:p>
    <w:p w14:paraId="03A5C7E7" w14:textId="77777777" w:rsidR="009010D9" w:rsidRDefault="009010D9">
      <w:pPr>
        <w:rPr>
          <w:noProof/>
        </w:rPr>
      </w:pPr>
      <w:r w:rsidRPr="003D3BB3">
        <w:rPr>
          <w:noProof/>
        </w:rPr>
        <w:t xml:space="preserve">W3 would require </w:t>
      </w:r>
      <w:r>
        <w:rPr>
          <w:noProof/>
        </w:rPr>
        <w:t xml:space="preserve">dedicated </w:t>
      </w:r>
      <w:r w:rsidRPr="003D3BB3">
        <w:rPr>
          <w:noProof/>
        </w:rPr>
        <w:t xml:space="preserve">monitoring and reporting rules to be developed </w:t>
      </w:r>
      <w:r>
        <w:rPr>
          <w:noProof/>
        </w:rPr>
        <w:t xml:space="preserve">in addition to W1 and W2 </w:t>
      </w:r>
      <w:r w:rsidRPr="003D3BB3">
        <w:rPr>
          <w:noProof/>
        </w:rPr>
        <w:t xml:space="preserve">and tested </w:t>
      </w:r>
      <w:r>
        <w:rPr>
          <w:noProof/>
        </w:rPr>
        <w:t>prior to inclusion of landfilling in the EU ETS</w:t>
      </w:r>
      <w:r w:rsidRPr="003D3BB3">
        <w:rPr>
          <w:noProof/>
        </w:rPr>
        <w:t xml:space="preserve">. </w:t>
      </w:r>
      <w:r w:rsidRPr="00B53705">
        <w:rPr>
          <w:noProof/>
        </w:rPr>
        <w:t xml:space="preserve">The detailed </w:t>
      </w:r>
      <w:r>
        <w:rPr>
          <w:noProof/>
        </w:rPr>
        <w:t>administrative effort</w:t>
      </w:r>
      <w:r w:rsidRPr="00B53705">
        <w:rPr>
          <w:noProof/>
        </w:rPr>
        <w:t xml:space="preserve"> </w:t>
      </w:r>
      <w:r>
        <w:rPr>
          <w:noProof/>
        </w:rPr>
        <w:t>could not</w:t>
      </w:r>
      <w:r w:rsidRPr="00B53705">
        <w:rPr>
          <w:noProof/>
        </w:rPr>
        <w:t xml:space="preserve"> be estimated </w:t>
      </w:r>
      <w:r>
        <w:rPr>
          <w:noProof/>
        </w:rPr>
        <w:t xml:space="preserve">as </w:t>
      </w:r>
      <w:r w:rsidRPr="00B53705">
        <w:rPr>
          <w:noProof/>
        </w:rPr>
        <w:t>dedicated rules would need to be developed under the ETS framework given th</w:t>
      </w:r>
      <w:r>
        <w:rPr>
          <w:noProof/>
        </w:rPr>
        <w:t>e current absence of established</w:t>
      </w:r>
      <w:r w:rsidRPr="0088551F">
        <w:rPr>
          <w:noProof/>
        </w:rPr>
        <w:t xml:space="preserve"> MRV </w:t>
      </w:r>
      <w:r>
        <w:rPr>
          <w:noProof/>
        </w:rPr>
        <w:t>measurement protocols providing standardised and harmonised methodologies for methane emissions from landfills</w:t>
      </w:r>
      <w:r w:rsidRPr="00B53705">
        <w:rPr>
          <w:noProof/>
        </w:rPr>
        <w:t>. The administrative and operational cost of MRV would be dependent on</w:t>
      </w:r>
      <w:r>
        <w:rPr>
          <w:noProof/>
        </w:rPr>
        <w:t xml:space="preserve"> several factors, including the approach selected (</w:t>
      </w:r>
      <w:r w:rsidRPr="00B53705">
        <w:rPr>
          <w:noProof/>
        </w:rPr>
        <w:t>calculation-</w:t>
      </w:r>
      <w:r>
        <w:rPr>
          <w:noProof/>
        </w:rPr>
        <w:t xml:space="preserve">, i.e. reference value, or </w:t>
      </w:r>
      <w:r w:rsidRPr="00B53705">
        <w:rPr>
          <w:noProof/>
        </w:rPr>
        <w:t>measurement-based</w:t>
      </w:r>
      <w:r>
        <w:rPr>
          <w:noProof/>
        </w:rPr>
        <w:t>, i.e. ground-based and/or satellite monitoring)</w:t>
      </w:r>
      <w:r w:rsidRPr="00B53705">
        <w:rPr>
          <w:noProof/>
        </w:rPr>
        <w:t>, the scope of emissions covered (future emissions only or also historical emissions)</w:t>
      </w:r>
      <w:r>
        <w:rPr>
          <w:noProof/>
        </w:rPr>
        <w:t xml:space="preserve"> and the characteristics of each landfill site (size, waste composition, weather conditions, gas capture efficiency, etc.) </w:t>
      </w:r>
      <w:r w:rsidRPr="00B53705">
        <w:rPr>
          <w:noProof/>
        </w:rPr>
        <w:t xml:space="preserve">(see sections 1.4. and </w:t>
      </w:r>
      <w:r>
        <w:rPr>
          <w:noProof/>
        </w:rPr>
        <w:t>Appendix 3</w:t>
      </w:r>
      <w:r w:rsidRPr="00B53705">
        <w:rPr>
          <w:noProof/>
        </w:rPr>
        <w:t xml:space="preserve"> for </w:t>
      </w:r>
      <w:r>
        <w:rPr>
          <w:noProof/>
        </w:rPr>
        <w:t>further details</w:t>
      </w:r>
      <w:r w:rsidRPr="00B53705">
        <w:rPr>
          <w:noProof/>
        </w:rPr>
        <w:t>).</w:t>
      </w:r>
      <w:r>
        <w:rPr>
          <w:noProof/>
        </w:rPr>
        <w:t xml:space="preserve">In view of the above, the choice of monitoring methods needs to consider both the balance between accuracy, technical complexity and economic costs, as well as the suitability of each method to the different possible scope of emissions covered for landfills. </w:t>
      </w:r>
    </w:p>
    <w:p w14:paraId="09F29A13" w14:textId="77777777" w:rsidR="009010D9" w:rsidRDefault="009010D9" w:rsidP="00C3254C">
      <w:pPr>
        <w:pStyle w:val="Heading4COM"/>
        <w:outlineLvl w:val="4"/>
        <w:rPr>
          <w:noProof/>
        </w:rPr>
      </w:pPr>
      <w:bookmarkStart w:id="775" w:name="_Toc230861550"/>
      <w:bookmarkStart w:id="776" w:name="_Toc232751172"/>
      <w:r>
        <w:rPr>
          <w:noProof/>
        </w:rPr>
        <w:t>SMEs</w:t>
      </w:r>
      <w:bookmarkEnd w:id="775"/>
      <w:bookmarkEnd w:id="776"/>
    </w:p>
    <w:p w14:paraId="3B0D845F" w14:textId="77777777" w:rsidR="009010D9" w:rsidRPr="003D3BB3" w:rsidRDefault="009010D9" w:rsidP="00C3254C">
      <w:pPr>
        <w:pStyle w:val="Heading5COM"/>
        <w:ind w:left="2232"/>
        <w:outlineLvl w:val="5"/>
        <w:rPr>
          <w:noProof/>
        </w:rPr>
      </w:pPr>
      <w:bookmarkStart w:id="777" w:name="_Toc230861551"/>
      <w:bookmarkStart w:id="778" w:name="_Toc232751173"/>
      <w:r w:rsidRPr="003D3BB3">
        <w:rPr>
          <w:noProof/>
        </w:rPr>
        <w:t>W1 ‘</w:t>
      </w:r>
      <w:r>
        <w:rPr>
          <w:noProof/>
        </w:rPr>
        <w:t xml:space="preserve"> EU ETS </w:t>
      </w:r>
      <w:r w:rsidRPr="003D3BB3">
        <w:rPr>
          <w:noProof/>
        </w:rPr>
        <w:t>expansion to non-hazardous waste incineration’</w:t>
      </w:r>
      <w:bookmarkEnd w:id="777"/>
      <w:bookmarkEnd w:id="778"/>
      <w:r w:rsidRPr="003D3BB3">
        <w:rPr>
          <w:noProof/>
        </w:rPr>
        <w:t xml:space="preserve"> </w:t>
      </w:r>
    </w:p>
    <w:p w14:paraId="109C1691" w14:textId="77777777" w:rsidR="009010D9" w:rsidRDefault="009010D9">
      <w:pPr>
        <w:pStyle w:val="Body"/>
        <w:rPr>
          <w:rFonts w:ascii="Times New Roman" w:hAnsi="Times New Roman"/>
          <w:noProof/>
        </w:rPr>
      </w:pPr>
      <w:r w:rsidRPr="00577E90">
        <w:rPr>
          <w:rFonts w:ascii="Times New Roman" w:hAnsi="Times New Roman"/>
          <w:noProof/>
        </w:rPr>
        <w:t>Stakeholder consultation</w:t>
      </w:r>
      <w:r>
        <w:rPr>
          <w:rFonts w:ascii="Times New Roman" w:hAnsi="Times New Roman"/>
          <w:noProof/>
        </w:rPr>
        <w:t>s</w:t>
      </w:r>
      <w:r w:rsidRPr="00577E90">
        <w:rPr>
          <w:rFonts w:ascii="Times New Roman" w:hAnsi="Times New Roman"/>
          <w:noProof/>
        </w:rPr>
        <w:t xml:space="preserve"> and a</w:t>
      </w:r>
      <w:r>
        <w:rPr>
          <w:rFonts w:ascii="Times New Roman" w:hAnsi="Times New Roman"/>
          <w:noProof/>
        </w:rPr>
        <w:t>n internal</w:t>
      </w:r>
      <w:r w:rsidRPr="00577E90">
        <w:rPr>
          <w:rFonts w:ascii="Times New Roman" w:hAnsi="Times New Roman"/>
          <w:noProof/>
        </w:rPr>
        <w:t xml:space="preserve"> </w:t>
      </w:r>
      <w:r>
        <w:rPr>
          <w:rFonts w:ascii="Times New Roman" w:hAnsi="Times New Roman"/>
          <w:noProof/>
        </w:rPr>
        <w:t>study</w:t>
      </w:r>
      <w:r w:rsidRPr="00577E90">
        <w:rPr>
          <w:rFonts w:ascii="Times New Roman" w:hAnsi="Times New Roman"/>
          <w:noProof/>
        </w:rPr>
        <w:t xml:space="preserve"> by the Commission indicate that the waste management sector </w:t>
      </w:r>
      <w:r>
        <w:rPr>
          <w:rFonts w:ascii="Times New Roman" w:hAnsi="Times New Roman"/>
          <w:noProof/>
        </w:rPr>
        <w:t>has</w:t>
      </w:r>
      <w:r w:rsidRPr="00577E90">
        <w:rPr>
          <w:rFonts w:ascii="Times New Roman" w:hAnsi="Times New Roman"/>
          <w:noProof/>
        </w:rPr>
        <w:t xml:space="preserve"> a comparatively high</w:t>
      </w:r>
      <w:r>
        <w:rPr>
          <w:rFonts w:ascii="Times New Roman" w:hAnsi="Times New Roman"/>
          <w:noProof/>
        </w:rPr>
        <w:t>er</w:t>
      </w:r>
      <w:r w:rsidRPr="00577E90">
        <w:rPr>
          <w:rFonts w:ascii="Times New Roman" w:hAnsi="Times New Roman"/>
          <w:noProof/>
        </w:rPr>
        <w:t xml:space="preserve"> share of medium-sized enterprises compared to other sectors under the EU ETS. The administrative and financial burden resulting from MRV compliance requirements for SMEs</w:t>
      </w:r>
      <w:r>
        <w:rPr>
          <w:rFonts w:ascii="Times New Roman" w:hAnsi="Times New Roman"/>
          <w:noProof/>
        </w:rPr>
        <w:t xml:space="preserve"> can</w:t>
      </w:r>
      <w:r w:rsidRPr="00577E90">
        <w:rPr>
          <w:rFonts w:ascii="Times New Roman" w:hAnsi="Times New Roman"/>
          <w:noProof/>
        </w:rPr>
        <w:t xml:space="preserve"> be addressed through simplified MRV provisions for smaller installations to provide a scalable and proportionate system to keep compliance proportionate to emissions, avoiding placing an excessive burden on low-emitting sites while still ensuring a basic level of emissions accountability. </w:t>
      </w:r>
      <w:r w:rsidRPr="00E8372C">
        <w:rPr>
          <w:rFonts w:ascii="Times New Roman" w:hAnsi="Times New Roman"/>
          <w:noProof/>
        </w:rPr>
        <w:t xml:space="preserve">In addition, W1 is modulated by the applied activity threshold. Under the </w:t>
      </w:r>
      <w:r>
        <w:rPr>
          <w:rFonts w:ascii="Times New Roman" w:hAnsi="Times New Roman"/>
          <w:noProof/>
        </w:rPr>
        <w:t xml:space="preserve">EU </w:t>
      </w:r>
      <w:r w:rsidRPr="00E8372C">
        <w:rPr>
          <w:rFonts w:ascii="Times New Roman" w:hAnsi="Times New Roman"/>
          <w:noProof/>
        </w:rPr>
        <w:t xml:space="preserve">ETS Directive, combustion installations are included in the scope of the system if they are above the threshold of 20 MW rated thermal input. Even if another threshold is set, e.g. based on waste </w:t>
      </w:r>
      <w:r>
        <w:rPr>
          <w:rFonts w:ascii="Times New Roman" w:hAnsi="Times New Roman"/>
          <w:noProof/>
        </w:rPr>
        <w:t>management volume, or if no threshold would be set</w:t>
      </w:r>
      <w:r w:rsidRPr="00E8372C">
        <w:rPr>
          <w:rFonts w:ascii="Times New Roman" w:hAnsi="Times New Roman"/>
          <w:noProof/>
        </w:rPr>
        <w:t>, smaller installations</w:t>
      </w:r>
      <w:r>
        <w:rPr>
          <w:rFonts w:ascii="Times New Roman" w:hAnsi="Times New Roman"/>
          <w:noProof/>
        </w:rPr>
        <w:t xml:space="preserve"> could still opt-out under the existing small- and ultra-small emitter provisions in the Directive</w:t>
      </w:r>
      <w:r w:rsidRPr="00E8372C">
        <w:rPr>
          <w:rFonts w:ascii="Times New Roman" w:hAnsi="Times New Roman"/>
          <w:noProof/>
        </w:rPr>
        <w:t xml:space="preserve">. </w:t>
      </w:r>
      <w:r>
        <w:rPr>
          <w:rFonts w:ascii="Times New Roman" w:hAnsi="Times New Roman"/>
          <w:noProof/>
        </w:rPr>
        <w:t>S</w:t>
      </w:r>
      <w:r w:rsidRPr="00E8372C">
        <w:rPr>
          <w:rFonts w:ascii="Times New Roman" w:hAnsi="Times New Roman"/>
          <w:noProof/>
        </w:rPr>
        <w:t>everal interviewed stakeholders, both business associations and NGOs, emphasised the importance of maintaining a level playing field across all MWI operators regardless of size</w:t>
      </w:r>
      <w:r>
        <w:rPr>
          <w:rFonts w:ascii="Times New Roman" w:hAnsi="Times New Roman"/>
          <w:noProof/>
        </w:rPr>
        <w:t xml:space="preserve"> by reducing the threshold</w:t>
      </w:r>
      <w:r w:rsidRPr="00E8372C">
        <w:rPr>
          <w:rFonts w:ascii="Times New Roman" w:hAnsi="Times New Roman"/>
          <w:noProof/>
        </w:rPr>
        <w:t>. They argued that retaining the 20 MW threshold could create unintended incentives for operators to divert waste to smaller facilities under the threshold, thereby avoiding carbon pricing obligations.</w:t>
      </w:r>
    </w:p>
    <w:p w14:paraId="4F1A7B49" w14:textId="77777777" w:rsidR="009010D9" w:rsidRDefault="009010D9" w:rsidP="0018561F">
      <w:pPr>
        <w:pStyle w:val="Heading5COM"/>
        <w:numPr>
          <w:ilvl w:val="4"/>
          <w:numId w:val="42"/>
        </w:numPr>
        <w:tabs>
          <w:tab w:val="num" w:pos="360"/>
        </w:tabs>
        <w:ind w:left="2232"/>
        <w:outlineLvl w:val="5"/>
        <w:rPr>
          <w:noProof/>
        </w:rPr>
      </w:pPr>
      <w:bookmarkStart w:id="779" w:name="_Toc230861552"/>
      <w:bookmarkStart w:id="780" w:name="_Toc232751174"/>
      <w:r w:rsidRPr="003D3BB3">
        <w:rPr>
          <w:noProof/>
        </w:rPr>
        <w:t xml:space="preserve">W2 </w:t>
      </w:r>
      <w:r>
        <w:rPr>
          <w:noProof/>
        </w:rPr>
        <w:t xml:space="preserve">- EU ETS </w:t>
      </w:r>
      <w:r w:rsidRPr="003D3BB3">
        <w:rPr>
          <w:noProof/>
        </w:rPr>
        <w:t>expansion to non-hazardous and hazardous waste incineration’</w:t>
      </w:r>
      <w:bookmarkEnd w:id="779"/>
      <w:bookmarkEnd w:id="780"/>
      <w:r w:rsidRPr="003D3BB3">
        <w:rPr>
          <w:noProof/>
        </w:rPr>
        <w:t xml:space="preserve"> </w:t>
      </w:r>
    </w:p>
    <w:p w14:paraId="45F88BB7" w14:textId="77777777" w:rsidR="009010D9" w:rsidRPr="000B557B" w:rsidRDefault="009010D9">
      <w:pPr>
        <w:pStyle w:val="Body"/>
        <w:rPr>
          <w:rFonts w:ascii="Times New Roman" w:hAnsi="Times New Roman"/>
          <w:noProof/>
        </w:rPr>
      </w:pPr>
      <w:r>
        <w:rPr>
          <w:rFonts w:ascii="Times New Roman" w:hAnsi="Times New Roman"/>
          <w:noProof/>
        </w:rPr>
        <w:t xml:space="preserve">Due to data limitations no detailed assessment could be conducted for HWI in addition to W1. </w:t>
      </w:r>
    </w:p>
    <w:p w14:paraId="6B14D068" w14:textId="77777777" w:rsidR="009010D9" w:rsidRDefault="009010D9" w:rsidP="00C3254C">
      <w:pPr>
        <w:pStyle w:val="Heading5COM"/>
        <w:ind w:left="2232"/>
        <w:outlineLvl w:val="5"/>
        <w:rPr>
          <w:noProof/>
        </w:rPr>
      </w:pPr>
      <w:bookmarkStart w:id="781" w:name="_Toc230861553"/>
      <w:bookmarkStart w:id="782" w:name="_Toc232751175"/>
      <w:r w:rsidRPr="003D3BB3">
        <w:rPr>
          <w:noProof/>
        </w:rPr>
        <w:t>W3 ‘</w:t>
      </w:r>
      <w:r>
        <w:rPr>
          <w:noProof/>
        </w:rPr>
        <w:t xml:space="preserve">EU ETS </w:t>
      </w:r>
      <w:r w:rsidRPr="003D3BB3">
        <w:rPr>
          <w:noProof/>
        </w:rPr>
        <w:t>expansion to non-hazardous and hazardous waste incineration as well as non-hazardous landfills’</w:t>
      </w:r>
      <w:bookmarkEnd w:id="781"/>
      <w:bookmarkEnd w:id="782"/>
      <w:r w:rsidRPr="003D3BB3">
        <w:rPr>
          <w:noProof/>
        </w:rPr>
        <w:t xml:space="preserve"> </w:t>
      </w:r>
    </w:p>
    <w:p w14:paraId="188C1953" w14:textId="77777777" w:rsidR="009010D9" w:rsidRPr="000B557B" w:rsidRDefault="009010D9">
      <w:pPr>
        <w:pStyle w:val="Body"/>
        <w:rPr>
          <w:rFonts w:ascii="Times New Roman" w:hAnsi="Times New Roman"/>
          <w:noProof/>
        </w:rPr>
      </w:pPr>
      <w:r w:rsidRPr="002D7204">
        <w:rPr>
          <w:rFonts w:ascii="Times New Roman" w:hAnsi="Times New Roman"/>
          <w:noProof/>
        </w:rPr>
        <w:t>No detailed assessment on the additional impact of W3 could be conducted due to the limited information on landfill operations available.</w:t>
      </w:r>
      <w:r>
        <w:rPr>
          <w:rFonts w:ascii="Times New Roman" w:hAnsi="Times New Roman"/>
          <w:noProof/>
        </w:rPr>
        <w:t xml:space="preserve"> The assessment in section 1.2.2. indicates that there is a substantial share of smaller and substandard landfills in the EU, however the impact would depend on the scope of coverage and thresholds applied for inclusion of landfills under the EU ETS.</w:t>
      </w:r>
    </w:p>
    <w:p w14:paraId="51B43C39" w14:textId="77777777" w:rsidR="009010D9" w:rsidRPr="003D3BB3" w:rsidRDefault="009010D9" w:rsidP="00C3254C">
      <w:pPr>
        <w:pStyle w:val="Heading3COM"/>
        <w:outlineLvl w:val="3"/>
        <w:rPr>
          <w:noProof/>
        </w:rPr>
      </w:pPr>
      <w:bookmarkStart w:id="783" w:name="_Toc207201929"/>
      <w:bookmarkStart w:id="784" w:name="_Toc1380809771"/>
      <w:bookmarkStart w:id="785" w:name="_Toc230861554"/>
      <w:bookmarkStart w:id="786" w:name="_Toc232751176"/>
      <w:bookmarkStart w:id="787" w:name="_Toc211284583"/>
      <w:bookmarkStart w:id="788" w:name="_Toc212426470"/>
      <w:bookmarkEnd w:id="767"/>
      <w:bookmarkEnd w:id="768"/>
      <w:bookmarkEnd w:id="783"/>
      <w:r w:rsidRPr="003D3BB3">
        <w:rPr>
          <w:noProof/>
        </w:rPr>
        <w:t>Social impacts</w:t>
      </w:r>
      <w:bookmarkEnd w:id="784"/>
      <w:bookmarkEnd w:id="785"/>
      <w:bookmarkEnd w:id="786"/>
      <w:r w:rsidRPr="003D3BB3">
        <w:rPr>
          <w:noProof/>
        </w:rPr>
        <w:t xml:space="preserve"> </w:t>
      </w:r>
      <w:bookmarkEnd w:id="787"/>
      <w:bookmarkEnd w:id="788"/>
    </w:p>
    <w:p w14:paraId="0A7743F5" w14:textId="77777777" w:rsidR="009010D9" w:rsidRPr="003D3BB3" w:rsidRDefault="009010D9" w:rsidP="00C3254C">
      <w:pPr>
        <w:pStyle w:val="Heading4COM"/>
        <w:outlineLvl w:val="4"/>
        <w:rPr>
          <w:noProof/>
        </w:rPr>
      </w:pPr>
      <w:bookmarkStart w:id="789" w:name="_Toc212426471"/>
      <w:bookmarkStart w:id="790" w:name="_Toc1652250889"/>
      <w:bookmarkStart w:id="791" w:name="_Toc230861555"/>
      <w:bookmarkStart w:id="792" w:name="_Toc232751177"/>
      <w:r w:rsidRPr="003D3BB3">
        <w:rPr>
          <w:noProof/>
        </w:rPr>
        <w:t>Employment</w:t>
      </w:r>
      <w:bookmarkEnd w:id="789"/>
      <w:bookmarkEnd w:id="790"/>
      <w:bookmarkEnd w:id="791"/>
      <w:bookmarkEnd w:id="792"/>
    </w:p>
    <w:p w14:paraId="1C76BB0A" w14:textId="77777777" w:rsidR="009010D9" w:rsidRPr="003D3BB3" w:rsidRDefault="009010D9">
      <w:pPr>
        <w:rPr>
          <w:noProof/>
        </w:rPr>
      </w:pPr>
      <w:r w:rsidRPr="003D3BB3">
        <w:rPr>
          <w:noProof/>
        </w:rPr>
        <w:t xml:space="preserve">A quantitative assessment of the impact of employment is undertaken at the policy option level. </w:t>
      </w:r>
    </w:p>
    <w:p w14:paraId="11F2287B" w14:textId="77777777" w:rsidR="009010D9" w:rsidRPr="003D3BB3" w:rsidRDefault="009010D9" w:rsidP="00C3254C">
      <w:pPr>
        <w:pStyle w:val="Heading4COM"/>
        <w:outlineLvl w:val="4"/>
        <w:rPr>
          <w:noProof/>
          <w:lang w:eastAsia="en-GB"/>
        </w:rPr>
      </w:pPr>
      <w:bookmarkStart w:id="793" w:name="_Toc212426472"/>
      <w:bookmarkStart w:id="794" w:name="_Toc1121345003"/>
      <w:bookmarkStart w:id="795" w:name="_Toc230861556"/>
      <w:bookmarkStart w:id="796" w:name="_Toc232751178"/>
      <w:r w:rsidRPr="003D3BB3">
        <w:rPr>
          <w:noProof/>
          <w:lang w:eastAsia="en-GB"/>
        </w:rPr>
        <w:t>Income distribution, social protection, and social inclusion (of particular groups)</w:t>
      </w:r>
      <w:bookmarkEnd w:id="793"/>
      <w:bookmarkEnd w:id="794"/>
      <w:bookmarkEnd w:id="795"/>
      <w:bookmarkEnd w:id="796"/>
      <w:r w:rsidRPr="003D3BB3">
        <w:rPr>
          <w:noProof/>
          <w:lang w:eastAsia="en-GB"/>
        </w:rPr>
        <w:t xml:space="preserve"> </w:t>
      </w:r>
    </w:p>
    <w:p w14:paraId="1207B2DB" w14:textId="77777777" w:rsidR="009010D9" w:rsidRPr="003D3BB3" w:rsidRDefault="009010D9">
      <w:pPr>
        <w:rPr>
          <w:noProof/>
        </w:rPr>
      </w:pPr>
      <w:r w:rsidRPr="003D3BB3">
        <w:rPr>
          <w:noProof/>
        </w:rPr>
        <w:t>A quantitative assessment of the impact on income distribution, social protection and social inclusion is undertaken quantitatively only at the policy option level.</w:t>
      </w:r>
    </w:p>
    <w:p w14:paraId="4C652990" w14:textId="77777777" w:rsidR="009010D9" w:rsidRPr="003D3BB3" w:rsidRDefault="009010D9" w:rsidP="00C3254C">
      <w:pPr>
        <w:pStyle w:val="Heading4COM"/>
        <w:outlineLvl w:val="4"/>
        <w:rPr>
          <w:noProof/>
        </w:rPr>
      </w:pPr>
      <w:bookmarkStart w:id="797" w:name="_Toc212426473"/>
      <w:bookmarkStart w:id="798" w:name="_Toc1176707017"/>
      <w:bookmarkStart w:id="799" w:name="_Toc230861557"/>
      <w:bookmarkStart w:id="800" w:name="_Toc232751179"/>
      <w:r w:rsidRPr="003D3BB3">
        <w:rPr>
          <w:noProof/>
        </w:rPr>
        <w:t>Fundamental rights</w:t>
      </w:r>
      <w:bookmarkEnd w:id="797"/>
      <w:bookmarkEnd w:id="798"/>
      <w:bookmarkEnd w:id="799"/>
      <w:bookmarkEnd w:id="800"/>
    </w:p>
    <w:p w14:paraId="5FF86761" w14:textId="77777777" w:rsidR="009010D9" w:rsidRPr="003D3BB3" w:rsidRDefault="009010D9">
      <w:pPr>
        <w:rPr>
          <w:noProof/>
        </w:rPr>
      </w:pPr>
      <w:r w:rsidRPr="003D3BB3">
        <w:rPr>
          <w:noProof/>
        </w:rPr>
        <w:t>All options assessed are aligned with Article 37 of the Charter of Fundamental Rights of the European Union</w:t>
      </w:r>
      <w:r w:rsidRPr="00823583">
        <w:rPr>
          <w:noProof/>
          <w:vertAlign w:val="superscript"/>
        </w:rPr>
        <w:footnoteReference w:id="143"/>
      </w:r>
      <w:r w:rsidRPr="003D3BB3">
        <w:rPr>
          <w:noProof/>
        </w:rPr>
        <w:t xml:space="preserve"> (the Charter)</w:t>
      </w:r>
      <w:r w:rsidRPr="00823583">
        <w:rPr>
          <w:noProof/>
          <w:vertAlign w:val="superscript"/>
        </w:rPr>
        <w:footnoteReference w:id="144"/>
      </w:r>
      <w:r>
        <w:rPr>
          <w:noProof/>
        </w:rPr>
        <w:t xml:space="preserve"> (environmental protection)</w:t>
      </w:r>
      <w:r w:rsidRPr="003D3BB3">
        <w:rPr>
          <w:noProof/>
        </w:rPr>
        <w:t>. They are designed to incentivise decarbonisation in the waste sector as well as encourage a transition to a circular economy model. Although the measures differ in scope (broadening progressively), they all involve the inclusion of certain Waste sector emissions in the ETS. This inclusion increases the cost of emitting these emissions, thereby strengthening the carbon price signal and encouraging emissions reductions. As a result, these measures are expected to contribute to more effective environmental protection.</w:t>
      </w:r>
    </w:p>
    <w:p w14:paraId="57A2EDEC" w14:textId="77777777" w:rsidR="009010D9" w:rsidRPr="003D3BB3" w:rsidRDefault="009010D9">
      <w:pPr>
        <w:rPr>
          <w:noProof/>
        </w:rPr>
      </w:pPr>
      <w:r w:rsidRPr="003D3BB3">
        <w:rPr>
          <w:noProof/>
        </w:rPr>
        <w:t xml:space="preserve">The design of these measures must also ensure full compliance with Article 36 of the </w:t>
      </w:r>
      <w:r>
        <w:rPr>
          <w:noProof/>
        </w:rPr>
        <w:t>Charter of Fundamental Rights</w:t>
      </w:r>
      <w:r w:rsidRPr="003D3BB3">
        <w:rPr>
          <w:noProof/>
        </w:rPr>
        <w:t>, which recognises</w:t>
      </w:r>
      <w:r w:rsidRPr="00FD5AC3">
        <w:rPr>
          <w:noProof/>
        </w:rPr>
        <w:t xml:space="preserve"> access to services of general economic interest</w:t>
      </w:r>
      <w:r w:rsidRPr="003D3BB3">
        <w:rPr>
          <w:noProof/>
        </w:rPr>
        <w:t>. Waste management is widely regarded as an essential public service, fundamental to safeguarding public health, environmental protection, and the functioning of the circular economy across the EU.</w:t>
      </w:r>
    </w:p>
    <w:p w14:paraId="208E4FFA" w14:textId="77777777" w:rsidR="009010D9" w:rsidRPr="003D3BB3" w:rsidRDefault="009010D9" w:rsidP="00C3254C">
      <w:pPr>
        <w:pStyle w:val="Heading4COM"/>
        <w:outlineLvl w:val="4"/>
        <w:rPr>
          <w:noProof/>
        </w:rPr>
      </w:pPr>
      <w:bookmarkStart w:id="801" w:name="_Toc212426474"/>
      <w:bookmarkStart w:id="802" w:name="_Toc845387374"/>
      <w:bookmarkStart w:id="803" w:name="_Toc230861558"/>
      <w:bookmarkStart w:id="804" w:name="_Toc232751180"/>
      <w:r w:rsidRPr="003D3BB3">
        <w:rPr>
          <w:noProof/>
        </w:rPr>
        <w:t>Implications for municipalities</w:t>
      </w:r>
      <w:bookmarkEnd w:id="801"/>
      <w:bookmarkEnd w:id="802"/>
      <w:bookmarkEnd w:id="803"/>
      <w:bookmarkEnd w:id="804"/>
    </w:p>
    <w:p w14:paraId="0E9EEA1D" w14:textId="6555FE8B" w:rsidR="009010D9" w:rsidRDefault="009010D9">
      <w:pPr>
        <w:rPr>
          <w:noProof/>
        </w:rPr>
      </w:pPr>
      <w:r>
        <w:rPr>
          <w:noProof/>
        </w:rPr>
        <w:t xml:space="preserve">The carbon price is expected to be (at least partially) passed through by operators to waste disposal authorities, often local authorities, through the gate fees. The subsequent cost passthrough to citizens i.e. in the form of increased taxes or levies, will crucially depend on how the initial cost passthrough incentivises municipalities, other waste generators, and third parties to reduce waste streams and/or the carbon content in waste streams, e.g. through improved separate waste collection, waste collection fees or taxation modulated for the carbon content of waste streams, or higher penalties for illegal waste disposal, as assessed in sections 1.3.1. </w:t>
      </w:r>
      <w:r w:rsidRPr="00864DB2">
        <w:rPr>
          <w:noProof/>
        </w:rPr>
        <w:t xml:space="preserve">Nearly one fifth of stakeholders opposing MWI inclusion in the OPC expressed concerns over the expected impact and perceived lack of alternatives for customers, notably local authorities. Stakeholders interviewed further specified their concerns that bringing the waste sector under the </w:t>
      </w:r>
      <w:r>
        <w:rPr>
          <w:noProof/>
        </w:rPr>
        <w:t>EU ETS</w:t>
      </w:r>
      <w:r w:rsidRPr="00864DB2">
        <w:rPr>
          <w:noProof/>
        </w:rPr>
        <w:t xml:space="preserve"> could create operational and financial challenges for the continued delivery of these services as the additional costs associated with participation in the </w:t>
      </w:r>
      <w:r>
        <w:rPr>
          <w:noProof/>
        </w:rPr>
        <w:t>EU ETS</w:t>
      </w:r>
      <w:r w:rsidRPr="00864DB2">
        <w:rPr>
          <w:noProof/>
        </w:rPr>
        <w:t xml:space="preserve"> (allowance purchases, MRV obligations, and administrative requirements) may place pressure on municipal budgets and waste operators. This could, in turn, affect the affordability and accessibility of waste management services for households and businesses.</w:t>
      </w:r>
      <w:r>
        <w:rPr>
          <w:noProof/>
        </w:rPr>
        <w:t xml:space="preserve"> </w:t>
      </w:r>
      <w:r w:rsidRPr="0054555F">
        <w:rPr>
          <w:noProof/>
        </w:rPr>
        <w:t>Evidence from Member States</w:t>
      </w:r>
      <w:r>
        <w:rPr>
          <w:noProof/>
        </w:rPr>
        <w:t xml:space="preserve"> already applying a carbon price</w:t>
      </w:r>
      <w:r w:rsidRPr="0054555F">
        <w:rPr>
          <w:noProof/>
        </w:rPr>
        <w:t xml:space="preserve"> for municipal waste incineration (DE, SE) indicates that current pricing</w:t>
      </w:r>
      <w:r>
        <w:rPr>
          <w:rStyle w:val="FootnoteReference"/>
          <w:noProof/>
        </w:rPr>
        <w:footnoteReference w:id="145"/>
      </w:r>
      <w:r w:rsidRPr="0054555F">
        <w:rPr>
          <w:noProof/>
        </w:rPr>
        <w:t xml:space="preserve"> corresponds to limited, manageable increases in average annual household waste management fees </w:t>
      </w:r>
      <w:r>
        <w:rPr>
          <w:noProof/>
        </w:rPr>
        <w:t>in the order of</w:t>
      </w:r>
      <w:r w:rsidRPr="0054555F">
        <w:rPr>
          <w:noProof/>
        </w:rPr>
        <w:t xml:space="preserve"> </w:t>
      </w:r>
      <w:r>
        <w:rPr>
          <w:noProof/>
        </w:rPr>
        <w:t>EUR 10 (DE) to EUR 13 (SE)</w:t>
      </w:r>
      <w:r w:rsidRPr="0054555F">
        <w:rPr>
          <w:noProof/>
        </w:rPr>
        <w:t xml:space="preserve">, of which a substantial share can furthermore be avoided through improved prevention, separation and recycling of waste, alongside </w:t>
      </w:r>
      <w:r>
        <w:rPr>
          <w:noProof/>
        </w:rPr>
        <w:t xml:space="preserve">complementary measures and financial support through ETS revenues to support local authorities and/or households in implementing these measures and lower or avoid fees passed through to households. The extension of the EU ETS cap with the waste sector is expected to generate </w:t>
      </w:r>
      <w:r w:rsidR="0A8499A9">
        <w:rPr>
          <w:noProof/>
        </w:rPr>
        <w:t>significant EU ETS revenues averaging</w:t>
      </w:r>
      <w:r w:rsidRPr="003F0E51">
        <w:rPr>
          <w:noProof/>
        </w:rPr>
        <w:t xml:space="preserve"> EUR </w:t>
      </w:r>
      <w:r>
        <w:rPr>
          <w:noProof/>
        </w:rPr>
        <w:t>4.75</w:t>
      </w:r>
      <w:r w:rsidR="000A7729">
        <w:rPr>
          <w:noProof/>
        </w:rPr>
        <w:t xml:space="preserve"> </w:t>
      </w:r>
      <w:r w:rsidRPr="003F0E51">
        <w:rPr>
          <w:noProof/>
        </w:rPr>
        <w:t>billion</w:t>
      </w:r>
      <w:r>
        <w:rPr>
          <w:noProof/>
        </w:rPr>
        <w:t xml:space="preserve"> annually</w:t>
      </w:r>
      <w:r w:rsidRPr="003F0E51">
        <w:rPr>
          <w:noProof/>
        </w:rPr>
        <w:t xml:space="preserve"> </w:t>
      </w:r>
      <w:r>
        <w:rPr>
          <w:noProof/>
        </w:rPr>
        <w:t xml:space="preserve">for municipal waste incineration, </w:t>
      </w:r>
      <w:r w:rsidR="1AA9192A">
        <w:rPr>
          <w:noProof/>
        </w:rPr>
        <w:t>or</w:t>
      </w:r>
      <w:r>
        <w:rPr>
          <w:noProof/>
        </w:rPr>
        <w:t xml:space="preserve"> </w:t>
      </w:r>
      <w:r w:rsidR="5236A13F">
        <w:rPr>
          <w:noProof/>
        </w:rPr>
        <w:t>double to triple this amount</w:t>
      </w:r>
      <w:r>
        <w:rPr>
          <w:noProof/>
        </w:rPr>
        <w:t xml:space="preserve"> in case of an extension to all waste incineration and non-hazardous landfills, which could be reinvested to support complementary circularity policies and measures in waste reduction and recycling.</w:t>
      </w:r>
    </w:p>
    <w:p w14:paraId="0188082C" w14:textId="77777777" w:rsidR="009010D9" w:rsidRPr="003D3BB3" w:rsidRDefault="009010D9">
      <w:pPr>
        <w:rPr>
          <w:noProof/>
        </w:rPr>
      </w:pPr>
      <w:r>
        <w:rPr>
          <w:noProof/>
        </w:rPr>
        <w:t>At the same time, including the waste management sector in the EU ETS offers significant opportunities to further incentivise circularity and recycling, both minimising environmental impacts from natural resource use and financial costs for waste management for local authorities. While t</w:t>
      </w:r>
      <w:r w:rsidRPr="00211470">
        <w:rPr>
          <w:noProof/>
        </w:rPr>
        <w:t xml:space="preserve">he waste recycling rate in Europe has steadily increased due to EU binding recycling targets, </w:t>
      </w:r>
      <w:r>
        <w:rPr>
          <w:noProof/>
        </w:rPr>
        <w:t>separate collection of waste was progressing slower than required and most</w:t>
      </w:r>
      <w:r w:rsidRPr="00211470">
        <w:rPr>
          <w:noProof/>
        </w:rPr>
        <w:t xml:space="preserve"> waste was still disposed of through incineration or landfill operations in 2022</w:t>
      </w:r>
      <w:r>
        <w:rPr>
          <w:noProof/>
        </w:rPr>
        <w:t>, carrying substantial financial burdens on local authorities in the form of gate fees and additional taxation, and consequently on taxpayers</w:t>
      </w:r>
      <w:r w:rsidRPr="00211470">
        <w:rPr>
          <w:noProof/>
        </w:rPr>
        <w:t xml:space="preserve">. </w:t>
      </w:r>
      <w:r>
        <w:rPr>
          <w:noProof/>
        </w:rPr>
        <w:t xml:space="preserve">Including waste management into the EU ETS would contribute to incentivise </w:t>
      </w:r>
      <w:r w:rsidRPr="00211470">
        <w:rPr>
          <w:noProof/>
        </w:rPr>
        <w:t xml:space="preserve">ambitious waste management policies to </w:t>
      </w:r>
      <w:r>
        <w:rPr>
          <w:noProof/>
        </w:rPr>
        <w:t>increase</w:t>
      </w:r>
      <w:r w:rsidRPr="00211470">
        <w:rPr>
          <w:noProof/>
        </w:rPr>
        <w:t xml:space="preserve"> recycling and discourage landfills and incineration.  </w:t>
      </w:r>
    </w:p>
    <w:p w14:paraId="5AAE24D9" w14:textId="77777777" w:rsidR="009010D9" w:rsidRPr="003D3BB3" w:rsidRDefault="009010D9">
      <w:pPr>
        <w:rPr>
          <w:noProof/>
        </w:rPr>
      </w:pPr>
      <w:r>
        <w:rPr>
          <w:noProof/>
        </w:rPr>
        <w:t>Overall</w:t>
      </w:r>
      <w:r w:rsidRPr="003D3BB3">
        <w:rPr>
          <w:noProof/>
        </w:rPr>
        <w:t xml:space="preserve">, </w:t>
      </w:r>
      <w:r>
        <w:rPr>
          <w:noProof/>
        </w:rPr>
        <w:t>an extension of the carbon price to waste management activities needs to balance the</w:t>
      </w:r>
      <w:r w:rsidRPr="003D3BB3">
        <w:rPr>
          <w:noProof/>
        </w:rPr>
        <w:t xml:space="preserve"> environmental integrity and </w:t>
      </w:r>
      <w:r>
        <w:rPr>
          <w:noProof/>
        </w:rPr>
        <w:t xml:space="preserve">the costs associated to </w:t>
      </w:r>
      <w:r w:rsidRPr="003D3BB3">
        <w:rPr>
          <w:noProof/>
        </w:rPr>
        <w:t xml:space="preserve">waste management as a public service. This may </w:t>
      </w:r>
      <w:r>
        <w:rPr>
          <w:noProof/>
        </w:rPr>
        <w:t>warrant</w:t>
      </w:r>
      <w:r w:rsidRPr="003D3BB3">
        <w:rPr>
          <w:noProof/>
        </w:rPr>
        <w:t xml:space="preserve"> targeted safeguards, transitional measures, or </w:t>
      </w:r>
      <w:r>
        <w:rPr>
          <w:noProof/>
        </w:rPr>
        <w:t>financial support</w:t>
      </w:r>
      <w:r w:rsidRPr="003D3BB3">
        <w:rPr>
          <w:noProof/>
        </w:rPr>
        <w:t xml:space="preserve"> mechanisms to prevent unintended social or economic impacts while still achieving the overarching climate objectives of the EU ETS.</w:t>
      </w:r>
    </w:p>
    <w:p w14:paraId="65C880C2" w14:textId="77777777" w:rsidR="009010D9" w:rsidRPr="00C970C8" w:rsidRDefault="009010D9" w:rsidP="00C3254C">
      <w:pPr>
        <w:pStyle w:val="Heading3COM"/>
        <w:outlineLvl w:val="3"/>
        <w:rPr>
          <w:noProof/>
          <w:lang w:eastAsia="en-GB"/>
        </w:rPr>
      </w:pPr>
      <w:bookmarkStart w:id="805" w:name="_Toc230861559"/>
      <w:bookmarkStart w:id="806" w:name="_Toc232751181"/>
      <w:r w:rsidRPr="00C970C8">
        <w:rPr>
          <w:noProof/>
          <w:lang w:eastAsia="en-GB"/>
        </w:rPr>
        <w:t>Summary</w:t>
      </w:r>
      <w:bookmarkEnd w:id="805"/>
      <w:bookmarkEnd w:id="806"/>
    </w:p>
    <w:p w14:paraId="5800754E" w14:textId="77777777" w:rsidR="009010D9" w:rsidRDefault="009010D9">
      <w:pPr>
        <w:pStyle w:val="Body"/>
        <w:rPr>
          <w:rFonts w:ascii="Times New Roman" w:hAnsi="Times New Roman"/>
          <w:noProof/>
          <w:lang w:eastAsia="en-GB"/>
        </w:rPr>
      </w:pPr>
      <w:r w:rsidRPr="001C1FED">
        <w:rPr>
          <w:rFonts w:ascii="Times New Roman" w:hAnsi="Times New Roman"/>
          <w:noProof/>
          <w:lang w:eastAsia="en-GB"/>
        </w:rPr>
        <w:t xml:space="preserve">A summary comparison of the measures is provided in the table below. </w:t>
      </w:r>
      <w:r>
        <w:rPr>
          <w:rFonts w:ascii="Times New Roman" w:hAnsi="Times New Roman"/>
          <w:noProof/>
          <w:lang w:eastAsia="en-GB"/>
        </w:rPr>
        <w:t xml:space="preserve">Measure W1 is </w:t>
      </w:r>
      <w:r w:rsidRPr="001C1FED">
        <w:rPr>
          <w:rFonts w:ascii="Times New Roman" w:hAnsi="Times New Roman"/>
          <w:noProof/>
          <w:lang w:eastAsia="en-GB"/>
        </w:rPr>
        <w:t>rated as compared to the baseline of no inclusion of waste management activities</w:t>
      </w:r>
      <w:r>
        <w:rPr>
          <w:rFonts w:ascii="Times New Roman" w:hAnsi="Times New Roman"/>
          <w:noProof/>
          <w:lang w:eastAsia="en-GB"/>
        </w:rPr>
        <w:t>, with each subsequent measure designed and rated as an extension to the preceding measure. In addition, a summary of the key costs and benefits of the measures under the preferred policy option is included in Annex 3, Section 2.</w:t>
      </w:r>
    </w:p>
    <w:p w14:paraId="24A12195" w14:textId="77777777" w:rsidR="009010D9" w:rsidRDefault="009010D9">
      <w:pPr>
        <w:pStyle w:val="Body"/>
        <w:rPr>
          <w:rFonts w:ascii="Times New Roman" w:hAnsi="Times New Roman"/>
          <w:noProof/>
          <w:lang w:eastAsia="en-GB"/>
        </w:rPr>
      </w:pPr>
    </w:p>
    <w:p w14:paraId="5492085A" w14:textId="77777777" w:rsidR="009010D9" w:rsidRDefault="009010D9">
      <w:pPr>
        <w:pStyle w:val="Body"/>
        <w:rPr>
          <w:rFonts w:ascii="Times New Roman" w:hAnsi="Times New Roman"/>
          <w:noProof/>
          <w:lang w:eastAsia="en-GB"/>
        </w:rPr>
      </w:pPr>
    </w:p>
    <w:p w14:paraId="01573985" w14:textId="77777777" w:rsidR="009010D9" w:rsidRDefault="009010D9">
      <w:pPr>
        <w:pStyle w:val="Body"/>
        <w:rPr>
          <w:rFonts w:ascii="Times New Roman" w:hAnsi="Times New Roman"/>
          <w:noProof/>
          <w:highlight w:val="yellow"/>
          <w:lang w:eastAsia="en-GB"/>
        </w:rPr>
      </w:pPr>
    </w:p>
    <w:p w14:paraId="0A46481C" w14:textId="77777777" w:rsidR="009010D9" w:rsidRDefault="009010D9">
      <w:pPr>
        <w:spacing w:before="0"/>
        <w:rPr>
          <w:rFonts w:eastAsia="Times New Roman"/>
          <w:noProof/>
          <w:color w:val="auto"/>
          <w:highlight w:val="yellow"/>
          <w:lang w:eastAsia="en-GB"/>
        </w:rPr>
      </w:pPr>
      <w:r>
        <w:rPr>
          <w:noProof/>
          <w:highlight w:val="yellow"/>
          <w:lang w:eastAsia="en-GB"/>
        </w:rPr>
        <w:br w:type="page"/>
      </w:r>
    </w:p>
    <w:p w14:paraId="454914C4" w14:textId="77777777" w:rsidR="009010D9" w:rsidRDefault="009010D9">
      <w:pPr>
        <w:pStyle w:val="Body"/>
        <w:rPr>
          <w:rFonts w:ascii="Times New Roman" w:hAnsi="Times New Roman"/>
          <w:noProof/>
          <w:highlight w:val="yellow"/>
          <w:lang w:eastAsia="en-GB"/>
        </w:rPr>
        <w:sectPr w:rsidR="009010D9" w:rsidSect="00024D7B">
          <w:headerReference w:type="even" r:id="rId48"/>
          <w:headerReference w:type="default" r:id="rId49"/>
          <w:footerReference w:type="even" r:id="rId50"/>
          <w:footerReference w:type="default" r:id="rId51"/>
          <w:headerReference w:type="first" r:id="rId52"/>
          <w:footerReference w:type="first" r:id="rId53"/>
          <w:pgSz w:w="11906" w:h="16838" w:code="9"/>
          <w:pgMar w:top="1440" w:right="1440" w:bottom="1440" w:left="1440" w:header="680" w:footer="510" w:gutter="0"/>
          <w:cols w:space="708"/>
          <w:docGrid w:linePitch="360"/>
        </w:sectPr>
      </w:pPr>
    </w:p>
    <w:tbl>
      <w:tblPr>
        <w:tblStyle w:val="ListTable3-Accent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707"/>
        <w:gridCol w:w="3750"/>
        <w:gridCol w:w="3745"/>
        <w:gridCol w:w="3748"/>
      </w:tblGrid>
      <w:tr w:rsidR="009010D9" w:rsidRPr="005A20A8" w14:paraId="2DE19F0A"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0" w:type="auto"/>
            <w:shd w:val="clear" w:color="auto" w:fill="auto"/>
            <w:vAlign w:val="center"/>
          </w:tcPr>
          <w:p w14:paraId="1FAE8A32" w14:textId="77777777" w:rsidR="009010D9" w:rsidRPr="005A20A8" w:rsidRDefault="009010D9">
            <w:pPr>
              <w:spacing w:before="0"/>
              <w:rPr>
                <w:rFonts w:eastAsia="Aptos"/>
                <w:noProof/>
                <w:color w:val="auto"/>
                <w:sz w:val="22"/>
                <w:szCs w:val="22"/>
              </w:rPr>
            </w:pPr>
            <w:r w:rsidRPr="005A20A8">
              <w:rPr>
                <w:rFonts w:eastAsia="Aptos"/>
                <w:noProof/>
                <w:color w:val="auto"/>
                <w:sz w:val="22"/>
                <w:szCs w:val="22"/>
              </w:rPr>
              <w:t>Criterion</w:t>
            </w:r>
          </w:p>
        </w:tc>
        <w:tc>
          <w:tcPr>
            <w:tcW w:w="3873" w:type="dxa"/>
            <w:shd w:val="clear" w:color="auto" w:fill="auto"/>
            <w:vAlign w:val="center"/>
          </w:tcPr>
          <w:p w14:paraId="05F85A03" w14:textId="77777777" w:rsidR="009010D9" w:rsidRPr="005A20A8" w:rsidRDefault="009010D9">
            <w:pPr>
              <w:spacing w:before="0"/>
              <w:cnfStyle w:val="100000000000" w:firstRow="1" w:lastRow="0" w:firstColumn="0" w:lastColumn="0" w:oddVBand="0" w:evenVBand="0" w:oddHBand="0" w:evenHBand="0" w:firstRowFirstColumn="0" w:firstRowLastColumn="0" w:lastRowFirstColumn="0" w:lastRowLastColumn="0"/>
              <w:rPr>
                <w:rFonts w:eastAsia="Aptos"/>
                <w:noProof/>
                <w:color w:val="auto"/>
                <w:sz w:val="22"/>
                <w:szCs w:val="22"/>
              </w:rPr>
            </w:pPr>
            <w:r w:rsidRPr="005A20A8">
              <w:rPr>
                <w:rFonts w:eastAsia="Aptos"/>
                <w:noProof/>
                <w:color w:val="auto"/>
                <w:sz w:val="22"/>
                <w:szCs w:val="22"/>
              </w:rPr>
              <w:t>W1: Inclusion of non-hazardous waste incineration</w:t>
            </w:r>
          </w:p>
        </w:tc>
        <w:tc>
          <w:tcPr>
            <w:tcW w:w="3874" w:type="dxa"/>
            <w:shd w:val="clear" w:color="auto" w:fill="auto"/>
            <w:vAlign w:val="center"/>
          </w:tcPr>
          <w:p w14:paraId="23A1E142" w14:textId="77777777" w:rsidR="009010D9" w:rsidRPr="005A20A8" w:rsidRDefault="009010D9">
            <w:pPr>
              <w:spacing w:before="0"/>
              <w:cnfStyle w:val="100000000000" w:firstRow="1" w:lastRow="0" w:firstColumn="0" w:lastColumn="0" w:oddVBand="0" w:evenVBand="0" w:oddHBand="0" w:evenHBand="0" w:firstRowFirstColumn="0" w:firstRowLastColumn="0" w:lastRowFirstColumn="0" w:lastRowLastColumn="0"/>
              <w:rPr>
                <w:rFonts w:eastAsia="Aptos"/>
                <w:noProof/>
                <w:color w:val="auto"/>
                <w:sz w:val="22"/>
                <w:szCs w:val="22"/>
              </w:rPr>
            </w:pPr>
            <w:r w:rsidRPr="005A20A8">
              <w:rPr>
                <w:rFonts w:eastAsia="Aptos"/>
                <w:noProof/>
                <w:color w:val="auto"/>
                <w:sz w:val="22"/>
                <w:szCs w:val="22"/>
              </w:rPr>
              <w:t>W2: Inclusion of all waste incineration</w:t>
            </w:r>
          </w:p>
        </w:tc>
        <w:tc>
          <w:tcPr>
            <w:tcW w:w="3874" w:type="dxa"/>
            <w:shd w:val="clear" w:color="auto" w:fill="auto"/>
            <w:vAlign w:val="center"/>
          </w:tcPr>
          <w:p w14:paraId="144B7559" w14:textId="77777777" w:rsidR="009010D9" w:rsidRPr="005A20A8" w:rsidRDefault="009010D9">
            <w:pPr>
              <w:spacing w:before="0"/>
              <w:cnfStyle w:val="100000000000" w:firstRow="1" w:lastRow="0" w:firstColumn="0" w:lastColumn="0" w:oddVBand="0" w:evenVBand="0" w:oddHBand="0" w:evenHBand="0" w:firstRowFirstColumn="0" w:firstRowLastColumn="0" w:lastRowFirstColumn="0" w:lastRowLastColumn="0"/>
              <w:rPr>
                <w:rFonts w:eastAsia="Aptos"/>
                <w:noProof/>
                <w:color w:val="auto"/>
                <w:sz w:val="22"/>
                <w:szCs w:val="22"/>
              </w:rPr>
            </w:pPr>
            <w:r w:rsidRPr="005A20A8">
              <w:rPr>
                <w:rFonts w:eastAsia="Aptos"/>
                <w:noProof/>
                <w:color w:val="auto"/>
                <w:sz w:val="22"/>
                <w:szCs w:val="22"/>
              </w:rPr>
              <w:t>W3: Inclusion of all waste incineration plus non-hazardous landfill</w:t>
            </w:r>
          </w:p>
        </w:tc>
      </w:tr>
      <w:tr w:rsidR="009010D9" w:rsidRPr="005A20A8" w14:paraId="1F044236"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39F15F4" w14:textId="77777777" w:rsidR="009010D9" w:rsidRPr="005A20A8" w:rsidRDefault="009010D9">
            <w:pPr>
              <w:spacing w:before="0"/>
              <w:rPr>
                <w:rFonts w:eastAsia="Aptos"/>
                <w:noProof/>
                <w:sz w:val="22"/>
                <w:szCs w:val="22"/>
              </w:rPr>
            </w:pPr>
            <w:r w:rsidRPr="005A20A8">
              <w:rPr>
                <w:rFonts w:eastAsia="Aptos"/>
                <w:noProof/>
                <w:sz w:val="22"/>
                <w:szCs w:val="22"/>
              </w:rPr>
              <w:t>Environmental</w:t>
            </w:r>
          </w:p>
          <w:p w14:paraId="491A0AE1" w14:textId="77777777" w:rsidR="009010D9" w:rsidRPr="005A20A8" w:rsidRDefault="009010D9">
            <w:pPr>
              <w:spacing w:before="0"/>
              <w:rPr>
                <w:rFonts w:eastAsia="Aptos"/>
                <w:noProof/>
                <w:sz w:val="22"/>
                <w:szCs w:val="22"/>
              </w:rPr>
            </w:pPr>
            <w:r w:rsidRPr="005A20A8">
              <w:rPr>
                <w:rFonts w:eastAsia="Aptos"/>
                <w:noProof/>
                <w:sz w:val="22"/>
                <w:szCs w:val="22"/>
              </w:rPr>
              <w:t xml:space="preserve">(Climate) </w:t>
            </w:r>
          </w:p>
        </w:tc>
        <w:tc>
          <w:tcPr>
            <w:tcW w:w="3873" w:type="dxa"/>
          </w:tcPr>
          <w:p w14:paraId="07204065"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w:t>
            </w:r>
          </w:p>
          <w:p w14:paraId="7B531052"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Substantial i</w:t>
            </w:r>
            <w:r w:rsidRPr="005A20A8">
              <w:rPr>
                <w:rFonts w:eastAsia="Aptos"/>
                <w:noProof/>
                <w:sz w:val="22"/>
                <w:szCs w:val="22"/>
              </w:rPr>
              <w:t xml:space="preserve">ncrease of scope of </w:t>
            </w:r>
            <w:r>
              <w:rPr>
                <w:rFonts w:eastAsia="Aptos"/>
                <w:noProof/>
                <w:sz w:val="22"/>
                <w:szCs w:val="22"/>
              </w:rPr>
              <w:t xml:space="preserve">economy-wide </w:t>
            </w:r>
            <w:r w:rsidRPr="005A20A8">
              <w:rPr>
                <w:rFonts w:eastAsia="Aptos"/>
                <w:noProof/>
                <w:sz w:val="22"/>
                <w:szCs w:val="22"/>
              </w:rPr>
              <w:t>GHG emissions accounted for and priced</w:t>
            </w:r>
            <w:r>
              <w:rPr>
                <w:rFonts w:eastAsia="Aptos"/>
                <w:noProof/>
                <w:sz w:val="22"/>
                <w:szCs w:val="22"/>
              </w:rPr>
              <w:t xml:space="preserve">. Incentive and resources to support sectoral decarbonisation through </w:t>
            </w:r>
            <w:r w:rsidRPr="002947C7">
              <w:rPr>
                <w:rFonts w:eastAsia="Aptos"/>
                <w:noProof/>
                <w:sz w:val="22"/>
                <w:szCs w:val="22"/>
              </w:rPr>
              <w:t xml:space="preserve">improved </w:t>
            </w:r>
            <w:r>
              <w:rPr>
                <w:rFonts w:eastAsia="Aptos"/>
                <w:noProof/>
                <w:sz w:val="22"/>
                <w:szCs w:val="22"/>
              </w:rPr>
              <w:t>circular economy incentives</w:t>
            </w:r>
            <w:r w:rsidRPr="002947C7">
              <w:rPr>
                <w:rFonts w:eastAsia="Aptos"/>
                <w:noProof/>
                <w:sz w:val="22"/>
                <w:szCs w:val="22"/>
              </w:rPr>
              <w:t xml:space="preserve"> and carbon capture for residual emissions (mid-decade).</w:t>
            </w:r>
            <w:r>
              <w:rPr>
                <w:rFonts w:eastAsia="Aptos"/>
                <w:noProof/>
                <w:sz w:val="22"/>
                <w:szCs w:val="22"/>
              </w:rPr>
              <w:t xml:space="preserve"> </w:t>
            </w:r>
          </w:p>
          <w:p w14:paraId="3CA60B62"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490F702A"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 xml:space="preserve">Secondary decarbonisation benefit from improved circularity </w:t>
            </w:r>
            <w:r w:rsidRPr="007E2C67">
              <w:rPr>
                <w:rFonts w:eastAsia="Aptos"/>
                <w:noProof/>
                <w:sz w:val="22"/>
                <w:szCs w:val="22"/>
              </w:rPr>
              <w:t>reducing GHG emissions from waste disposal and generating recycled materials displacing more carbon-intensive virgin materials</w:t>
            </w:r>
            <w:r>
              <w:rPr>
                <w:rFonts w:eastAsia="Aptos"/>
                <w:noProof/>
                <w:sz w:val="22"/>
                <w:szCs w:val="22"/>
              </w:rPr>
              <w:t>.</w:t>
            </w:r>
          </w:p>
          <w:p w14:paraId="704ED29F"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1AF31606"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 xml:space="preserve">Significant potential for permanent carbon removal generation </w:t>
            </w:r>
            <w:r w:rsidRPr="00222601">
              <w:rPr>
                <w:rFonts w:eastAsia="Aptos"/>
                <w:noProof/>
                <w:sz w:val="22"/>
                <w:szCs w:val="22"/>
              </w:rPr>
              <w:t>from biogenic emissions, supporting economy-wide decarbonisation (</w:t>
            </w:r>
            <w:r w:rsidRPr="00222601">
              <w:rPr>
                <w:rFonts w:eastAsia="Aptos"/>
                <w:i/>
                <w:iCs/>
                <w:noProof/>
                <w:sz w:val="22"/>
                <w:szCs w:val="22"/>
              </w:rPr>
              <w:t>synergy with integration of removals in ETS</w:t>
            </w:r>
            <w:r w:rsidRPr="00222601">
              <w:rPr>
                <w:rFonts w:eastAsia="Aptos"/>
                <w:noProof/>
                <w:sz w:val="22"/>
                <w:szCs w:val="22"/>
              </w:rPr>
              <w:t>)</w:t>
            </w:r>
            <w:r>
              <w:rPr>
                <w:rFonts w:eastAsia="Aptos"/>
                <w:noProof/>
                <w:sz w:val="22"/>
                <w:szCs w:val="22"/>
              </w:rPr>
              <w:t>.</w:t>
            </w:r>
          </w:p>
          <w:p w14:paraId="7AA0AC2F"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00FA7646"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Enabling condition for</w:t>
            </w:r>
            <w:r w:rsidRPr="00093E2E">
              <w:rPr>
                <w:rFonts w:eastAsia="Aptos"/>
                <w:noProof/>
                <w:sz w:val="22"/>
                <w:szCs w:val="22"/>
              </w:rPr>
              <w:t xml:space="preserve"> promoting the use of captured CO2 as feedstock for non-permanent CCU products (</w:t>
            </w:r>
            <w:r w:rsidRPr="00093E2E">
              <w:rPr>
                <w:rFonts w:eastAsia="Aptos"/>
                <w:i/>
                <w:iCs/>
                <w:noProof/>
                <w:sz w:val="22"/>
                <w:szCs w:val="22"/>
              </w:rPr>
              <w:t>synergy with CCU product incentives in ETS review</w:t>
            </w:r>
            <w:r w:rsidRPr="00093E2E">
              <w:rPr>
                <w:rFonts w:eastAsia="Aptos"/>
                <w:noProof/>
                <w:sz w:val="22"/>
                <w:szCs w:val="22"/>
              </w:rPr>
              <w:t>)</w:t>
            </w:r>
            <w:r>
              <w:rPr>
                <w:rFonts w:eastAsia="Aptos"/>
                <w:noProof/>
                <w:sz w:val="22"/>
                <w:szCs w:val="22"/>
              </w:rPr>
              <w:t>.</w:t>
            </w:r>
          </w:p>
        </w:tc>
        <w:tc>
          <w:tcPr>
            <w:tcW w:w="3874" w:type="dxa"/>
          </w:tcPr>
          <w:p w14:paraId="2397FDD3"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0</w:t>
            </w:r>
          </w:p>
          <w:p w14:paraId="18F14971"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Limited</w:t>
            </w:r>
            <w:r w:rsidRPr="005A20A8">
              <w:rPr>
                <w:rFonts w:eastAsia="Aptos"/>
                <w:noProof/>
                <w:sz w:val="22"/>
                <w:szCs w:val="22"/>
              </w:rPr>
              <w:t xml:space="preserve"> </w:t>
            </w:r>
            <w:r>
              <w:rPr>
                <w:rFonts w:eastAsia="Aptos"/>
                <w:noProof/>
                <w:sz w:val="22"/>
                <w:szCs w:val="22"/>
              </w:rPr>
              <w:t xml:space="preserve">additional environmental benefit from further extension to HWI (small scope and limited abatement incentive). </w:t>
            </w:r>
          </w:p>
          <w:p w14:paraId="7B9B4575"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tc>
        <w:tc>
          <w:tcPr>
            <w:tcW w:w="3874" w:type="dxa"/>
          </w:tcPr>
          <w:p w14:paraId="0EC4940D"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w:t>
            </w:r>
          </w:p>
          <w:p w14:paraId="2670803B"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Substantial i</w:t>
            </w:r>
            <w:r w:rsidRPr="005A20A8">
              <w:rPr>
                <w:rFonts w:eastAsia="Aptos"/>
                <w:noProof/>
                <w:sz w:val="22"/>
                <w:szCs w:val="22"/>
              </w:rPr>
              <w:t xml:space="preserve">ncrease of scope of </w:t>
            </w:r>
            <w:r>
              <w:rPr>
                <w:rFonts w:eastAsia="Aptos"/>
                <w:noProof/>
                <w:sz w:val="22"/>
                <w:szCs w:val="22"/>
              </w:rPr>
              <w:t xml:space="preserve">economy-wide </w:t>
            </w:r>
            <w:r w:rsidRPr="005A20A8">
              <w:rPr>
                <w:rFonts w:eastAsia="Aptos"/>
                <w:noProof/>
                <w:sz w:val="22"/>
                <w:szCs w:val="22"/>
              </w:rPr>
              <w:t>GHG emissions accounted for and priced</w:t>
            </w:r>
            <w:r>
              <w:rPr>
                <w:rFonts w:eastAsia="Aptos"/>
                <w:noProof/>
                <w:sz w:val="22"/>
                <w:szCs w:val="22"/>
              </w:rPr>
              <w:t xml:space="preserve">, complements existing emission reduction trajectory </w:t>
            </w:r>
            <w:r w:rsidRPr="00242DAD">
              <w:rPr>
                <w:rFonts w:eastAsia="Aptos"/>
                <w:noProof/>
                <w:sz w:val="22"/>
                <w:szCs w:val="22"/>
              </w:rPr>
              <w:t>already in place</w:t>
            </w:r>
            <w:r>
              <w:rPr>
                <w:rFonts w:eastAsia="Aptos"/>
                <w:noProof/>
                <w:sz w:val="22"/>
                <w:szCs w:val="22"/>
              </w:rPr>
              <w:t xml:space="preserve"> under r</w:t>
            </w:r>
            <w:r w:rsidRPr="00242DAD">
              <w:rPr>
                <w:rFonts w:eastAsia="Aptos"/>
                <w:noProof/>
                <w:sz w:val="22"/>
                <w:szCs w:val="22"/>
              </w:rPr>
              <w:t>egulatory policy framework</w:t>
            </w:r>
            <w:r>
              <w:rPr>
                <w:rFonts w:eastAsia="Aptos"/>
                <w:noProof/>
                <w:sz w:val="22"/>
                <w:szCs w:val="22"/>
              </w:rPr>
              <w:t xml:space="preserve"> for landfilling.</w:t>
            </w:r>
          </w:p>
          <w:p w14:paraId="44F4122D"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626A31C5"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Higher overall GHG emissions reductions mainly driven by landfills, compared to lower incineration emissions reductions than W1/W2.</w:t>
            </w:r>
          </w:p>
        </w:tc>
      </w:tr>
      <w:tr w:rsidR="009010D9" w:rsidRPr="005A20A8" w14:paraId="2BC1B63D" w14:textId="77777777">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16CDDD3" w14:textId="77777777" w:rsidR="009010D9" w:rsidRPr="005A20A8" w:rsidRDefault="009010D9">
            <w:pPr>
              <w:spacing w:before="0"/>
              <w:rPr>
                <w:rFonts w:eastAsia="Aptos"/>
                <w:noProof/>
                <w:sz w:val="22"/>
                <w:szCs w:val="22"/>
              </w:rPr>
            </w:pPr>
            <w:r w:rsidRPr="005A20A8">
              <w:rPr>
                <w:rFonts w:eastAsia="Aptos"/>
                <w:noProof/>
                <w:sz w:val="22"/>
                <w:szCs w:val="22"/>
              </w:rPr>
              <w:t>Environment</w:t>
            </w:r>
          </w:p>
          <w:p w14:paraId="488690B6" w14:textId="77777777" w:rsidR="009010D9" w:rsidRPr="005A20A8" w:rsidRDefault="009010D9">
            <w:pPr>
              <w:spacing w:before="0"/>
              <w:rPr>
                <w:rFonts w:eastAsia="Aptos"/>
                <w:noProof/>
                <w:sz w:val="22"/>
                <w:szCs w:val="22"/>
              </w:rPr>
            </w:pPr>
            <w:r w:rsidRPr="005A20A8">
              <w:rPr>
                <w:rFonts w:eastAsia="Aptos"/>
                <w:noProof/>
                <w:sz w:val="22"/>
                <w:szCs w:val="22"/>
              </w:rPr>
              <w:t>(Other environmental impacts)</w:t>
            </w:r>
          </w:p>
        </w:tc>
        <w:tc>
          <w:tcPr>
            <w:tcW w:w="3873" w:type="dxa"/>
          </w:tcPr>
          <w:p w14:paraId="6D6A84A3"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5A20A8">
              <w:rPr>
                <w:rFonts w:eastAsia="Aptos"/>
                <w:noProof/>
                <w:sz w:val="22"/>
                <w:szCs w:val="22"/>
              </w:rPr>
              <w:t>+</w:t>
            </w:r>
          </w:p>
          <w:p w14:paraId="2A6F4373" w14:textId="77777777" w:rsidR="009010D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Additional c</w:t>
            </w:r>
            <w:r w:rsidRPr="005A20A8">
              <w:rPr>
                <w:rFonts w:eastAsia="Aptos"/>
                <w:noProof/>
                <w:sz w:val="22"/>
                <w:szCs w:val="22"/>
              </w:rPr>
              <w:t>ontribution to air pollutants reduction.</w:t>
            </w:r>
          </w:p>
          <w:p w14:paraId="097B4B5A" w14:textId="77777777" w:rsidR="009010D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p>
          <w:p w14:paraId="5A06747D" w14:textId="77777777" w:rsidR="009010D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 xml:space="preserve">Additional incentive for </w:t>
            </w:r>
            <w:r w:rsidRPr="004F1313">
              <w:rPr>
                <w:rFonts w:eastAsia="Aptos"/>
                <w:noProof/>
                <w:sz w:val="22"/>
                <w:szCs w:val="22"/>
              </w:rPr>
              <w:t xml:space="preserve">circular economy for materials, </w:t>
            </w:r>
            <w:r>
              <w:rPr>
                <w:rFonts w:eastAsia="Aptos"/>
                <w:noProof/>
                <w:sz w:val="22"/>
                <w:szCs w:val="22"/>
              </w:rPr>
              <w:t>supporting</w:t>
            </w:r>
            <w:r w:rsidRPr="004F1313">
              <w:rPr>
                <w:rFonts w:eastAsia="Aptos"/>
                <w:noProof/>
                <w:sz w:val="22"/>
                <w:szCs w:val="22"/>
              </w:rPr>
              <w:t xml:space="preserve"> the business case for waste prevention, separate collection, sorting and recycling</w:t>
            </w:r>
            <w:r>
              <w:rPr>
                <w:rFonts w:eastAsia="Aptos"/>
                <w:noProof/>
                <w:sz w:val="22"/>
                <w:szCs w:val="22"/>
              </w:rPr>
              <w:t>.</w:t>
            </w:r>
            <w:r w:rsidRPr="004F1313">
              <w:rPr>
                <w:rFonts w:eastAsia="Aptos"/>
                <w:noProof/>
                <w:sz w:val="22"/>
                <w:szCs w:val="22"/>
              </w:rPr>
              <w:t xml:space="preserve"> </w:t>
            </w:r>
          </w:p>
          <w:p w14:paraId="44AFD379" w14:textId="77777777" w:rsidR="009010D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p>
          <w:p w14:paraId="2850B0A9"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Risk of landfill diversion for organic waste streams limited due to zero-rating in incineration. For fossil waste streams depending on effective regulatory or fiscal policy framework in place</w:t>
            </w:r>
            <w:r w:rsidRPr="005A20A8">
              <w:rPr>
                <w:rFonts w:eastAsia="Aptos"/>
                <w:noProof/>
                <w:sz w:val="22"/>
                <w:szCs w:val="22"/>
              </w:rPr>
              <w:t>.</w:t>
            </w:r>
          </w:p>
        </w:tc>
        <w:tc>
          <w:tcPr>
            <w:tcW w:w="3874" w:type="dxa"/>
          </w:tcPr>
          <w:p w14:paraId="3A9605DB"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0</w:t>
            </w:r>
          </w:p>
          <w:p w14:paraId="286B80D2"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 xml:space="preserve">Limited additional benefit for waste hierarchy </w:t>
            </w:r>
            <w:r w:rsidRPr="009A30D2">
              <w:rPr>
                <w:rFonts w:eastAsia="Aptos"/>
                <w:noProof/>
                <w:sz w:val="22"/>
                <w:szCs w:val="22"/>
              </w:rPr>
              <w:t>from further extension to HWI</w:t>
            </w:r>
            <w:r>
              <w:rPr>
                <w:rFonts w:eastAsia="Aptos"/>
                <w:noProof/>
                <w:sz w:val="22"/>
                <w:szCs w:val="22"/>
              </w:rPr>
              <w:t xml:space="preserve"> in view of strict regulatory requirements in place. </w:t>
            </w:r>
          </w:p>
        </w:tc>
        <w:tc>
          <w:tcPr>
            <w:tcW w:w="3874" w:type="dxa"/>
          </w:tcPr>
          <w:p w14:paraId="3F39BF19"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5A20A8">
              <w:rPr>
                <w:rFonts w:eastAsia="Aptos"/>
                <w:noProof/>
                <w:sz w:val="22"/>
                <w:szCs w:val="22"/>
              </w:rPr>
              <w:t>+</w:t>
            </w:r>
          </w:p>
          <w:p w14:paraId="2564EE83" w14:textId="77777777" w:rsidR="009010D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Additional c</w:t>
            </w:r>
            <w:r w:rsidRPr="005A20A8">
              <w:rPr>
                <w:rFonts w:eastAsia="Aptos"/>
                <w:noProof/>
                <w:sz w:val="22"/>
                <w:szCs w:val="22"/>
              </w:rPr>
              <w:t xml:space="preserve">ontribution to ground pollution reduction. </w:t>
            </w:r>
          </w:p>
          <w:p w14:paraId="2C1ED58F" w14:textId="77777777" w:rsidR="009010D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p>
          <w:p w14:paraId="35F38ABE" w14:textId="77777777" w:rsidR="009010D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Additional incentive supporting increased separate collection and alternative treatment of organic waste streams.</w:t>
            </w:r>
          </w:p>
          <w:p w14:paraId="5B1E72EA" w14:textId="77777777" w:rsidR="009010D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p>
          <w:p w14:paraId="3A2B5752"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Contributes to address risk of landfill diversion for organic waste streams through carbon pricing of methane. For fossil waste streams depending on effective regulatory or fiscal policy framework in place</w:t>
            </w:r>
            <w:r w:rsidRPr="005A20A8">
              <w:rPr>
                <w:rFonts w:eastAsia="Aptos"/>
                <w:noProof/>
                <w:sz w:val="22"/>
                <w:szCs w:val="22"/>
              </w:rPr>
              <w:t>.</w:t>
            </w:r>
          </w:p>
        </w:tc>
      </w:tr>
      <w:tr w:rsidR="009010D9" w:rsidRPr="005A20A8" w14:paraId="647E75C4" w14:textId="77777777">
        <w:tblPrEx>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417906A5" w14:textId="77777777" w:rsidR="009010D9" w:rsidRPr="005A20A8" w:rsidRDefault="009010D9">
            <w:pPr>
              <w:spacing w:before="0"/>
              <w:rPr>
                <w:rFonts w:eastAsia="Aptos"/>
                <w:noProof/>
                <w:sz w:val="22"/>
                <w:szCs w:val="22"/>
              </w:rPr>
            </w:pPr>
            <w:r w:rsidRPr="005A20A8">
              <w:rPr>
                <w:rFonts w:eastAsia="Aptos"/>
                <w:noProof/>
                <w:sz w:val="22"/>
                <w:szCs w:val="22"/>
              </w:rPr>
              <w:t>Economic (Cost of compliance)</w:t>
            </w:r>
          </w:p>
        </w:tc>
        <w:tc>
          <w:tcPr>
            <w:tcW w:w="3873" w:type="dxa"/>
          </w:tcPr>
          <w:p w14:paraId="5B00C287"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w:t>
            </w:r>
          </w:p>
          <w:p w14:paraId="4733A609"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Effective</w:t>
            </w:r>
            <w:r w:rsidRPr="005A20A8">
              <w:rPr>
                <w:rFonts w:eastAsia="Aptos"/>
                <w:noProof/>
                <w:sz w:val="22"/>
                <w:szCs w:val="22"/>
              </w:rPr>
              <w:t xml:space="preserve"> carbon cost </w:t>
            </w:r>
            <w:r>
              <w:rPr>
                <w:rFonts w:eastAsia="Aptos"/>
                <w:noProof/>
                <w:sz w:val="22"/>
                <w:szCs w:val="22"/>
              </w:rPr>
              <w:t xml:space="preserve">reduced due to biogenic share plus opportunities for permanent carbon removals from biogenic emissions. </w:t>
            </w:r>
          </w:p>
          <w:p w14:paraId="23757DD0"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6D686688"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 xml:space="preserve">Cost-effective abatement options </w:t>
            </w:r>
            <w:r>
              <w:rPr>
                <w:rFonts w:eastAsia="Aptos"/>
                <w:noProof/>
                <w:sz w:val="22"/>
                <w:szCs w:val="22"/>
              </w:rPr>
              <w:t xml:space="preserve">available at installation </w:t>
            </w:r>
            <w:r w:rsidRPr="005A20A8">
              <w:rPr>
                <w:rFonts w:eastAsia="Aptos"/>
                <w:noProof/>
                <w:sz w:val="22"/>
                <w:szCs w:val="22"/>
              </w:rPr>
              <w:t>level</w:t>
            </w:r>
            <w:r>
              <w:rPr>
                <w:rFonts w:eastAsia="Aptos"/>
                <w:noProof/>
                <w:sz w:val="22"/>
                <w:szCs w:val="22"/>
              </w:rPr>
              <w:t xml:space="preserve"> and value chain, c</w:t>
            </w:r>
            <w:r w:rsidRPr="00FD39A0">
              <w:rPr>
                <w:rFonts w:eastAsia="Aptos"/>
                <w:noProof/>
                <w:sz w:val="22"/>
                <w:szCs w:val="22"/>
              </w:rPr>
              <w:t xml:space="preserve">omplementary policies and targeted support mechanisms </w:t>
            </w:r>
            <w:r>
              <w:rPr>
                <w:rFonts w:eastAsia="Aptos"/>
                <w:noProof/>
                <w:sz w:val="22"/>
                <w:szCs w:val="22"/>
              </w:rPr>
              <w:t>are key</w:t>
            </w:r>
            <w:r w:rsidRPr="00FD39A0">
              <w:rPr>
                <w:rFonts w:eastAsia="Aptos"/>
                <w:noProof/>
                <w:sz w:val="22"/>
                <w:szCs w:val="22"/>
              </w:rPr>
              <w:t xml:space="preserve"> enabling conditions </w:t>
            </w:r>
            <w:r>
              <w:rPr>
                <w:rFonts w:eastAsia="Aptos"/>
                <w:noProof/>
                <w:sz w:val="22"/>
                <w:szCs w:val="22"/>
              </w:rPr>
              <w:t>for</w:t>
            </w:r>
            <w:r w:rsidRPr="00FD39A0">
              <w:rPr>
                <w:rFonts w:eastAsia="Aptos"/>
                <w:noProof/>
                <w:sz w:val="22"/>
                <w:szCs w:val="22"/>
              </w:rPr>
              <w:t xml:space="preserve"> investment and planning predictability, </w:t>
            </w:r>
            <w:r>
              <w:rPr>
                <w:rFonts w:eastAsia="Aptos"/>
                <w:noProof/>
                <w:sz w:val="22"/>
                <w:szCs w:val="22"/>
              </w:rPr>
              <w:t>decarbonisation support</w:t>
            </w:r>
            <w:r w:rsidRPr="00FD39A0">
              <w:rPr>
                <w:rFonts w:eastAsia="Aptos"/>
                <w:noProof/>
                <w:sz w:val="22"/>
                <w:szCs w:val="22"/>
              </w:rPr>
              <w:t xml:space="preserve">, and </w:t>
            </w:r>
            <w:r>
              <w:rPr>
                <w:rFonts w:eastAsia="Aptos"/>
                <w:noProof/>
                <w:sz w:val="22"/>
                <w:szCs w:val="22"/>
              </w:rPr>
              <w:t>reinforced</w:t>
            </w:r>
            <w:r w:rsidRPr="00FD39A0">
              <w:rPr>
                <w:rFonts w:eastAsia="Aptos"/>
                <w:noProof/>
                <w:sz w:val="22"/>
                <w:szCs w:val="22"/>
              </w:rPr>
              <w:t xml:space="preserve"> circular economy policies</w:t>
            </w:r>
            <w:r>
              <w:rPr>
                <w:rFonts w:eastAsia="Aptos"/>
                <w:noProof/>
                <w:sz w:val="22"/>
                <w:szCs w:val="22"/>
              </w:rPr>
              <w:t>.</w:t>
            </w:r>
          </w:p>
          <w:p w14:paraId="593264AB"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7D4CD84C"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Contribution to circular economy growth.</w:t>
            </w:r>
          </w:p>
          <w:p w14:paraId="0812D632" w14:textId="77777777" w:rsidR="009010D9"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55AFF5EF"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Supporting l</w:t>
            </w:r>
            <w:r w:rsidRPr="00B56BE9">
              <w:rPr>
                <w:rFonts w:eastAsia="Aptos"/>
                <w:noProof/>
                <w:sz w:val="22"/>
                <w:szCs w:val="22"/>
              </w:rPr>
              <w:t>evel playing field for industrial installations and power plants by harmonising carbon price signal with co-incineration and electricity and district heating production</w:t>
            </w:r>
            <w:r>
              <w:rPr>
                <w:rFonts w:eastAsia="Aptos"/>
                <w:noProof/>
                <w:sz w:val="22"/>
                <w:szCs w:val="22"/>
              </w:rPr>
              <w:t>.</w:t>
            </w:r>
          </w:p>
        </w:tc>
        <w:tc>
          <w:tcPr>
            <w:tcW w:w="3874" w:type="dxa"/>
          </w:tcPr>
          <w:p w14:paraId="5A7AAD63"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w:t>
            </w:r>
          </w:p>
          <w:p w14:paraId="2F5A8775"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 xml:space="preserve">High </w:t>
            </w:r>
            <w:r>
              <w:rPr>
                <w:rFonts w:eastAsia="Aptos"/>
                <w:noProof/>
                <w:sz w:val="22"/>
                <w:szCs w:val="22"/>
              </w:rPr>
              <w:t xml:space="preserve">additional </w:t>
            </w:r>
            <w:r w:rsidRPr="005A20A8">
              <w:rPr>
                <w:rFonts w:eastAsia="Aptos"/>
                <w:noProof/>
                <w:sz w:val="22"/>
                <w:szCs w:val="22"/>
              </w:rPr>
              <w:t xml:space="preserve">carbon cost </w:t>
            </w:r>
            <w:r>
              <w:rPr>
                <w:rFonts w:eastAsia="Aptos"/>
                <w:noProof/>
                <w:sz w:val="22"/>
                <w:szCs w:val="22"/>
              </w:rPr>
              <w:t>for</w:t>
            </w:r>
            <w:r w:rsidRPr="009A30D2">
              <w:rPr>
                <w:rFonts w:eastAsia="Aptos"/>
                <w:noProof/>
                <w:sz w:val="22"/>
                <w:szCs w:val="22"/>
              </w:rPr>
              <w:t xml:space="preserve"> further extension to HWI</w:t>
            </w:r>
            <w:r>
              <w:rPr>
                <w:rFonts w:eastAsia="Aptos"/>
                <w:noProof/>
                <w:sz w:val="22"/>
                <w:szCs w:val="22"/>
              </w:rPr>
              <w:t xml:space="preserve"> </w:t>
            </w:r>
            <w:r w:rsidRPr="005A20A8">
              <w:rPr>
                <w:rFonts w:eastAsia="Aptos"/>
                <w:noProof/>
                <w:sz w:val="22"/>
                <w:szCs w:val="22"/>
              </w:rPr>
              <w:t>due to higher emission intensity</w:t>
            </w:r>
            <w:r>
              <w:rPr>
                <w:rFonts w:eastAsia="Aptos"/>
                <w:noProof/>
                <w:sz w:val="22"/>
                <w:szCs w:val="22"/>
              </w:rPr>
              <w:t>, limited carbon removal potential and restricted alternatives.</w:t>
            </w:r>
            <w:r w:rsidRPr="005A20A8">
              <w:rPr>
                <w:rFonts w:eastAsia="Aptos"/>
                <w:noProof/>
                <w:sz w:val="22"/>
                <w:szCs w:val="22"/>
              </w:rPr>
              <w:t xml:space="preserve"> </w:t>
            </w:r>
          </w:p>
          <w:p w14:paraId="3F0B5AD6"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31A89A96"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tc>
        <w:tc>
          <w:tcPr>
            <w:tcW w:w="3874" w:type="dxa"/>
          </w:tcPr>
          <w:p w14:paraId="2C3F33FA"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w:t>
            </w:r>
          </w:p>
          <w:p w14:paraId="0FB9BC3D"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 xml:space="preserve">Higher cost of compliance compared to W1 and higher </w:t>
            </w:r>
            <w:r w:rsidRPr="005A20A8">
              <w:rPr>
                <w:rFonts w:eastAsia="Aptos"/>
                <w:noProof/>
                <w:sz w:val="22"/>
                <w:szCs w:val="22"/>
              </w:rPr>
              <w:t>cost-effective abatement potential</w:t>
            </w:r>
            <w:r>
              <w:rPr>
                <w:rFonts w:eastAsia="Aptos"/>
                <w:noProof/>
                <w:sz w:val="22"/>
                <w:szCs w:val="22"/>
              </w:rPr>
              <w:t xml:space="preserve"> for landfills, in particular for emissions from historical disposal.</w:t>
            </w:r>
          </w:p>
          <w:p w14:paraId="63772F66" w14:textId="77777777" w:rsidR="009010D9" w:rsidRPr="008D6533"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6E624194"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Overall cost</w:t>
            </w:r>
            <w:r>
              <w:rPr>
                <w:rFonts w:eastAsia="Aptos"/>
                <w:noProof/>
                <w:sz w:val="22"/>
                <w:szCs w:val="22"/>
              </w:rPr>
              <w:t xml:space="preserve"> of compliance </w:t>
            </w:r>
            <w:r w:rsidRPr="005A20A8">
              <w:rPr>
                <w:rFonts w:eastAsia="Aptos"/>
                <w:noProof/>
                <w:sz w:val="22"/>
                <w:szCs w:val="22"/>
              </w:rPr>
              <w:t xml:space="preserve">dependent on scope of inclusion, with higher cost </w:t>
            </w:r>
            <w:r>
              <w:rPr>
                <w:rFonts w:eastAsia="Aptos"/>
                <w:noProof/>
                <w:sz w:val="22"/>
                <w:szCs w:val="22"/>
              </w:rPr>
              <w:t xml:space="preserve">and operational constraints </w:t>
            </w:r>
            <w:r w:rsidRPr="005A20A8">
              <w:rPr>
                <w:rFonts w:eastAsia="Aptos"/>
                <w:noProof/>
                <w:sz w:val="22"/>
                <w:szCs w:val="22"/>
              </w:rPr>
              <w:t>if emissions</w:t>
            </w:r>
            <w:r>
              <w:rPr>
                <w:rFonts w:eastAsia="Aptos"/>
                <w:noProof/>
                <w:sz w:val="22"/>
                <w:szCs w:val="22"/>
              </w:rPr>
              <w:t xml:space="preserve"> from historical disposal</w:t>
            </w:r>
            <w:r w:rsidRPr="005A20A8">
              <w:rPr>
                <w:rFonts w:eastAsia="Aptos"/>
                <w:noProof/>
                <w:sz w:val="22"/>
                <w:szCs w:val="22"/>
              </w:rPr>
              <w:t xml:space="preserve"> also covered.</w:t>
            </w:r>
          </w:p>
          <w:p w14:paraId="4A7ACFB0"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tc>
      </w:tr>
      <w:tr w:rsidR="009010D9" w:rsidRPr="005A20A8" w14:paraId="34085CAF" w14:textId="77777777">
        <w:tblPrEx>
          <w:tblCellMar>
            <w:top w:w="0" w:type="dxa"/>
            <w:bottom w:w="0" w:type="dxa"/>
          </w:tblCellMar>
        </w:tblPrEx>
        <w:trPr>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278D072" w14:textId="77777777" w:rsidR="009010D9" w:rsidRPr="005A20A8" w:rsidRDefault="009010D9">
            <w:pPr>
              <w:spacing w:before="0"/>
              <w:rPr>
                <w:rFonts w:eastAsia="Aptos"/>
                <w:noProof/>
                <w:sz w:val="22"/>
                <w:szCs w:val="22"/>
              </w:rPr>
            </w:pPr>
            <w:r w:rsidRPr="005A20A8">
              <w:rPr>
                <w:rFonts w:eastAsia="Aptos"/>
                <w:noProof/>
                <w:sz w:val="22"/>
                <w:szCs w:val="22"/>
              </w:rPr>
              <w:t>Economic</w:t>
            </w:r>
          </w:p>
          <w:p w14:paraId="4FE18300" w14:textId="77777777" w:rsidR="009010D9" w:rsidRPr="005A20A8" w:rsidRDefault="009010D9">
            <w:pPr>
              <w:spacing w:before="0"/>
              <w:rPr>
                <w:rFonts w:eastAsia="Aptos"/>
                <w:noProof/>
                <w:sz w:val="22"/>
                <w:szCs w:val="22"/>
              </w:rPr>
            </w:pPr>
            <w:r w:rsidRPr="005A20A8">
              <w:rPr>
                <w:rFonts w:eastAsia="Aptos"/>
                <w:noProof/>
                <w:sz w:val="22"/>
                <w:szCs w:val="22"/>
              </w:rPr>
              <w:t xml:space="preserve">(Administrative effort) </w:t>
            </w:r>
          </w:p>
        </w:tc>
        <w:tc>
          <w:tcPr>
            <w:tcW w:w="3873" w:type="dxa"/>
          </w:tcPr>
          <w:p w14:paraId="196B6BD2"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5A20A8">
              <w:rPr>
                <w:rFonts w:eastAsia="Aptos"/>
                <w:noProof/>
                <w:sz w:val="22"/>
                <w:szCs w:val="22"/>
              </w:rPr>
              <w:t>+</w:t>
            </w:r>
          </w:p>
          <w:p w14:paraId="49142271"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Pr>
                <w:rFonts w:eastAsia="Aptos"/>
                <w:noProof/>
                <w:sz w:val="22"/>
                <w:szCs w:val="22"/>
              </w:rPr>
              <w:t>Limited additional costs compared to baseline (already applicable), b</w:t>
            </w:r>
            <w:r w:rsidRPr="00F55BB9">
              <w:rPr>
                <w:rFonts w:eastAsia="Aptos"/>
                <w:noProof/>
                <w:sz w:val="22"/>
                <w:szCs w:val="22"/>
              </w:rPr>
              <w:t>ui</w:t>
            </w:r>
            <w:r>
              <w:rPr>
                <w:rFonts w:eastAsia="Aptos"/>
                <w:noProof/>
                <w:sz w:val="22"/>
                <w:szCs w:val="22"/>
              </w:rPr>
              <w:t>lding</w:t>
            </w:r>
            <w:r w:rsidRPr="00F55BB9">
              <w:rPr>
                <w:rFonts w:eastAsia="Aptos"/>
                <w:noProof/>
                <w:sz w:val="22"/>
                <w:szCs w:val="22"/>
              </w:rPr>
              <w:t xml:space="preserve"> on already established MRV process and infrastruct</w:t>
            </w:r>
            <w:r>
              <w:rPr>
                <w:rFonts w:eastAsia="Aptos"/>
                <w:noProof/>
                <w:sz w:val="22"/>
                <w:szCs w:val="22"/>
              </w:rPr>
              <w:t xml:space="preserve">ure, </w:t>
            </w:r>
            <w:r w:rsidRPr="005A20A8">
              <w:rPr>
                <w:rFonts w:eastAsia="Aptos"/>
                <w:noProof/>
                <w:sz w:val="22"/>
                <w:szCs w:val="22"/>
              </w:rPr>
              <w:t>and tiered system with simplified provisions for smaller operators balancing robustness and administrative burden and costs.</w:t>
            </w:r>
          </w:p>
        </w:tc>
        <w:tc>
          <w:tcPr>
            <w:tcW w:w="3874" w:type="dxa"/>
          </w:tcPr>
          <w:p w14:paraId="247A2A03"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5A20A8">
              <w:rPr>
                <w:rFonts w:eastAsia="Aptos"/>
                <w:noProof/>
                <w:sz w:val="22"/>
                <w:szCs w:val="22"/>
              </w:rPr>
              <w:t>-</w:t>
            </w:r>
          </w:p>
          <w:p w14:paraId="7DAA6A36"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5A20A8">
              <w:rPr>
                <w:rFonts w:eastAsia="Aptos"/>
                <w:noProof/>
                <w:sz w:val="22"/>
                <w:szCs w:val="22"/>
              </w:rPr>
              <w:t xml:space="preserve">Possible additional </w:t>
            </w:r>
            <w:r>
              <w:rPr>
                <w:rFonts w:eastAsia="Aptos"/>
                <w:noProof/>
                <w:sz w:val="22"/>
                <w:szCs w:val="22"/>
              </w:rPr>
              <w:t xml:space="preserve">HWI-specific </w:t>
            </w:r>
            <w:r w:rsidRPr="005A20A8">
              <w:rPr>
                <w:rFonts w:eastAsia="Aptos"/>
                <w:noProof/>
                <w:sz w:val="22"/>
                <w:szCs w:val="22"/>
              </w:rPr>
              <w:t>MRV cost due to regulatory restrictions.</w:t>
            </w:r>
            <w:r>
              <w:rPr>
                <w:rFonts w:eastAsia="Aptos"/>
                <w:noProof/>
                <w:sz w:val="22"/>
                <w:szCs w:val="22"/>
              </w:rPr>
              <w:t xml:space="preserve"> </w:t>
            </w:r>
            <w:r w:rsidRPr="005A20A8">
              <w:rPr>
                <w:rFonts w:eastAsia="Aptos"/>
                <w:noProof/>
                <w:sz w:val="22"/>
                <w:szCs w:val="22"/>
              </w:rPr>
              <w:t xml:space="preserve">Possibility for simplified MRV or exclusions and opt-outs of the system. </w:t>
            </w:r>
          </w:p>
        </w:tc>
        <w:tc>
          <w:tcPr>
            <w:tcW w:w="3874" w:type="dxa"/>
          </w:tcPr>
          <w:p w14:paraId="0DB99181"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5A20A8">
              <w:rPr>
                <w:rFonts w:eastAsia="Aptos"/>
                <w:noProof/>
                <w:sz w:val="22"/>
                <w:szCs w:val="22"/>
              </w:rPr>
              <w:t>-</w:t>
            </w:r>
          </w:p>
          <w:p w14:paraId="230FCD51" w14:textId="77777777" w:rsidR="009010D9" w:rsidRPr="00273F6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273F69">
              <w:rPr>
                <w:rFonts w:eastAsia="Aptos"/>
                <w:noProof/>
                <w:sz w:val="22"/>
                <w:szCs w:val="22"/>
              </w:rPr>
              <w:t>MRV</w:t>
            </w:r>
            <w:r>
              <w:rPr>
                <w:rFonts w:eastAsia="Aptos"/>
                <w:noProof/>
                <w:sz w:val="22"/>
                <w:szCs w:val="22"/>
              </w:rPr>
              <w:t xml:space="preserve"> methodology</w:t>
            </w:r>
            <w:r w:rsidRPr="00273F69">
              <w:rPr>
                <w:rFonts w:eastAsia="Aptos"/>
                <w:noProof/>
                <w:sz w:val="22"/>
                <w:szCs w:val="22"/>
              </w:rPr>
              <w:t xml:space="preserve"> to be developed and implemented for landfills</w:t>
            </w:r>
            <w:r>
              <w:rPr>
                <w:rFonts w:eastAsia="Aptos"/>
                <w:noProof/>
                <w:sz w:val="22"/>
                <w:szCs w:val="22"/>
              </w:rPr>
              <w:t xml:space="preserve"> from scratch</w:t>
            </w:r>
            <w:r w:rsidRPr="00273F69">
              <w:rPr>
                <w:rFonts w:eastAsia="Aptos"/>
                <w:noProof/>
                <w:sz w:val="22"/>
                <w:szCs w:val="22"/>
              </w:rPr>
              <w:t>​</w:t>
            </w:r>
            <w:r>
              <w:rPr>
                <w:rFonts w:eastAsia="Aptos"/>
                <w:noProof/>
                <w:sz w:val="22"/>
                <w:szCs w:val="22"/>
              </w:rPr>
              <w:t>.</w:t>
            </w:r>
          </w:p>
          <w:p w14:paraId="304472E5" w14:textId="77777777" w:rsidR="009010D9" w:rsidRPr="00273F69"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p>
          <w:p w14:paraId="4CF88632"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273F69">
              <w:rPr>
                <w:rFonts w:eastAsia="Aptos"/>
                <w:noProof/>
                <w:sz w:val="22"/>
                <w:szCs w:val="22"/>
              </w:rPr>
              <w:t>No cost estimate: depending on method and scope (historical emissions</w:t>
            </w:r>
            <w:r>
              <w:rPr>
                <w:rFonts w:eastAsia="Aptos"/>
                <w:noProof/>
                <w:sz w:val="22"/>
                <w:szCs w:val="22"/>
              </w:rPr>
              <w:t>)</w:t>
            </w:r>
            <w:r w:rsidRPr="005A20A8">
              <w:rPr>
                <w:rFonts w:eastAsia="Aptos"/>
                <w:noProof/>
                <w:sz w:val="22"/>
                <w:szCs w:val="22"/>
              </w:rPr>
              <w:t>. Complex and lengthy development process (especially if based on comprehensive measurement-based approach). Simplified approach based on reference values possible.</w:t>
            </w:r>
          </w:p>
          <w:p w14:paraId="7540FF2F"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p>
          <w:p w14:paraId="598A91CD" w14:textId="77777777" w:rsidR="009010D9" w:rsidRPr="005A20A8" w:rsidRDefault="009010D9">
            <w:pPr>
              <w:spacing w:before="0"/>
              <w:cnfStyle w:val="000000000000" w:firstRow="0" w:lastRow="0" w:firstColumn="0" w:lastColumn="0" w:oddVBand="0" w:evenVBand="0" w:oddHBand="0" w:evenHBand="0" w:firstRowFirstColumn="0" w:firstRowLastColumn="0" w:lastRowFirstColumn="0" w:lastRowLastColumn="0"/>
              <w:rPr>
                <w:rFonts w:eastAsia="Aptos"/>
                <w:noProof/>
                <w:sz w:val="22"/>
                <w:szCs w:val="22"/>
              </w:rPr>
            </w:pPr>
            <w:r w:rsidRPr="005A20A8">
              <w:rPr>
                <w:rFonts w:eastAsia="Aptos"/>
                <w:noProof/>
                <w:sz w:val="22"/>
                <w:szCs w:val="22"/>
              </w:rPr>
              <w:t xml:space="preserve">Development needs to balance robustness with administrative burden and costs. </w:t>
            </w:r>
          </w:p>
        </w:tc>
      </w:tr>
      <w:tr w:rsidR="009010D9" w:rsidRPr="005A20A8" w14:paraId="563E7D0E" w14:textId="77777777">
        <w:tblPrEx>
          <w:tblCellMar>
            <w:top w:w="0" w:type="dxa"/>
            <w:bottom w:w="0" w:type="dxa"/>
          </w:tblCellMar>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FD87F0A" w14:textId="77777777" w:rsidR="009010D9" w:rsidRPr="005A20A8" w:rsidRDefault="009010D9">
            <w:pPr>
              <w:spacing w:before="0"/>
              <w:rPr>
                <w:rFonts w:eastAsia="Aptos"/>
                <w:noProof/>
                <w:sz w:val="22"/>
                <w:szCs w:val="22"/>
              </w:rPr>
            </w:pPr>
            <w:r w:rsidRPr="005A20A8">
              <w:rPr>
                <w:rFonts w:eastAsia="Aptos"/>
                <w:noProof/>
                <w:sz w:val="22"/>
                <w:szCs w:val="22"/>
              </w:rPr>
              <w:t>Economic (SMEs)</w:t>
            </w:r>
          </w:p>
        </w:tc>
        <w:tc>
          <w:tcPr>
            <w:tcW w:w="3873" w:type="dxa"/>
          </w:tcPr>
          <w:p w14:paraId="6F8E77D3"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0</w:t>
            </w:r>
          </w:p>
          <w:p w14:paraId="4797C7A6"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Comparatively</w:t>
            </w:r>
            <w:r w:rsidRPr="005A20A8">
              <w:rPr>
                <w:rFonts w:eastAsia="Aptos"/>
                <w:noProof/>
                <w:sz w:val="22"/>
                <w:szCs w:val="22"/>
              </w:rPr>
              <w:t xml:space="preserve"> high</w:t>
            </w:r>
            <w:r>
              <w:rPr>
                <w:rFonts w:eastAsia="Aptos"/>
                <w:noProof/>
                <w:sz w:val="22"/>
                <w:szCs w:val="22"/>
              </w:rPr>
              <w:t xml:space="preserve"> </w:t>
            </w:r>
            <w:r w:rsidRPr="005A20A8">
              <w:rPr>
                <w:rFonts w:eastAsia="Aptos"/>
                <w:noProof/>
                <w:sz w:val="22"/>
                <w:szCs w:val="22"/>
              </w:rPr>
              <w:t>share of medium-sized enterprises.</w:t>
            </w:r>
          </w:p>
          <w:p w14:paraId="24D2F7A9"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4C73C564"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 xml:space="preserve">Simplified MRV, opt-out provisions and potential exclusions under threshold for small emitters reduce impact on SMEs. </w:t>
            </w:r>
          </w:p>
        </w:tc>
        <w:tc>
          <w:tcPr>
            <w:tcW w:w="3874" w:type="dxa"/>
          </w:tcPr>
          <w:p w14:paraId="1068739C"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0</w:t>
            </w:r>
          </w:p>
          <w:p w14:paraId="1227D8D4"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sidRPr="005A20A8">
              <w:rPr>
                <w:rFonts w:eastAsia="Aptos"/>
                <w:noProof/>
                <w:sz w:val="22"/>
                <w:szCs w:val="22"/>
              </w:rPr>
              <w:t>Same as for W1.</w:t>
            </w:r>
          </w:p>
        </w:tc>
        <w:tc>
          <w:tcPr>
            <w:tcW w:w="3874" w:type="dxa"/>
          </w:tcPr>
          <w:p w14:paraId="1DB5F67D"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p>
          <w:p w14:paraId="68BDD919" w14:textId="77777777" w:rsidR="009010D9" w:rsidRPr="005A20A8" w:rsidRDefault="009010D9">
            <w:pPr>
              <w:spacing w:before="0"/>
              <w:cnfStyle w:val="000000100000" w:firstRow="0" w:lastRow="0" w:firstColumn="0" w:lastColumn="0" w:oddVBand="0" w:evenVBand="0" w:oddHBand="1" w:evenHBand="0" w:firstRowFirstColumn="0" w:firstRowLastColumn="0" w:lastRowFirstColumn="0" w:lastRowLastColumn="0"/>
              <w:rPr>
                <w:rFonts w:eastAsia="Aptos"/>
                <w:noProof/>
                <w:sz w:val="22"/>
                <w:szCs w:val="22"/>
              </w:rPr>
            </w:pPr>
            <w:r>
              <w:rPr>
                <w:rFonts w:eastAsia="Aptos"/>
                <w:noProof/>
                <w:sz w:val="22"/>
                <w:szCs w:val="22"/>
              </w:rPr>
              <w:t>Comparatively high share of medium-sized enterprises but impact dependent on scope of GHG emissions included, threshold applied and other factors</w:t>
            </w:r>
            <w:r w:rsidRPr="005A20A8">
              <w:rPr>
                <w:rFonts w:eastAsia="Aptos"/>
                <w:noProof/>
                <w:sz w:val="22"/>
                <w:szCs w:val="22"/>
              </w:rPr>
              <w:t>.</w:t>
            </w:r>
          </w:p>
        </w:tc>
      </w:tr>
    </w:tbl>
    <w:p w14:paraId="36506E49" w14:textId="77777777" w:rsidR="009010D9" w:rsidRDefault="009010D9">
      <w:pPr>
        <w:pStyle w:val="Body"/>
        <w:rPr>
          <w:rFonts w:ascii="Times New Roman" w:hAnsi="Times New Roman"/>
          <w:noProof/>
          <w:highlight w:val="yellow"/>
          <w:lang w:eastAsia="en-GB"/>
        </w:rPr>
      </w:pPr>
    </w:p>
    <w:p w14:paraId="46A3A516" w14:textId="77777777" w:rsidR="009010D9" w:rsidRDefault="009010D9">
      <w:pPr>
        <w:spacing w:before="0"/>
        <w:rPr>
          <w:rFonts w:eastAsia="Times New Roman"/>
          <w:b/>
          <w:noProof/>
          <w:color w:val="auto"/>
          <w:sz w:val="28"/>
          <w:szCs w:val="22"/>
        </w:rPr>
      </w:pPr>
      <w:r>
        <w:rPr>
          <w:noProof/>
        </w:rPr>
        <w:br w:type="page"/>
      </w:r>
    </w:p>
    <w:p w14:paraId="0F010A2C" w14:textId="77777777" w:rsidR="009010D9" w:rsidRDefault="009010D9" w:rsidP="00C3254C">
      <w:pPr>
        <w:pStyle w:val="Heading2COM"/>
        <w:numPr>
          <w:ilvl w:val="0"/>
          <w:numId w:val="0"/>
        </w:numPr>
        <w:outlineLvl w:val="2"/>
        <w15:collapsed w:val="0"/>
        <w:rPr>
          <w:noProof/>
        </w:rPr>
      </w:pPr>
      <w:bookmarkStart w:id="807" w:name="_Toc230861560"/>
      <w:bookmarkStart w:id="808" w:name="_Toc232751182"/>
      <w:r w:rsidRPr="00004143">
        <w:rPr>
          <w:noProof/>
        </w:rPr>
        <w:t xml:space="preserve">Appendix 1: </w:t>
      </w:r>
      <w:r>
        <w:rPr>
          <w:noProof/>
        </w:rPr>
        <w:t>D</w:t>
      </w:r>
      <w:r w:rsidRPr="00004143">
        <w:rPr>
          <w:noProof/>
        </w:rPr>
        <w:t>ata on emissions from waste incineration and landfilling in the EU</w:t>
      </w:r>
      <w:bookmarkEnd w:id="807"/>
      <w:bookmarkEnd w:id="808"/>
    </w:p>
    <w:p w14:paraId="35EFF0E8" w14:textId="77777777" w:rsidR="009010D9" w:rsidRPr="00A37205" w:rsidRDefault="009010D9" w:rsidP="0018561F">
      <w:pPr>
        <w:pStyle w:val="Body"/>
        <w:numPr>
          <w:ilvl w:val="0"/>
          <w:numId w:val="48"/>
        </w:numPr>
        <w:rPr>
          <w:rFonts w:ascii="Times New Roman" w:hAnsi="Times New Roman"/>
          <w:b/>
          <w:bCs/>
          <w:noProof/>
        </w:rPr>
      </w:pPr>
      <w:r w:rsidRPr="00A37205">
        <w:rPr>
          <w:rFonts w:ascii="Times New Roman" w:hAnsi="Times New Roman"/>
          <w:b/>
          <w:bCs/>
          <w:noProof/>
        </w:rPr>
        <w:t xml:space="preserve">Data on emissions from municipal waste incineration </w:t>
      </w:r>
    </w:p>
    <w:p w14:paraId="50F9D397" w14:textId="77777777" w:rsidR="009010D9" w:rsidRDefault="009010D9">
      <w:pPr>
        <w:contextualSpacing/>
        <w:rPr>
          <w:rFonts w:eastAsia="Times New Roman"/>
          <w:iCs/>
          <w:noProof/>
          <w:color w:val="auto"/>
        </w:rPr>
      </w:pPr>
      <w:r>
        <w:rPr>
          <w:rFonts w:eastAsia="Times New Roman"/>
          <w:iCs/>
          <w:noProof/>
          <w:color w:val="auto"/>
        </w:rPr>
        <w:t xml:space="preserve">Data prior to 2024 (UNFCCC GHG Inventory, internal Commission estimates) do not provide disaggregated data per type of waste (municipal, hazardous, industrial) or per type of incineration (with or without energy recovery). Since 2024, accurate MRV data have been collected specifically for municipal waste incineration (with and without energy recovery) above the EU ETS threshold. </w:t>
      </w:r>
    </w:p>
    <w:p w14:paraId="1B37237F" w14:textId="77777777" w:rsidR="009010D9" w:rsidRPr="000178C2" w:rsidRDefault="009010D9">
      <w:pPr>
        <w:ind w:left="360" w:hanging="360"/>
        <w:contextualSpacing/>
        <w:rPr>
          <w:rFonts w:eastAsia="Times New Roman"/>
          <w:iCs/>
          <w:noProof/>
          <w:color w:val="auto"/>
        </w:rPr>
      </w:pPr>
    </w:p>
    <w:p w14:paraId="2D59783C" w14:textId="77777777" w:rsidR="009010D9" w:rsidRPr="005012B8" w:rsidRDefault="009010D9">
      <w:pPr>
        <w:ind w:left="360" w:hanging="360"/>
        <w:contextualSpacing/>
        <w:rPr>
          <w:rFonts w:eastAsia="Times New Roman"/>
          <w:i/>
          <w:noProof/>
          <w:color w:val="auto"/>
        </w:rPr>
      </w:pPr>
      <w:r>
        <w:rPr>
          <w:rFonts w:eastAsia="Times New Roman"/>
          <w:i/>
          <w:noProof/>
          <w:color w:val="auto"/>
        </w:rPr>
        <w:t>EU ETS</w:t>
      </w:r>
      <w:r w:rsidRPr="005012B8">
        <w:rPr>
          <w:rFonts w:eastAsia="Times New Roman"/>
          <w:i/>
          <w:noProof/>
          <w:color w:val="auto"/>
        </w:rPr>
        <w:t xml:space="preserve"> monitoring, reporting and verification data</w:t>
      </w:r>
    </w:p>
    <w:p w14:paraId="5C665902" w14:textId="77777777" w:rsidR="009010D9" w:rsidRPr="00C63363" w:rsidRDefault="009010D9">
      <w:pPr>
        <w:pStyle w:val="Body"/>
        <w:rPr>
          <w:rFonts w:ascii="Times New Roman" w:eastAsia="Arial" w:hAnsi="Times New Roman"/>
          <w:noProof/>
        </w:rPr>
      </w:pPr>
      <w:r w:rsidRPr="00C63363">
        <w:rPr>
          <w:rFonts w:ascii="Times New Roman" w:eastAsia="Arial" w:hAnsi="Times New Roman"/>
          <w:noProof/>
          <w:lang w:eastAsia="en-GB"/>
        </w:rPr>
        <w:t>From 1 January 2024, installations for the incineration of municipal waste above the EU ETS threshold are required to monitor and report</w:t>
      </w:r>
      <w:r w:rsidRPr="00C63363">
        <w:rPr>
          <w:rFonts w:ascii="Times New Roman" w:eastAsia="Arial" w:hAnsi="Times New Roman"/>
          <w:noProof/>
        </w:rPr>
        <w:t xml:space="preserve"> emissions under the EU ETS</w:t>
      </w:r>
      <w:r w:rsidRPr="00C63363">
        <w:rPr>
          <w:rFonts w:ascii="Times New Roman" w:eastAsia="Arial" w:hAnsi="Times New Roman"/>
          <w:noProof/>
          <w:sz w:val="22"/>
          <w:szCs w:val="22"/>
          <w:vertAlign w:val="superscript"/>
          <w:lang w:eastAsia="en-GB"/>
        </w:rPr>
        <w:footnoteReference w:id="146"/>
      </w:r>
      <w:r w:rsidRPr="00C63363">
        <w:rPr>
          <w:rFonts w:ascii="Times New Roman" w:eastAsia="Arial" w:hAnsi="Times New Roman"/>
          <w:noProof/>
          <w:lang w:eastAsia="en-GB"/>
        </w:rPr>
        <w:t>. In 2025, emissions data from the first year (2024) of the monitoring and reporting of emissions by municipal waste incineration</w:t>
      </w:r>
      <w:r>
        <w:rPr>
          <w:rFonts w:ascii="Times New Roman" w:eastAsia="Arial" w:hAnsi="Times New Roman"/>
          <w:noProof/>
          <w:lang w:eastAsia="en-GB"/>
        </w:rPr>
        <w:t xml:space="preserve"> (MWI)</w:t>
      </w:r>
      <w:r w:rsidRPr="00C63363">
        <w:rPr>
          <w:rFonts w:ascii="Times New Roman" w:eastAsia="Arial" w:hAnsi="Times New Roman"/>
          <w:noProof/>
          <w:lang w:eastAsia="en-GB"/>
        </w:rPr>
        <w:t xml:space="preserve"> installations under the </w:t>
      </w:r>
      <w:r>
        <w:rPr>
          <w:rFonts w:ascii="Times New Roman" w:eastAsia="Arial" w:hAnsi="Times New Roman"/>
          <w:noProof/>
          <w:lang w:eastAsia="en-GB"/>
        </w:rPr>
        <w:t>EU ETS</w:t>
      </w:r>
      <w:r w:rsidRPr="00C63363">
        <w:rPr>
          <w:rFonts w:ascii="Times New Roman" w:eastAsia="Arial" w:hAnsi="Times New Roman"/>
          <w:noProof/>
          <w:lang w:eastAsia="en-GB"/>
        </w:rPr>
        <w:t xml:space="preserve"> became available. The total 2024 emissions from </w:t>
      </w:r>
      <w:r>
        <w:rPr>
          <w:rFonts w:ascii="Times New Roman" w:eastAsia="Arial" w:hAnsi="Times New Roman"/>
          <w:noProof/>
          <w:lang w:eastAsia="en-GB"/>
        </w:rPr>
        <w:t>MWI</w:t>
      </w:r>
      <w:r w:rsidRPr="00C63363">
        <w:rPr>
          <w:rFonts w:ascii="Times New Roman" w:eastAsia="Arial" w:hAnsi="Times New Roman"/>
          <w:noProof/>
          <w:lang w:eastAsia="en-GB"/>
        </w:rPr>
        <w:t xml:space="preserve"> (excluding hazardous waste incineration) from the reporting data provided by 1</w:t>
      </w:r>
      <w:r>
        <w:rPr>
          <w:rFonts w:ascii="Times New Roman" w:eastAsia="Arial" w:hAnsi="Times New Roman"/>
          <w:noProof/>
          <w:lang w:eastAsia="en-GB"/>
        </w:rPr>
        <w:t>9</w:t>
      </w:r>
      <w:r w:rsidRPr="00C63363">
        <w:rPr>
          <w:rFonts w:ascii="Times New Roman" w:eastAsia="Arial" w:hAnsi="Times New Roman"/>
          <w:noProof/>
          <w:lang w:eastAsia="en-GB"/>
        </w:rPr>
        <w:t xml:space="preserve"> countries (1</w:t>
      </w:r>
      <w:r>
        <w:rPr>
          <w:rFonts w:ascii="Times New Roman" w:eastAsia="Arial" w:hAnsi="Times New Roman"/>
          <w:noProof/>
          <w:lang w:eastAsia="en-GB"/>
        </w:rPr>
        <w:t>8</w:t>
      </w:r>
      <w:r w:rsidRPr="00C63363">
        <w:rPr>
          <w:rFonts w:ascii="Times New Roman" w:eastAsia="Arial" w:hAnsi="Times New Roman"/>
          <w:noProof/>
          <w:lang w:eastAsia="en-GB"/>
        </w:rPr>
        <w:t xml:space="preserve"> Member States</w:t>
      </w:r>
      <w:r w:rsidRPr="00C63363">
        <w:rPr>
          <w:rFonts w:ascii="Times New Roman" w:eastAsia="Arial" w:hAnsi="Times New Roman"/>
          <w:noProof/>
          <w:sz w:val="22"/>
          <w:szCs w:val="22"/>
          <w:vertAlign w:val="superscript"/>
          <w:lang w:eastAsia="en-GB"/>
        </w:rPr>
        <w:footnoteReference w:id="147"/>
      </w:r>
      <w:r w:rsidRPr="00C63363">
        <w:rPr>
          <w:rFonts w:ascii="Times New Roman" w:eastAsia="Arial" w:hAnsi="Times New Roman"/>
          <w:noProof/>
          <w:lang w:eastAsia="en-GB"/>
        </w:rPr>
        <w:t xml:space="preserve"> and Norway) for 39</w:t>
      </w:r>
      <w:r>
        <w:rPr>
          <w:rFonts w:ascii="Times New Roman" w:eastAsia="Arial" w:hAnsi="Times New Roman"/>
          <w:noProof/>
          <w:lang w:eastAsia="en-GB"/>
        </w:rPr>
        <w:t>5</w:t>
      </w:r>
      <w:r w:rsidRPr="00C63363">
        <w:rPr>
          <w:rFonts w:ascii="Times New Roman" w:eastAsia="Arial" w:hAnsi="Times New Roman"/>
          <w:noProof/>
          <w:lang w:eastAsia="en-GB"/>
        </w:rPr>
        <w:t xml:space="preserve"> installations amounted to </w:t>
      </w:r>
      <w:r>
        <w:rPr>
          <w:rFonts w:ascii="Times New Roman" w:eastAsia="Arial" w:hAnsi="Times New Roman"/>
          <w:noProof/>
          <w:lang w:eastAsia="en-GB"/>
        </w:rPr>
        <w:t>85.0</w:t>
      </w:r>
      <w:r w:rsidRPr="00C63363">
        <w:rPr>
          <w:rFonts w:ascii="Times New Roman" w:eastAsia="Arial" w:hAnsi="Times New Roman"/>
          <w:noProof/>
          <w:lang w:eastAsia="en-GB"/>
        </w:rPr>
        <w:t xml:space="preserve"> MtCO</w:t>
      </w:r>
      <w:r w:rsidRPr="00C63363">
        <w:rPr>
          <w:rFonts w:ascii="Times New Roman" w:eastAsia="Arial" w:hAnsi="Times New Roman"/>
          <w:noProof/>
          <w:vertAlign w:val="subscript"/>
          <w:lang w:eastAsia="en-GB"/>
        </w:rPr>
        <w:t>2</w:t>
      </w:r>
      <w:r w:rsidRPr="00C63363">
        <w:rPr>
          <w:rFonts w:ascii="Times New Roman" w:eastAsia="Arial" w:hAnsi="Times New Roman"/>
          <w:noProof/>
          <w:lang w:eastAsia="en-GB"/>
        </w:rPr>
        <w:t xml:space="preserve">eq (Figure </w:t>
      </w:r>
      <w:r>
        <w:rPr>
          <w:rFonts w:ascii="Times New Roman" w:eastAsia="Arial" w:hAnsi="Times New Roman"/>
          <w:noProof/>
          <w:lang w:eastAsia="en-GB"/>
        </w:rPr>
        <w:t>6</w:t>
      </w:r>
      <w:r w:rsidRPr="00C63363">
        <w:rPr>
          <w:rFonts w:ascii="Times New Roman" w:eastAsia="Arial" w:hAnsi="Times New Roman"/>
          <w:noProof/>
          <w:lang w:eastAsia="en-GB"/>
        </w:rPr>
        <w:t>)</w:t>
      </w:r>
      <w:r w:rsidRPr="00C63363">
        <w:rPr>
          <w:rFonts w:ascii="Times New Roman" w:eastAsia="Arial" w:hAnsi="Times New Roman"/>
          <w:noProof/>
          <w:vertAlign w:val="superscript"/>
          <w:lang w:eastAsia="en-GB"/>
        </w:rPr>
        <w:footnoteReference w:id="148"/>
      </w:r>
      <w:r w:rsidRPr="00C63363">
        <w:rPr>
          <w:rFonts w:ascii="Times New Roman" w:eastAsia="Arial" w:hAnsi="Times New Roman"/>
          <w:noProof/>
          <w:lang w:eastAsia="en-GB"/>
        </w:rPr>
        <w:t>. Of this total, approximately 4</w:t>
      </w:r>
      <w:r>
        <w:rPr>
          <w:rFonts w:ascii="Times New Roman" w:eastAsia="Arial" w:hAnsi="Times New Roman"/>
          <w:noProof/>
          <w:lang w:eastAsia="en-GB"/>
        </w:rPr>
        <w:t>7</w:t>
      </w:r>
      <w:r w:rsidRPr="00C63363">
        <w:rPr>
          <w:rFonts w:ascii="Times New Roman" w:eastAsia="Arial" w:hAnsi="Times New Roman"/>
          <w:noProof/>
          <w:lang w:eastAsia="en-GB"/>
        </w:rPr>
        <w:t xml:space="preserve">% or </w:t>
      </w:r>
      <w:r>
        <w:rPr>
          <w:rFonts w:ascii="Times New Roman" w:eastAsia="Arial" w:hAnsi="Times New Roman"/>
          <w:noProof/>
          <w:lang w:eastAsia="en-GB"/>
        </w:rPr>
        <w:t>39.4</w:t>
      </w:r>
      <w:r w:rsidRPr="00C63363">
        <w:rPr>
          <w:rFonts w:ascii="Times New Roman" w:eastAsia="Arial" w:hAnsi="Times New Roman"/>
          <w:noProof/>
          <w:lang w:eastAsia="en-GB"/>
        </w:rPr>
        <w:t xml:space="preserve"> MtCO</w:t>
      </w:r>
      <w:r w:rsidRPr="00C63363">
        <w:rPr>
          <w:rFonts w:ascii="Times New Roman" w:eastAsia="Arial" w:hAnsi="Times New Roman"/>
          <w:noProof/>
          <w:vertAlign w:val="subscript"/>
          <w:lang w:eastAsia="en-GB"/>
        </w:rPr>
        <w:t>2</w:t>
      </w:r>
      <w:r w:rsidRPr="00C63363">
        <w:rPr>
          <w:rFonts w:ascii="Times New Roman" w:eastAsia="Arial" w:hAnsi="Times New Roman"/>
          <w:noProof/>
          <w:lang w:eastAsia="en-GB"/>
        </w:rPr>
        <w:t>eq were fossil-based emissions and 5</w:t>
      </w:r>
      <w:r>
        <w:rPr>
          <w:rFonts w:ascii="Times New Roman" w:eastAsia="Arial" w:hAnsi="Times New Roman"/>
          <w:noProof/>
          <w:lang w:eastAsia="en-GB"/>
        </w:rPr>
        <w:t>3</w:t>
      </w:r>
      <w:r w:rsidRPr="00C63363">
        <w:rPr>
          <w:rFonts w:ascii="Times New Roman" w:eastAsia="Arial" w:hAnsi="Times New Roman"/>
          <w:noProof/>
          <w:lang w:eastAsia="en-GB"/>
        </w:rPr>
        <w:t xml:space="preserve">% </w:t>
      </w:r>
      <w:r>
        <w:rPr>
          <w:rFonts w:ascii="Times New Roman" w:eastAsia="Arial" w:hAnsi="Times New Roman"/>
          <w:noProof/>
          <w:lang w:eastAsia="en-GB"/>
        </w:rPr>
        <w:t xml:space="preserve">or 45.6 MtCO2eq </w:t>
      </w:r>
      <w:r w:rsidRPr="00C63363">
        <w:rPr>
          <w:rFonts w:ascii="Times New Roman" w:eastAsia="Arial" w:hAnsi="Times New Roman"/>
          <w:noProof/>
          <w:lang w:eastAsia="en-GB"/>
        </w:rPr>
        <w:t>biogenic emissions</w:t>
      </w:r>
      <w:r w:rsidRPr="00C63363">
        <w:rPr>
          <w:rFonts w:ascii="Times New Roman" w:eastAsia="Arial" w:hAnsi="Times New Roman"/>
          <w:noProof/>
          <w:vertAlign w:val="superscript"/>
          <w:lang w:eastAsia="en-GB"/>
        </w:rPr>
        <w:footnoteReference w:id="149"/>
      </w:r>
      <w:r w:rsidRPr="00C63363">
        <w:rPr>
          <w:rFonts w:ascii="Times New Roman" w:eastAsia="Arial" w:hAnsi="Times New Roman"/>
          <w:noProof/>
          <w:lang w:eastAsia="en-GB"/>
        </w:rPr>
        <w:t xml:space="preserve">. In case of an extension of the EU ETS to waste incineration, only the former would be expected to fall under the scope of the EU ETS as biogenic emissions are zero-rated under the EU ETS. </w:t>
      </w:r>
      <w:r w:rsidRPr="00C63363">
        <w:rPr>
          <w:rFonts w:ascii="Times New Roman" w:eastAsia="Arial" w:hAnsi="Times New Roman"/>
          <w:noProof/>
        </w:rPr>
        <w:t xml:space="preserve">The 2024 MRV data provides the most recent and accurate report of emissions from </w:t>
      </w:r>
      <w:r>
        <w:rPr>
          <w:rFonts w:ascii="Times New Roman" w:eastAsia="Arial" w:hAnsi="Times New Roman"/>
          <w:noProof/>
        </w:rPr>
        <w:t>MWI</w:t>
      </w:r>
      <w:r w:rsidRPr="00C63363">
        <w:rPr>
          <w:rFonts w:ascii="Times New Roman" w:eastAsia="Arial" w:hAnsi="Times New Roman"/>
          <w:noProof/>
        </w:rPr>
        <w:t xml:space="preserve"> in the EU. </w:t>
      </w:r>
    </w:p>
    <w:p w14:paraId="5D7178F1" w14:textId="77777777" w:rsidR="009010D9" w:rsidRDefault="009010D9">
      <w:pPr>
        <w:spacing w:before="0"/>
        <w:rPr>
          <w:rFonts w:eastAsia="Calibri"/>
          <w:i/>
          <w:noProof/>
          <w:color w:val="auto"/>
          <w:sz w:val="22"/>
        </w:rPr>
      </w:pPr>
      <w:bookmarkStart w:id="809" w:name="_Toc222740776"/>
      <w:r>
        <w:rPr>
          <w:noProof/>
        </w:rPr>
        <w:br w:type="page"/>
      </w:r>
    </w:p>
    <w:p w14:paraId="65399FDF" w14:textId="77777777" w:rsidR="009010D9" w:rsidRPr="00245BB8" w:rsidRDefault="009010D9" w:rsidP="0018561F">
      <w:pPr>
        <w:pStyle w:val="Figuretitle"/>
        <w:numPr>
          <w:ilvl w:val="0"/>
          <w:numId w:val="53"/>
        </w:numPr>
        <w:rPr>
          <w:noProof/>
        </w:rPr>
      </w:pPr>
      <w:r w:rsidRPr="00245BB8">
        <w:rPr>
          <w:noProof/>
        </w:rPr>
        <w:t xml:space="preserve">Emissions and number of installations reported under the scope of the EU ETS MRV obligation </w:t>
      </w:r>
      <w:r>
        <w:rPr>
          <w:noProof/>
        </w:rPr>
        <w:t xml:space="preserve">for combustion of fuels in installations for the incineration of municipal waste </w:t>
      </w:r>
      <w:r w:rsidRPr="00245BB8">
        <w:rPr>
          <w:noProof/>
        </w:rPr>
        <w:t>(2024).</w:t>
      </w:r>
      <w:bookmarkEnd w:id="809"/>
      <w:r w:rsidRPr="00245BB8">
        <w:rPr>
          <w:noProof/>
        </w:rPr>
        <w:t xml:space="preserve"> </w:t>
      </w:r>
    </w:p>
    <w:p w14:paraId="6EB7248C" w14:textId="77777777" w:rsidR="009010D9" w:rsidRPr="00413CC4" w:rsidRDefault="009010D9">
      <w:pPr>
        <w:spacing w:before="0" w:after="0"/>
        <w:jc w:val="center"/>
        <w:rPr>
          <w:rFonts w:eastAsia="Times New Roman"/>
          <w:noProof/>
          <w:color w:val="auto"/>
          <w:lang w:eastAsia="en-IE"/>
        </w:rPr>
      </w:pPr>
      <w:r w:rsidRPr="00662D69">
        <w:rPr>
          <w:rFonts w:eastAsia="Times New Roman"/>
          <w:noProof/>
          <w:color w:val="auto"/>
          <w:lang w:eastAsia="en-GB"/>
        </w:rPr>
        <w:drawing>
          <wp:inline distT="0" distB="0" distL="0" distR="0" wp14:anchorId="33FB8E08" wp14:editId="54849901">
            <wp:extent cx="6581775" cy="3456305"/>
            <wp:effectExtent l="0" t="0" r="9525" b="0"/>
            <wp:docPr id="7" name="Picture 4" descr="A graph of a number of individu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A graph of a number of individuals&#10;&#10;AI-generated content may be incorrec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599779" cy="3465759"/>
                    </a:xfrm>
                    <a:prstGeom prst="rect">
                      <a:avLst/>
                    </a:prstGeom>
                    <a:noFill/>
                    <a:ln>
                      <a:noFill/>
                    </a:ln>
                  </pic:spPr>
                </pic:pic>
              </a:graphicData>
            </a:graphic>
          </wp:inline>
        </w:drawing>
      </w:r>
    </w:p>
    <w:p w14:paraId="0301F657" w14:textId="77777777" w:rsidR="009010D9" w:rsidRPr="00074C16" w:rsidRDefault="009010D9">
      <w:pPr>
        <w:spacing w:before="0" w:after="0"/>
        <w:ind w:left="720" w:firstLine="720"/>
        <w:jc w:val="left"/>
        <w:rPr>
          <w:rFonts w:eastAsia="Arial"/>
          <w:i/>
          <w:iCs/>
          <w:noProof/>
          <w:sz w:val="20"/>
          <w:szCs w:val="20"/>
        </w:rPr>
      </w:pPr>
      <w:r>
        <w:rPr>
          <w:rFonts w:eastAsia="Arial"/>
          <w:i/>
          <w:iCs/>
          <w:noProof/>
          <w:sz w:val="20"/>
          <w:szCs w:val="20"/>
        </w:rPr>
        <w:t xml:space="preserve">  </w:t>
      </w:r>
      <w:r w:rsidRPr="00074C16">
        <w:rPr>
          <w:rFonts w:eastAsia="Arial"/>
          <w:i/>
          <w:iCs/>
          <w:noProof/>
          <w:sz w:val="20"/>
          <w:szCs w:val="20"/>
        </w:rPr>
        <w:t>Source: European Commission</w:t>
      </w:r>
    </w:p>
    <w:p w14:paraId="7D54153C" w14:textId="77777777" w:rsidR="009010D9" w:rsidRPr="00004143" w:rsidRDefault="009010D9">
      <w:pPr>
        <w:pStyle w:val="Body"/>
        <w:rPr>
          <w:rFonts w:ascii="Times New Roman" w:eastAsia="Arial" w:hAnsi="Times New Roman"/>
          <w:noProof/>
        </w:rPr>
      </w:pPr>
      <w:r w:rsidRPr="00C63363">
        <w:rPr>
          <w:rFonts w:ascii="Times New Roman" w:eastAsia="Arial" w:hAnsi="Times New Roman"/>
          <w:noProof/>
          <w:u w:val="single"/>
        </w:rPr>
        <w:t>Data limitations:</w:t>
      </w:r>
      <w:r w:rsidRPr="00C63363">
        <w:rPr>
          <w:rFonts w:ascii="Times New Roman" w:eastAsia="Arial" w:hAnsi="Times New Roman"/>
          <w:noProof/>
        </w:rPr>
        <w:t xml:space="preserve"> No data on emissions from hazardous waste incineration</w:t>
      </w:r>
      <w:r>
        <w:rPr>
          <w:rFonts w:ascii="Times New Roman" w:eastAsia="Arial" w:hAnsi="Times New Roman"/>
          <w:noProof/>
        </w:rPr>
        <w:t>;</w:t>
      </w:r>
      <w:r w:rsidRPr="00C63363">
        <w:rPr>
          <w:rFonts w:ascii="Times New Roman" w:eastAsia="Arial" w:hAnsi="Times New Roman"/>
          <w:noProof/>
        </w:rPr>
        <w:t xml:space="preserve"> no data on emissions from </w:t>
      </w:r>
      <w:r>
        <w:rPr>
          <w:rFonts w:ascii="Times New Roman" w:eastAsia="Arial" w:hAnsi="Times New Roman"/>
          <w:noProof/>
        </w:rPr>
        <w:t>MWI</w:t>
      </w:r>
      <w:r w:rsidRPr="00C63363">
        <w:rPr>
          <w:rFonts w:ascii="Times New Roman" w:eastAsia="Arial" w:hAnsi="Times New Roman"/>
          <w:noProof/>
        </w:rPr>
        <w:t xml:space="preserve"> installations below 20MW </w:t>
      </w:r>
      <w:r>
        <w:rPr>
          <w:rFonts w:ascii="Times New Roman" w:eastAsia="Arial" w:hAnsi="Times New Roman"/>
          <w:noProof/>
        </w:rPr>
        <w:t>(</w:t>
      </w:r>
      <w:r w:rsidRPr="00C63363">
        <w:rPr>
          <w:rFonts w:ascii="Times New Roman" w:eastAsia="Arial" w:hAnsi="Times New Roman"/>
          <w:noProof/>
        </w:rPr>
        <w:t xml:space="preserve">not covered </w:t>
      </w:r>
      <w:r>
        <w:rPr>
          <w:rFonts w:ascii="Times New Roman" w:eastAsia="Arial" w:hAnsi="Times New Roman"/>
          <w:noProof/>
        </w:rPr>
        <w:t>under</w:t>
      </w:r>
      <w:r w:rsidRPr="00C63363">
        <w:rPr>
          <w:rFonts w:ascii="Times New Roman" w:eastAsia="Arial" w:hAnsi="Times New Roman"/>
          <w:noProof/>
        </w:rPr>
        <w:t xml:space="preserve"> the MRV obligation</w:t>
      </w:r>
      <w:r>
        <w:rPr>
          <w:rFonts w:ascii="Times New Roman" w:eastAsia="Arial" w:hAnsi="Times New Roman"/>
          <w:noProof/>
        </w:rPr>
        <w:t>)</w:t>
      </w:r>
      <w:r w:rsidRPr="00C63363">
        <w:rPr>
          <w:rFonts w:ascii="Times New Roman" w:eastAsia="Arial" w:hAnsi="Times New Roman"/>
          <w:noProof/>
        </w:rPr>
        <w:t xml:space="preserve">. Reported data may not be exhaustive </w:t>
      </w:r>
      <w:r>
        <w:rPr>
          <w:rFonts w:ascii="Times New Roman" w:eastAsia="Arial" w:hAnsi="Times New Roman"/>
          <w:noProof/>
        </w:rPr>
        <w:t xml:space="preserve">and require further finetuning </w:t>
      </w:r>
      <w:r w:rsidRPr="00C63363">
        <w:rPr>
          <w:rFonts w:ascii="Times New Roman" w:eastAsia="Arial" w:hAnsi="Times New Roman"/>
          <w:noProof/>
        </w:rPr>
        <w:t xml:space="preserve">as results cover only the initial year of reporting. </w:t>
      </w:r>
    </w:p>
    <w:p w14:paraId="1DBF9065" w14:textId="77777777" w:rsidR="009010D9" w:rsidRPr="005012B8" w:rsidRDefault="009010D9">
      <w:pPr>
        <w:ind w:left="360" w:hanging="360"/>
        <w:contextualSpacing/>
        <w:rPr>
          <w:rFonts w:eastAsia="Times New Roman"/>
          <w:i/>
          <w:noProof/>
          <w:color w:val="auto"/>
        </w:rPr>
      </w:pPr>
      <w:r w:rsidRPr="005012B8">
        <w:rPr>
          <w:rFonts w:eastAsia="Times New Roman"/>
          <w:i/>
          <w:noProof/>
        </w:rPr>
        <w:t>UNFCCC Inventory Data</w:t>
      </w:r>
    </w:p>
    <w:p w14:paraId="591324F8" w14:textId="77777777" w:rsidR="009010D9" w:rsidRPr="00C63363" w:rsidRDefault="009010D9">
      <w:pPr>
        <w:pStyle w:val="Body"/>
        <w:rPr>
          <w:rFonts w:ascii="Times New Roman" w:hAnsi="Times New Roman"/>
          <w:noProof/>
        </w:rPr>
      </w:pPr>
      <w:r w:rsidRPr="00C63363">
        <w:rPr>
          <w:rFonts w:ascii="Times New Roman" w:hAnsi="Times New Roman"/>
          <w:noProof/>
        </w:rPr>
        <w:t xml:space="preserve">Emissions from </w:t>
      </w:r>
      <w:r>
        <w:rPr>
          <w:rFonts w:ascii="Times New Roman" w:hAnsi="Times New Roman"/>
          <w:noProof/>
        </w:rPr>
        <w:t xml:space="preserve">waste </w:t>
      </w:r>
      <w:r w:rsidRPr="00C63363">
        <w:rPr>
          <w:rFonts w:ascii="Times New Roman" w:hAnsi="Times New Roman"/>
          <w:noProof/>
        </w:rPr>
        <w:t xml:space="preserve">incineration </w:t>
      </w:r>
      <w:r>
        <w:rPr>
          <w:rFonts w:ascii="Times New Roman" w:hAnsi="Times New Roman"/>
          <w:noProof/>
        </w:rPr>
        <w:t xml:space="preserve">(all types) </w:t>
      </w:r>
      <w:r w:rsidRPr="00C63363">
        <w:rPr>
          <w:rFonts w:ascii="Times New Roman" w:hAnsi="Times New Roman"/>
          <w:noProof/>
        </w:rPr>
        <w:t>without energy recovery are reported separately in the UNFCCC National Inventory Report under category 5C</w:t>
      </w:r>
      <w:r>
        <w:rPr>
          <w:rFonts w:ascii="Times New Roman" w:hAnsi="Times New Roman"/>
          <w:noProof/>
        </w:rPr>
        <w:t>1</w:t>
      </w:r>
      <w:r w:rsidRPr="00C63363">
        <w:rPr>
          <w:rFonts w:ascii="Times New Roman" w:hAnsi="Times New Roman"/>
          <w:noProof/>
        </w:rPr>
        <w:t xml:space="preserve"> and amounted to 2.</w:t>
      </w:r>
      <w:r>
        <w:rPr>
          <w:rFonts w:ascii="Times New Roman" w:hAnsi="Times New Roman"/>
          <w:noProof/>
        </w:rPr>
        <w:t>0</w:t>
      </w:r>
      <w:r w:rsidRPr="00C63363">
        <w:rPr>
          <w:rFonts w:ascii="Times New Roman" w:hAnsi="Times New Roman"/>
          <w:noProof/>
        </w:rPr>
        <w:t xml:space="preserve">7 MtCO2e in 2023. Emissions from waste incineration with energy recovery are not separately reported but are reported as part of emissions from fuel combustion. Category 1A1a (Electricity and Heat Production - Other Fuels (CO2)), which amounted to 36.1 MtCO2e in 2023, mainly covers the fossil part of municipal solid waste incineration with energy recovery whose main economic activity is power and heat production. Biogenic CO2 generated by the combustion of organic waste is not accounted for in the national total. Combined the reported fossil part of emissions from </w:t>
      </w:r>
      <w:r>
        <w:rPr>
          <w:rFonts w:ascii="Times New Roman" w:hAnsi="Times New Roman"/>
          <w:noProof/>
        </w:rPr>
        <w:t>MWI</w:t>
      </w:r>
      <w:r w:rsidRPr="00C63363">
        <w:rPr>
          <w:rFonts w:ascii="Times New Roman" w:hAnsi="Times New Roman"/>
          <w:noProof/>
        </w:rPr>
        <w:t xml:space="preserve"> in the UNFCCC inventory would amount to 38.</w:t>
      </w:r>
      <w:r>
        <w:rPr>
          <w:rFonts w:ascii="Times New Roman" w:hAnsi="Times New Roman"/>
          <w:noProof/>
        </w:rPr>
        <w:t>2</w:t>
      </w:r>
      <w:r w:rsidRPr="00C63363">
        <w:rPr>
          <w:rFonts w:ascii="Times New Roman" w:hAnsi="Times New Roman"/>
          <w:noProof/>
        </w:rPr>
        <w:t xml:space="preserve"> MtCO2e in 2023</w:t>
      </w:r>
      <w:r>
        <w:rPr>
          <w:rFonts w:ascii="Times New Roman" w:hAnsi="Times New Roman"/>
          <w:noProof/>
        </w:rPr>
        <w:t>, within the same range as the EU ETS MRV reported emissions</w:t>
      </w:r>
      <w:r w:rsidRPr="00C63363">
        <w:rPr>
          <w:rFonts w:ascii="Times New Roman" w:hAnsi="Times New Roman"/>
          <w:noProof/>
        </w:rPr>
        <w:t xml:space="preserve">. </w:t>
      </w:r>
    </w:p>
    <w:p w14:paraId="4E7E135D" w14:textId="77777777" w:rsidR="009010D9" w:rsidRPr="00C63363" w:rsidRDefault="009010D9">
      <w:pPr>
        <w:pStyle w:val="Body"/>
        <w:rPr>
          <w:rFonts w:ascii="Times New Roman" w:hAnsi="Times New Roman"/>
          <w:noProof/>
        </w:rPr>
      </w:pPr>
      <w:r w:rsidRPr="00C63363">
        <w:rPr>
          <w:rFonts w:ascii="Times New Roman" w:hAnsi="Times New Roman"/>
          <w:noProof/>
          <w:u w:val="single"/>
        </w:rPr>
        <w:t>Data limitations:</w:t>
      </w:r>
      <w:r w:rsidRPr="00C63363">
        <w:rPr>
          <w:rFonts w:ascii="Times New Roman" w:hAnsi="Times New Roman"/>
          <w:noProof/>
        </w:rPr>
        <w:t xml:space="preserve"> No </w:t>
      </w:r>
      <w:r>
        <w:rPr>
          <w:rFonts w:ascii="Times New Roman" w:hAnsi="Times New Roman"/>
          <w:noProof/>
        </w:rPr>
        <w:t>disaggregated data on municipal waste incineration without energy recovery; no</w:t>
      </w:r>
      <w:r w:rsidRPr="00C63363">
        <w:rPr>
          <w:rFonts w:ascii="Times New Roman" w:hAnsi="Times New Roman"/>
          <w:noProof/>
        </w:rPr>
        <w:t xml:space="preserve"> data on emissions from hazardous waste incineration</w:t>
      </w:r>
      <w:r>
        <w:rPr>
          <w:rFonts w:ascii="Times New Roman" w:hAnsi="Times New Roman"/>
          <w:noProof/>
        </w:rPr>
        <w:t>; n</w:t>
      </w:r>
      <w:r w:rsidRPr="00C63363">
        <w:rPr>
          <w:rFonts w:ascii="Times New Roman" w:hAnsi="Times New Roman"/>
          <w:noProof/>
        </w:rPr>
        <w:t xml:space="preserve">o data on biogenic fraction of emissions. </w:t>
      </w:r>
    </w:p>
    <w:p w14:paraId="55B9A562" w14:textId="77777777" w:rsidR="009010D9" w:rsidRPr="009A537F" w:rsidRDefault="009010D9">
      <w:pPr>
        <w:spacing w:after="240"/>
        <w:ind w:left="357" w:hanging="357"/>
        <w:contextualSpacing/>
        <w:rPr>
          <w:rFonts w:eastAsia="Times New Roman"/>
          <w:i/>
          <w:noProof/>
        </w:rPr>
      </w:pPr>
      <w:r w:rsidRPr="005012B8">
        <w:rPr>
          <w:rFonts w:eastAsia="Times New Roman"/>
          <w:i/>
          <w:noProof/>
        </w:rPr>
        <w:t>Internal Commission Estimates</w:t>
      </w:r>
    </w:p>
    <w:p w14:paraId="4E0A8F32" w14:textId="77777777" w:rsidR="009010D9" w:rsidRPr="005012B8" w:rsidRDefault="009010D9">
      <w:pPr>
        <w:contextualSpacing/>
        <w:rPr>
          <w:rFonts w:eastAsia="Times New Roman"/>
          <w:i/>
          <w:noProof/>
          <w:color w:val="auto"/>
        </w:rPr>
      </w:pPr>
      <w:r w:rsidRPr="00C63363">
        <w:rPr>
          <w:rFonts w:eastAsia="Arial"/>
          <w:noProof/>
        </w:rPr>
        <w:t xml:space="preserve">In 2022, during the legislative process on the 2023 revision of the EU ETS, the European Commission internally estimated the scope of the fossil part of emissions from all waste incineration in the EU using data reported by Member States under the Governance Regulation (2016-2018) (for overall waste combustion in the relevant sectors), </w:t>
      </w:r>
      <w:r>
        <w:rPr>
          <w:rFonts w:eastAsia="Arial"/>
          <w:noProof/>
        </w:rPr>
        <w:t>EU ETS</w:t>
      </w:r>
      <w:r w:rsidRPr="00C63363">
        <w:rPr>
          <w:rFonts w:eastAsia="Arial"/>
          <w:noProof/>
        </w:rPr>
        <w:t xml:space="preserve"> emissions reporting under Article 21 of the ETS Directive and the average share of municipal waste in the total waste combusted (67%), which were further validated through technical discussions with Member States and cross-checks with other available data sources. The data are presented in Table </w:t>
      </w:r>
      <w:r>
        <w:rPr>
          <w:rFonts w:eastAsia="Arial"/>
          <w:noProof/>
        </w:rPr>
        <w:t>5</w:t>
      </w:r>
      <w:r w:rsidRPr="00C63363">
        <w:rPr>
          <w:rFonts w:eastAsia="Arial"/>
          <w:noProof/>
        </w:rPr>
        <w:t xml:space="preserve">. The resulting estimates of the emissions from the combustion of the fossil fraction of municipal and hazardous waste </w:t>
      </w:r>
      <w:r>
        <w:rPr>
          <w:rFonts w:eastAsia="Arial"/>
          <w:noProof/>
        </w:rPr>
        <w:t xml:space="preserve">combined </w:t>
      </w:r>
      <w:r w:rsidRPr="00C63363">
        <w:rPr>
          <w:rFonts w:eastAsia="Arial"/>
          <w:noProof/>
        </w:rPr>
        <w:t xml:space="preserve">are in the range of 44.2 MtCO2eq. Taking into account the difference in scope (these estimates also include installations below the 20MW threshold (see Section 2 below), hazardous waste incineration with energy recovery (see Section 3 below), and co-incineration installations already covered under the </w:t>
      </w:r>
      <w:r>
        <w:rPr>
          <w:rFonts w:eastAsia="Arial"/>
          <w:noProof/>
        </w:rPr>
        <w:t>EU ETS</w:t>
      </w:r>
      <w:r w:rsidRPr="00C63363">
        <w:rPr>
          <w:rFonts w:eastAsia="Arial"/>
          <w:noProof/>
        </w:rPr>
        <w:t xml:space="preserve">), these estimates indicate a similar order of magnitude as the reported 2024 MRV data for </w:t>
      </w:r>
      <w:r>
        <w:rPr>
          <w:rFonts w:eastAsia="Arial"/>
          <w:noProof/>
        </w:rPr>
        <w:t>MWI</w:t>
      </w:r>
      <w:r w:rsidRPr="00C63363">
        <w:rPr>
          <w:rFonts w:eastAsia="Arial"/>
          <w:noProof/>
        </w:rPr>
        <w:t xml:space="preserve"> installations above 20MW</w:t>
      </w:r>
      <w:r>
        <w:rPr>
          <w:rFonts w:eastAsia="Arial"/>
          <w:noProof/>
        </w:rPr>
        <w:t xml:space="preserve"> only</w:t>
      </w:r>
      <w:r w:rsidRPr="00C63363">
        <w:rPr>
          <w:rFonts w:eastAsia="Arial"/>
          <w:noProof/>
        </w:rPr>
        <w:t>.</w:t>
      </w:r>
    </w:p>
    <w:p w14:paraId="06244EE7" w14:textId="77777777" w:rsidR="009010D9" w:rsidRPr="00F86A13" w:rsidRDefault="009010D9" w:rsidP="00C92FA9">
      <w:pPr>
        <w:pStyle w:val="Tabletitle"/>
        <w:rPr>
          <w:noProof/>
        </w:rPr>
      </w:pPr>
      <w:bookmarkStart w:id="810" w:name="_Toc222740719"/>
      <w:bookmarkStart w:id="811" w:name="_Toc234435139"/>
      <w:r w:rsidRPr="00F86A13">
        <w:rPr>
          <w:noProof/>
        </w:rPr>
        <w:t xml:space="preserve">Internal </w:t>
      </w:r>
      <w:r>
        <w:rPr>
          <w:noProof/>
        </w:rPr>
        <w:t xml:space="preserve">Commission </w:t>
      </w:r>
      <w:r w:rsidRPr="00F86A13">
        <w:rPr>
          <w:noProof/>
        </w:rPr>
        <w:t xml:space="preserve">estimates </w:t>
      </w:r>
      <w:r>
        <w:rPr>
          <w:noProof/>
        </w:rPr>
        <w:t xml:space="preserve">(2022) </w:t>
      </w:r>
      <w:r w:rsidRPr="00F86A13">
        <w:rPr>
          <w:noProof/>
        </w:rPr>
        <w:t>for fossil emissions from all types of waste incineration (municipal, hazardous and industrial) in the EU27.</w:t>
      </w:r>
      <w:bookmarkEnd w:id="810"/>
      <w:bookmarkEnd w:id="811"/>
    </w:p>
    <w:tbl>
      <w:tblPr>
        <w:tblStyle w:val="TableAnnex"/>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7579"/>
        <w:gridCol w:w="1031"/>
        <w:gridCol w:w="1457"/>
        <w:gridCol w:w="821"/>
      </w:tblGrid>
      <w:tr w:rsidR="009010D9" w:rsidRPr="005A20A8" w14:paraId="247DB811" w14:textId="77777777">
        <w:trPr>
          <w:cnfStyle w:val="100000000000" w:firstRow="1" w:lastRow="0" w:firstColumn="0" w:lastColumn="0" w:oddVBand="0" w:evenVBand="0" w:oddHBand="0" w:evenHBand="0" w:firstRowFirstColumn="0" w:firstRowLastColumn="0" w:lastRowFirstColumn="0" w:lastRowLastColumn="0"/>
          <w:trHeight w:val="20"/>
          <w:jc w:val="center"/>
        </w:trPr>
        <w:tc>
          <w:tcPr>
            <w:tcW w:w="0" w:type="auto"/>
          </w:tcPr>
          <w:p w14:paraId="39F3B050" w14:textId="77777777" w:rsidR="009010D9" w:rsidRPr="005A20A8" w:rsidRDefault="009010D9">
            <w:pPr>
              <w:spacing w:before="0" w:after="0"/>
              <w:rPr>
                <w:rFonts w:eastAsia="MS PGothic"/>
                <w:noProof/>
                <w:sz w:val="22"/>
                <w:szCs w:val="22"/>
              </w:rPr>
            </w:pPr>
            <w:r w:rsidRPr="005A20A8">
              <w:rPr>
                <w:rFonts w:eastAsia="MS PGothic"/>
                <w:noProof/>
                <w:sz w:val="22"/>
                <w:szCs w:val="22"/>
              </w:rPr>
              <w:t>CO</w:t>
            </w:r>
            <w:r w:rsidRPr="005A20A8">
              <w:rPr>
                <w:rFonts w:eastAsia="MS PGothic"/>
                <w:noProof/>
                <w:sz w:val="22"/>
                <w:szCs w:val="22"/>
                <w:vertAlign w:val="subscript"/>
              </w:rPr>
              <w:t>2</w:t>
            </w:r>
            <w:r w:rsidRPr="005A20A8">
              <w:rPr>
                <w:rFonts w:eastAsia="MS PGothic"/>
                <w:noProof/>
                <w:sz w:val="22"/>
                <w:szCs w:val="22"/>
              </w:rPr>
              <w:t xml:space="preserve"> emissions (ktCO</w:t>
            </w:r>
            <w:r w:rsidRPr="005A20A8">
              <w:rPr>
                <w:rFonts w:eastAsia="MS PGothic"/>
                <w:noProof/>
                <w:sz w:val="22"/>
                <w:szCs w:val="22"/>
                <w:vertAlign w:val="subscript"/>
              </w:rPr>
              <w:t>2</w:t>
            </w:r>
            <w:r w:rsidRPr="005A20A8">
              <w:rPr>
                <w:rFonts w:eastAsia="MS PGothic"/>
                <w:noProof/>
                <w:sz w:val="22"/>
                <w:szCs w:val="22"/>
              </w:rPr>
              <w:t xml:space="preserve">e) </w:t>
            </w:r>
          </w:p>
        </w:tc>
        <w:tc>
          <w:tcPr>
            <w:tcW w:w="0" w:type="auto"/>
          </w:tcPr>
          <w:p w14:paraId="54BFAFF9" w14:textId="77777777" w:rsidR="009010D9" w:rsidRDefault="009010D9">
            <w:pPr>
              <w:spacing w:before="0" w:after="0"/>
              <w:rPr>
                <w:noProof/>
                <w:color w:val="auto"/>
                <w:sz w:val="22"/>
              </w:rPr>
            </w:pPr>
            <w:r>
              <w:rPr>
                <w:noProof/>
                <w:color w:val="auto"/>
                <w:sz w:val="22"/>
              </w:rPr>
              <w:t>EU ETS</w:t>
            </w:r>
          </w:p>
        </w:tc>
        <w:tc>
          <w:tcPr>
            <w:tcW w:w="0" w:type="auto"/>
          </w:tcPr>
          <w:p w14:paraId="58CEC52A" w14:textId="77777777" w:rsidR="009010D9" w:rsidRDefault="009010D9">
            <w:pPr>
              <w:spacing w:before="0" w:after="0"/>
              <w:rPr>
                <w:noProof/>
                <w:color w:val="auto"/>
                <w:sz w:val="22"/>
              </w:rPr>
            </w:pPr>
            <w:r>
              <w:rPr>
                <w:noProof/>
                <w:color w:val="auto"/>
                <w:sz w:val="22"/>
              </w:rPr>
              <w:t>Non-EU ETS</w:t>
            </w:r>
          </w:p>
        </w:tc>
        <w:tc>
          <w:tcPr>
            <w:tcW w:w="0" w:type="auto"/>
          </w:tcPr>
          <w:p w14:paraId="0F6EB0B5" w14:textId="77777777" w:rsidR="009010D9" w:rsidRDefault="009010D9">
            <w:pPr>
              <w:spacing w:before="0" w:after="0"/>
              <w:rPr>
                <w:noProof/>
                <w:color w:val="auto"/>
                <w:sz w:val="22"/>
              </w:rPr>
            </w:pPr>
            <w:r>
              <w:rPr>
                <w:noProof/>
                <w:color w:val="auto"/>
                <w:sz w:val="22"/>
              </w:rPr>
              <w:t>Total</w:t>
            </w:r>
          </w:p>
        </w:tc>
      </w:tr>
      <w:tr w:rsidR="009010D9" w:rsidRPr="005A20A8" w14:paraId="0AC0F571" w14:textId="77777777">
        <w:trPr>
          <w:trHeight w:val="20"/>
          <w:jc w:val="center"/>
        </w:trPr>
        <w:tc>
          <w:tcPr>
            <w:tcW w:w="0" w:type="auto"/>
          </w:tcPr>
          <w:p w14:paraId="060B3361" w14:textId="77777777" w:rsidR="009010D9" w:rsidRPr="005A20A8" w:rsidRDefault="009010D9">
            <w:pPr>
              <w:spacing w:before="0" w:after="0"/>
              <w:rPr>
                <w:rFonts w:eastAsia="MS PGothic"/>
                <w:noProof/>
                <w:sz w:val="22"/>
                <w:szCs w:val="22"/>
              </w:rPr>
            </w:pPr>
            <w:r w:rsidRPr="005A20A8">
              <w:rPr>
                <w:rFonts w:eastAsia="MS PGothic"/>
                <w:noProof/>
                <w:sz w:val="22"/>
                <w:szCs w:val="22"/>
              </w:rPr>
              <w:t xml:space="preserve">Total fossil emissions from all waste incineration (municipal, industrial, hazardous) </w:t>
            </w:r>
          </w:p>
        </w:tc>
        <w:tc>
          <w:tcPr>
            <w:tcW w:w="0" w:type="auto"/>
          </w:tcPr>
          <w:p w14:paraId="76BEC37C" w14:textId="77777777" w:rsidR="009010D9" w:rsidRPr="005A20A8" w:rsidRDefault="009010D9">
            <w:pPr>
              <w:spacing w:before="0" w:after="0"/>
              <w:rPr>
                <w:rFonts w:eastAsia="MS PGothic"/>
                <w:noProof/>
                <w:sz w:val="22"/>
                <w:szCs w:val="22"/>
              </w:rPr>
            </w:pPr>
            <w:r w:rsidRPr="005A20A8">
              <w:rPr>
                <w:rFonts w:eastAsia="MS PGothic"/>
                <w:noProof/>
                <w:sz w:val="22"/>
                <w:szCs w:val="22"/>
              </w:rPr>
              <w:t>22,369</w:t>
            </w:r>
          </w:p>
        </w:tc>
        <w:tc>
          <w:tcPr>
            <w:tcW w:w="0" w:type="auto"/>
          </w:tcPr>
          <w:p w14:paraId="0F5E758B" w14:textId="77777777" w:rsidR="009010D9" w:rsidRPr="005A20A8" w:rsidRDefault="009010D9">
            <w:pPr>
              <w:spacing w:before="0" w:after="0"/>
              <w:rPr>
                <w:rFonts w:eastAsia="MS PGothic"/>
                <w:noProof/>
                <w:sz w:val="22"/>
                <w:szCs w:val="22"/>
              </w:rPr>
            </w:pPr>
            <w:r w:rsidRPr="005A20A8">
              <w:rPr>
                <w:rFonts w:eastAsia="MS PGothic"/>
                <w:noProof/>
                <w:sz w:val="22"/>
                <w:szCs w:val="22"/>
              </w:rPr>
              <w:t>40,636</w:t>
            </w:r>
          </w:p>
        </w:tc>
        <w:tc>
          <w:tcPr>
            <w:tcW w:w="0" w:type="auto"/>
          </w:tcPr>
          <w:p w14:paraId="35D014F6" w14:textId="77777777" w:rsidR="009010D9" w:rsidRPr="005A20A8" w:rsidRDefault="009010D9">
            <w:pPr>
              <w:spacing w:before="0" w:after="0"/>
              <w:rPr>
                <w:rFonts w:eastAsia="MS PGothic"/>
                <w:noProof/>
                <w:sz w:val="22"/>
                <w:szCs w:val="22"/>
              </w:rPr>
            </w:pPr>
            <w:r w:rsidRPr="005A20A8">
              <w:rPr>
                <w:rFonts w:eastAsia="MS PGothic"/>
                <w:noProof/>
                <w:sz w:val="22"/>
                <w:szCs w:val="22"/>
              </w:rPr>
              <w:t>63,005</w:t>
            </w:r>
          </w:p>
        </w:tc>
      </w:tr>
      <w:tr w:rsidR="009010D9" w:rsidRPr="005A20A8" w14:paraId="76C35146" w14:textId="77777777">
        <w:trPr>
          <w:trHeight w:val="20"/>
          <w:jc w:val="center"/>
        </w:trPr>
        <w:tc>
          <w:tcPr>
            <w:tcW w:w="0" w:type="auto"/>
          </w:tcPr>
          <w:p w14:paraId="27949BE3" w14:textId="77777777" w:rsidR="009010D9" w:rsidRPr="005A20A8" w:rsidRDefault="009010D9">
            <w:pPr>
              <w:spacing w:before="0" w:after="0"/>
              <w:rPr>
                <w:rFonts w:eastAsia="MS PGothic"/>
                <w:noProof/>
                <w:sz w:val="22"/>
                <w:szCs w:val="22"/>
              </w:rPr>
            </w:pPr>
            <w:r w:rsidRPr="005A20A8">
              <w:rPr>
                <w:rFonts w:eastAsia="MS PGothic"/>
                <w:noProof/>
                <w:sz w:val="22"/>
                <w:szCs w:val="22"/>
              </w:rPr>
              <w:t>Fossil emissions from incineration of municipal and hazardous waste</w:t>
            </w:r>
          </w:p>
        </w:tc>
        <w:tc>
          <w:tcPr>
            <w:tcW w:w="0" w:type="auto"/>
          </w:tcPr>
          <w:p w14:paraId="0B2D10E9" w14:textId="77777777" w:rsidR="009010D9" w:rsidRPr="005A20A8" w:rsidRDefault="009010D9">
            <w:pPr>
              <w:spacing w:before="0" w:after="0"/>
              <w:rPr>
                <w:rFonts w:eastAsia="MS PGothic"/>
                <w:noProof/>
                <w:sz w:val="22"/>
                <w:szCs w:val="22"/>
              </w:rPr>
            </w:pPr>
            <w:r w:rsidRPr="005A20A8">
              <w:rPr>
                <w:rFonts w:eastAsia="MS PGothic"/>
                <w:noProof/>
                <w:sz w:val="22"/>
                <w:szCs w:val="22"/>
              </w:rPr>
              <w:t>12,928</w:t>
            </w:r>
            <w:r w:rsidRPr="005A20A8">
              <w:rPr>
                <w:rFonts w:eastAsia="MS PGothic"/>
                <w:noProof/>
                <w:sz w:val="22"/>
                <w:szCs w:val="22"/>
                <w:vertAlign w:val="superscript"/>
              </w:rPr>
              <w:footnoteReference w:id="150"/>
            </w:r>
          </w:p>
        </w:tc>
        <w:tc>
          <w:tcPr>
            <w:tcW w:w="0" w:type="auto"/>
          </w:tcPr>
          <w:p w14:paraId="5AEE6C05" w14:textId="77777777" w:rsidR="009010D9" w:rsidRPr="005A20A8" w:rsidRDefault="009010D9">
            <w:pPr>
              <w:spacing w:before="0" w:after="0"/>
              <w:rPr>
                <w:rFonts w:eastAsia="MS PGothic"/>
                <w:noProof/>
                <w:sz w:val="22"/>
                <w:szCs w:val="22"/>
                <w:vertAlign w:val="superscript"/>
              </w:rPr>
            </w:pPr>
            <w:r w:rsidRPr="005A20A8">
              <w:rPr>
                <w:rFonts w:eastAsia="MS PGothic"/>
                <w:noProof/>
                <w:sz w:val="22"/>
                <w:szCs w:val="22"/>
              </w:rPr>
              <w:t>31,332</w:t>
            </w:r>
          </w:p>
        </w:tc>
        <w:tc>
          <w:tcPr>
            <w:tcW w:w="0" w:type="auto"/>
          </w:tcPr>
          <w:p w14:paraId="07B2F08F" w14:textId="77777777" w:rsidR="009010D9" w:rsidRPr="005A20A8" w:rsidRDefault="009010D9">
            <w:pPr>
              <w:spacing w:before="0" w:after="0"/>
              <w:rPr>
                <w:rFonts w:eastAsia="MS PGothic"/>
                <w:noProof/>
                <w:sz w:val="22"/>
                <w:szCs w:val="22"/>
              </w:rPr>
            </w:pPr>
            <w:r w:rsidRPr="005A20A8">
              <w:rPr>
                <w:rFonts w:eastAsia="MS PGothic"/>
                <w:noProof/>
                <w:sz w:val="22"/>
                <w:szCs w:val="22"/>
              </w:rPr>
              <w:t>44,260</w:t>
            </w:r>
          </w:p>
        </w:tc>
      </w:tr>
      <w:tr w:rsidR="009010D9" w:rsidRPr="005A20A8" w14:paraId="3443DD2E" w14:textId="77777777">
        <w:trPr>
          <w:trHeight w:val="20"/>
          <w:jc w:val="center"/>
        </w:trPr>
        <w:tc>
          <w:tcPr>
            <w:tcW w:w="0" w:type="auto"/>
          </w:tcPr>
          <w:p w14:paraId="3E11D487" w14:textId="77777777" w:rsidR="009010D9" w:rsidRPr="005A20A8" w:rsidRDefault="009010D9">
            <w:pPr>
              <w:spacing w:before="0" w:after="0"/>
              <w:rPr>
                <w:rFonts w:eastAsia="MS PGothic"/>
                <w:noProof/>
                <w:sz w:val="22"/>
                <w:szCs w:val="22"/>
              </w:rPr>
            </w:pPr>
            <w:r w:rsidRPr="005A20A8">
              <w:rPr>
                <w:rFonts w:eastAsia="MS PGothic"/>
                <w:noProof/>
                <w:sz w:val="22"/>
                <w:szCs w:val="22"/>
              </w:rPr>
              <w:t>Fossil emissions from incineration of industrial waste</w:t>
            </w:r>
          </w:p>
        </w:tc>
        <w:tc>
          <w:tcPr>
            <w:tcW w:w="0" w:type="auto"/>
          </w:tcPr>
          <w:p w14:paraId="4D1320AD" w14:textId="77777777" w:rsidR="009010D9" w:rsidRPr="005A20A8" w:rsidRDefault="009010D9">
            <w:pPr>
              <w:spacing w:before="0" w:after="0"/>
              <w:rPr>
                <w:rFonts w:eastAsia="MS PGothic"/>
                <w:noProof/>
                <w:sz w:val="22"/>
                <w:szCs w:val="22"/>
              </w:rPr>
            </w:pPr>
            <w:r w:rsidRPr="005A20A8">
              <w:rPr>
                <w:rFonts w:eastAsia="MS PGothic"/>
                <w:noProof/>
                <w:sz w:val="22"/>
                <w:szCs w:val="22"/>
              </w:rPr>
              <w:t>9,441</w:t>
            </w:r>
          </w:p>
        </w:tc>
        <w:tc>
          <w:tcPr>
            <w:tcW w:w="0" w:type="auto"/>
          </w:tcPr>
          <w:p w14:paraId="71D95A52" w14:textId="77777777" w:rsidR="009010D9" w:rsidRPr="005A20A8" w:rsidRDefault="009010D9">
            <w:pPr>
              <w:spacing w:before="0" w:after="0"/>
              <w:rPr>
                <w:rFonts w:eastAsia="MS PGothic"/>
                <w:noProof/>
                <w:sz w:val="22"/>
                <w:szCs w:val="22"/>
              </w:rPr>
            </w:pPr>
            <w:r w:rsidRPr="005A20A8">
              <w:rPr>
                <w:rFonts w:eastAsia="MS PGothic"/>
                <w:noProof/>
                <w:sz w:val="22"/>
                <w:szCs w:val="22"/>
              </w:rPr>
              <w:t>9,304</w:t>
            </w:r>
          </w:p>
        </w:tc>
        <w:tc>
          <w:tcPr>
            <w:tcW w:w="0" w:type="auto"/>
          </w:tcPr>
          <w:p w14:paraId="3A6AF4F3" w14:textId="77777777" w:rsidR="009010D9" w:rsidRPr="005A20A8" w:rsidRDefault="009010D9">
            <w:pPr>
              <w:spacing w:before="0" w:after="0"/>
              <w:rPr>
                <w:rFonts w:eastAsia="MS PGothic"/>
                <w:noProof/>
                <w:sz w:val="22"/>
                <w:szCs w:val="22"/>
              </w:rPr>
            </w:pPr>
            <w:r w:rsidRPr="005A20A8">
              <w:rPr>
                <w:rFonts w:eastAsia="MS PGothic"/>
                <w:noProof/>
                <w:sz w:val="22"/>
                <w:szCs w:val="22"/>
              </w:rPr>
              <w:t>18,746</w:t>
            </w:r>
          </w:p>
        </w:tc>
      </w:tr>
    </w:tbl>
    <w:p w14:paraId="2A88EB74" w14:textId="77777777" w:rsidR="009010D9" w:rsidRDefault="009010D9">
      <w:pPr>
        <w:pStyle w:val="NoSpacing"/>
        <w:jc w:val="both"/>
        <w:rPr>
          <w:rFonts w:ascii="Times New Roman" w:hAnsi="Times New Roman" w:cs="Times New Roman"/>
          <w:noProof/>
        </w:rPr>
      </w:pPr>
    </w:p>
    <w:p w14:paraId="61BD8E64" w14:textId="77777777" w:rsidR="009010D9" w:rsidRPr="001E7B30" w:rsidRDefault="009010D9">
      <w:pPr>
        <w:rPr>
          <w:rFonts w:eastAsia="Arial"/>
          <w:noProof/>
        </w:rPr>
      </w:pPr>
      <w:r w:rsidRPr="00F86A13">
        <w:rPr>
          <w:rFonts w:eastAsia="Arial"/>
          <w:noProof/>
          <w:u w:val="single"/>
        </w:rPr>
        <w:t>Data limitations:</w:t>
      </w:r>
      <w:r>
        <w:rPr>
          <w:rFonts w:eastAsia="Arial"/>
          <w:noProof/>
        </w:rPr>
        <w:t xml:space="preserve"> No disaggregated emissions from </w:t>
      </w:r>
      <w:r w:rsidRPr="00E056BF">
        <w:rPr>
          <w:rFonts w:eastAsia="Arial"/>
          <w:noProof/>
        </w:rPr>
        <w:t xml:space="preserve">municipal and hazardous waste incineration installations, </w:t>
      </w:r>
      <w:r>
        <w:rPr>
          <w:rFonts w:eastAsia="Arial"/>
          <w:noProof/>
        </w:rPr>
        <w:t xml:space="preserve">from </w:t>
      </w:r>
      <w:r w:rsidRPr="00E056BF">
        <w:rPr>
          <w:rFonts w:eastAsia="Arial"/>
          <w:noProof/>
        </w:rPr>
        <w:t xml:space="preserve">installations above and below the 20MW threshold, </w:t>
      </w:r>
      <w:r>
        <w:rPr>
          <w:rFonts w:eastAsia="Arial"/>
          <w:noProof/>
        </w:rPr>
        <w:t>and</w:t>
      </w:r>
      <w:r w:rsidRPr="00E056BF">
        <w:rPr>
          <w:rFonts w:eastAsia="Arial"/>
          <w:noProof/>
        </w:rPr>
        <w:t xml:space="preserve"> </w:t>
      </w:r>
      <w:r>
        <w:rPr>
          <w:rFonts w:eastAsia="Arial"/>
          <w:noProof/>
        </w:rPr>
        <w:t xml:space="preserve">from </w:t>
      </w:r>
      <w:r w:rsidRPr="00E056BF">
        <w:rPr>
          <w:rFonts w:eastAsia="Arial"/>
          <w:noProof/>
        </w:rPr>
        <w:t>incineration and co-incineration installations</w:t>
      </w:r>
      <w:r>
        <w:rPr>
          <w:rFonts w:eastAsia="Arial"/>
          <w:noProof/>
        </w:rPr>
        <w:t>.</w:t>
      </w:r>
    </w:p>
    <w:p w14:paraId="400C7695" w14:textId="77777777" w:rsidR="009010D9" w:rsidRPr="00A37205" w:rsidRDefault="009010D9" w:rsidP="0018561F">
      <w:pPr>
        <w:pStyle w:val="Body"/>
        <w:numPr>
          <w:ilvl w:val="0"/>
          <w:numId w:val="48"/>
        </w:numPr>
        <w:rPr>
          <w:rFonts w:ascii="Times New Roman" w:hAnsi="Times New Roman"/>
          <w:b/>
          <w:bCs/>
          <w:noProof/>
        </w:rPr>
      </w:pPr>
      <w:r w:rsidRPr="00A37205">
        <w:rPr>
          <w:rFonts w:ascii="Times New Roman" w:hAnsi="Times New Roman"/>
          <w:b/>
          <w:bCs/>
          <w:noProof/>
        </w:rPr>
        <w:t xml:space="preserve">Estimates of emissions from municipal waste incineration installations below the 20MW threshold </w:t>
      </w:r>
    </w:p>
    <w:p w14:paraId="392E0D51" w14:textId="77777777" w:rsidR="009010D9" w:rsidRPr="00C63363" w:rsidRDefault="009010D9">
      <w:pPr>
        <w:pStyle w:val="Body"/>
        <w:rPr>
          <w:rFonts w:ascii="Times New Roman" w:hAnsi="Times New Roman"/>
          <w:noProof/>
        </w:rPr>
      </w:pPr>
      <w:r w:rsidRPr="00C63363">
        <w:rPr>
          <w:rFonts w:ascii="Times New Roman" w:hAnsi="Times New Roman"/>
          <w:noProof/>
        </w:rPr>
        <w:t xml:space="preserve">Data on the share of installations below the 20 MW threshold are not readily available, as these were not subject to the monitoring and reporting obligation under the </w:t>
      </w:r>
      <w:r>
        <w:rPr>
          <w:rFonts w:ascii="Times New Roman" w:hAnsi="Times New Roman"/>
          <w:noProof/>
        </w:rPr>
        <w:t>EU ETS</w:t>
      </w:r>
      <w:r w:rsidRPr="00C63363">
        <w:rPr>
          <w:rFonts w:ascii="Times New Roman" w:hAnsi="Times New Roman"/>
          <w:noProof/>
        </w:rPr>
        <w:t xml:space="preserve"> as of 2024. Emissions from municipal waste installations below the 20MW threshold can be approximated </w:t>
      </w:r>
      <w:r w:rsidRPr="0829F498">
        <w:rPr>
          <w:rFonts w:ascii="Times New Roman" w:eastAsiaTheme="minorEastAsia" w:hAnsi="Times New Roman"/>
          <w:noProof/>
          <w:color w:val="242828"/>
        </w:rPr>
        <w:t>based on the nominal capacity of municipal waste-to-energy installations not reported under the MRV obligation</w:t>
      </w:r>
      <w:r w:rsidRPr="0829F498">
        <w:rPr>
          <w:rFonts w:ascii="Times New Roman" w:eastAsiaTheme="minorEastAsia" w:hAnsi="Times New Roman"/>
          <w:noProof/>
          <w:color w:val="242828"/>
          <w:vertAlign w:val="superscript"/>
        </w:rPr>
        <w:footnoteReference w:id="151"/>
      </w:r>
      <w:r w:rsidRPr="0829F498">
        <w:rPr>
          <w:rFonts w:ascii="Times New Roman" w:eastAsiaTheme="minorEastAsia" w:hAnsi="Times New Roman"/>
          <w:noProof/>
          <w:color w:val="242828"/>
          <w:vertAlign w:val="superscript"/>
        </w:rPr>
        <w:t>,</w:t>
      </w:r>
      <w:r w:rsidRPr="0829F498">
        <w:rPr>
          <w:rFonts w:ascii="Times New Roman" w:eastAsiaTheme="minorEastAsia" w:hAnsi="Times New Roman"/>
          <w:noProof/>
          <w:color w:val="242828"/>
          <w:vertAlign w:val="superscript"/>
        </w:rPr>
        <w:footnoteReference w:id="152"/>
      </w:r>
      <w:r w:rsidRPr="0829F498">
        <w:rPr>
          <w:rFonts w:ascii="Times New Roman" w:eastAsiaTheme="minorEastAsia" w:hAnsi="Times New Roman"/>
          <w:noProof/>
          <w:color w:val="242828"/>
        </w:rPr>
        <w:t>. On this basis, 53 installations (EEA) were identified with total fossil-based emissions of maximum 1.05 MtCO2e</w:t>
      </w:r>
      <w:r w:rsidRPr="0829F498">
        <w:rPr>
          <w:rFonts w:ascii="Times New Roman" w:eastAsiaTheme="minorEastAsia" w:hAnsi="Times New Roman"/>
          <w:noProof/>
          <w:color w:val="242828"/>
          <w:vertAlign w:val="superscript"/>
        </w:rPr>
        <w:footnoteReference w:id="153"/>
      </w:r>
      <w:r w:rsidRPr="0829F498">
        <w:rPr>
          <w:rFonts w:ascii="Times New Roman" w:eastAsiaTheme="minorEastAsia" w:hAnsi="Times New Roman"/>
          <w:noProof/>
          <w:color w:val="242828"/>
        </w:rPr>
        <w:t>, or an additional 2.7% on top of the total reported emissions under the EU ETS MRV, given the limited capacity of these installations.</w:t>
      </w:r>
      <w:r w:rsidRPr="0829F498">
        <w:rPr>
          <w:rFonts w:ascii="Times New Roman" w:eastAsiaTheme="minorEastAsia" w:hAnsi="Times New Roman"/>
          <w:noProof/>
          <w:color w:val="242828"/>
          <w:vertAlign w:val="superscript"/>
        </w:rPr>
        <w:footnoteReference w:id="154"/>
      </w:r>
      <w:r w:rsidRPr="0829F498">
        <w:rPr>
          <w:rFonts w:ascii="Times New Roman" w:eastAsiaTheme="minorEastAsia" w:hAnsi="Times New Roman"/>
          <w:noProof/>
          <w:color w:val="242828"/>
        </w:rPr>
        <w:t xml:space="preserve"> Moreover, this figure is an overestimate as approximated emissions are based on nominal instead of actual incineration volumes, which are generally lower. On the other hand, this figure does not cover any MWI installations without energy recovery, although no evidence was found on such installations and these would be expected to represent only a minor share of emissions given the limited total emissions of this subsector (2.07 MtCO2e in 2023 for all types of waste incineration without energy recovery combined). </w:t>
      </w:r>
    </w:p>
    <w:p w14:paraId="36C1B870" w14:textId="77777777" w:rsidR="009010D9" w:rsidRPr="00A37205" w:rsidRDefault="009010D9" w:rsidP="0018561F">
      <w:pPr>
        <w:pStyle w:val="Body"/>
        <w:numPr>
          <w:ilvl w:val="0"/>
          <w:numId w:val="48"/>
        </w:numPr>
        <w:rPr>
          <w:rFonts w:ascii="Times New Roman" w:hAnsi="Times New Roman"/>
          <w:b/>
          <w:bCs/>
          <w:noProof/>
        </w:rPr>
      </w:pPr>
      <w:r w:rsidRPr="00A37205">
        <w:rPr>
          <w:rFonts w:ascii="Times New Roman" w:hAnsi="Times New Roman"/>
          <w:b/>
          <w:bCs/>
          <w:noProof/>
        </w:rPr>
        <w:t>Estimates on emissions from hazardous waste incineration</w:t>
      </w:r>
    </w:p>
    <w:p w14:paraId="40CD7CA0" w14:textId="77777777" w:rsidR="009010D9" w:rsidRDefault="009010D9">
      <w:pPr>
        <w:pStyle w:val="Body"/>
        <w:rPr>
          <w:rFonts w:ascii="Times New Roman" w:hAnsi="Times New Roman"/>
          <w:noProof/>
        </w:rPr>
      </w:pPr>
      <w:r w:rsidRPr="00C63363">
        <w:rPr>
          <w:rFonts w:ascii="Times New Roman" w:hAnsi="Times New Roman"/>
          <w:noProof/>
        </w:rPr>
        <w:t xml:space="preserve">As identified in Section </w:t>
      </w:r>
      <w:r>
        <w:rPr>
          <w:rFonts w:ascii="Times New Roman" w:hAnsi="Times New Roman"/>
          <w:noProof/>
        </w:rPr>
        <w:t>A</w:t>
      </w:r>
      <w:r w:rsidRPr="00C63363">
        <w:rPr>
          <w:rFonts w:ascii="Times New Roman" w:hAnsi="Times New Roman"/>
          <w:noProof/>
        </w:rPr>
        <w:t xml:space="preserve">, detailed data on emissions from hazardous waste incineration in the EU are currently not available. Emissions from hazardous waste incineration can however be estimated based on the volume </w:t>
      </w:r>
      <w:r>
        <w:rPr>
          <w:rFonts w:ascii="Times New Roman" w:hAnsi="Times New Roman"/>
          <w:noProof/>
        </w:rPr>
        <w:t xml:space="preserve">of hazardous waste treated </w:t>
      </w:r>
      <w:r w:rsidRPr="00C63363">
        <w:rPr>
          <w:rFonts w:ascii="Times New Roman" w:hAnsi="Times New Roman"/>
          <w:noProof/>
        </w:rPr>
        <w:t xml:space="preserve">and </w:t>
      </w:r>
      <w:r>
        <w:rPr>
          <w:rFonts w:ascii="Times New Roman" w:hAnsi="Times New Roman"/>
          <w:noProof/>
        </w:rPr>
        <w:t xml:space="preserve">the </w:t>
      </w:r>
      <w:r w:rsidRPr="00C63363">
        <w:rPr>
          <w:rFonts w:ascii="Times New Roman" w:hAnsi="Times New Roman"/>
          <w:noProof/>
        </w:rPr>
        <w:t xml:space="preserve">default emission factor of hazardous waste incineration on the one hand, and by </w:t>
      </w:r>
      <w:r>
        <w:rPr>
          <w:rFonts w:ascii="Times New Roman" w:hAnsi="Times New Roman"/>
          <w:noProof/>
        </w:rPr>
        <w:t>cross analysing</w:t>
      </w:r>
      <w:r w:rsidRPr="00C63363">
        <w:rPr>
          <w:rFonts w:ascii="Times New Roman" w:hAnsi="Times New Roman"/>
          <w:noProof/>
        </w:rPr>
        <w:t xml:space="preserve"> the data sources on </w:t>
      </w:r>
      <w:r>
        <w:rPr>
          <w:rFonts w:ascii="Times New Roman" w:hAnsi="Times New Roman"/>
          <w:noProof/>
        </w:rPr>
        <w:t xml:space="preserve">total </w:t>
      </w:r>
      <w:r w:rsidRPr="00C63363">
        <w:rPr>
          <w:rFonts w:ascii="Times New Roman" w:hAnsi="Times New Roman"/>
          <w:noProof/>
        </w:rPr>
        <w:t xml:space="preserve">waste incineration in Section </w:t>
      </w:r>
      <w:r>
        <w:rPr>
          <w:rFonts w:ascii="Times New Roman" w:hAnsi="Times New Roman"/>
          <w:noProof/>
        </w:rPr>
        <w:t>A.</w:t>
      </w:r>
    </w:p>
    <w:p w14:paraId="2632DB18" w14:textId="77777777" w:rsidR="009010D9" w:rsidRDefault="009010D9">
      <w:pPr>
        <w:pStyle w:val="Body"/>
        <w:rPr>
          <w:rFonts w:ascii="Times New Roman" w:hAnsi="Times New Roman"/>
          <w:noProof/>
        </w:rPr>
      </w:pPr>
      <w:r>
        <w:rPr>
          <w:rFonts w:ascii="Times New Roman" w:hAnsi="Times New Roman"/>
          <w:noProof/>
        </w:rPr>
        <w:t>T</w:t>
      </w:r>
      <w:r w:rsidRPr="00C63363">
        <w:rPr>
          <w:rFonts w:ascii="Times New Roman" w:hAnsi="Times New Roman"/>
          <w:noProof/>
        </w:rPr>
        <w:t xml:space="preserve">he volume of </w:t>
      </w:r>
      <w:r>
        <w:rPr>
          <w:rFonts w:ascii="Times New Roman" w:hAnsi="Times New Roman"/>
          <w:noProof/>
        </w:rPr>
        <w:t xml:space="preserve">hazardous waste incinerated amounted to 10.5 million tonnes of waste </w:t>
      </w:r>
      <w:r w:rsidRPr="00C63363">
        <w:rPr>
          <w:rFonts w:ascii="Times New Roman" w:hAnsi="Times New Roman"/>
          <w:noProof/>
        </w:rPr>
        <w:t>in 2022</w:t>
      </w:r>
      <w:r>
        <w:rPr>
          <w:rFonts w:ascii="Times New Roman" w:hAnsi="Times New Roman"/>
          <w:noProof/>
        </w:rPr>
        <w:t xml:space="preserve"> according to Eurostat,</w:t>
      </w:r>
      <w:r w:rsidRPr="0083603C">
        <w:rPr>
          <w:rFonts w:ascii="Times New Roman" w:hAnsi="Times New Roman"/>
          <w:noProof/>
        </w:rPr>
        <w:t xml:space="preserve"> </w:t>
      </w:r>
      <w:r w:rsidRPr="00C63363">
        <w:rPr>
          <w:rFonts w:ascii="Times New Roman" w:hAnsi="Times New Roman"/>
          <w:noProof/>
        </w:rPr>
        <w:t>of which 6.3 million tonnes with energy recovery and 4.1 million tonnes without energy recovery</w:t>
      </w:r>
      <w:r w:rsidRPr="00C63363">
        <w:rPr>
          <w:rStyle w:val="FootnoteReference"/>
          <w:rFonts w:ascii="Times New Roman" w:hAnsi="Times New Roman"/>
          <w:noProof/>
        </w:rPr>
        <w:footnoteReference w:id="155"/>
      </w:r>
      <w:r>
        <w:rPr>
          <w:rFonts w:ascii="Times New Roman" w:hAnsi="Times New Roman"/>
          <w:noProof/>
        </w:rPr>
        <w:t>. However, these data cover both incineration in dedicated hazardous waste incineration installations, as well as co-incineration in industrial installations (e.g. cement or lime kilns) and fractions of low-hazardous waste incinerated in municipal waste incinerators. The former is currently already covered by the EU ETS, while the latter would be covered under the inclusion of MWI under the EU ETS in line with the existing scope of the MRV obligation for MWI</w:t>
      </w:r>
      <w:r>
        <w:rPr>
          <w:rStyle w:val="FootnoteReference"/>
          <w:rFonts w:ascii="Times New Roman" w:hAnsi="Times New Roman"/>
          <w:noProof/>
        </w:rPr>
        <w:footnoteReference w:id="156"/>
      </w:r>
      <w:r>
        <w:rPr>
          <w:rFonts w:ascii="Times New Roman" w:hAnsi="Times New Roman"/>
          <w:noProof/>
        </w:rPr>
        <w:t xml:space="preserve">. Considering only hazardous waste incinerated in dedicated hazardous waste incineration installations, the volume amounted to only 3.5 million tonnes of waste (Industrial Emissions Portal). </w:t>
      </w:r>
    </w:p>
    <w:p w14:paraId="080C00D0" w14:textId="77777777" w:rsidR="009010D9" w:rsidRDefault="009010D9">
      <w:pPr>
        <w:pStyle w:val="Body"/>
        <w:rPr>
          <w:rFonts w:ascii="Times New Roman" w:hAnsi="Times New Roman"/>
          <w:noProof/>
        </w:rPr>
      </w:pPr>
      <w:r w:rsidRPr="00C63363">
        <w:rPr>
          <w:rFonts w:ascii="Times New Roman" w:hAnsi="Times New Roman"/>
          <w:noProof/>
        </w:rPr>
        <w:t xml:space="preserve">HWI generally has a higher fossil emission intensity (90%) compared to MWI. </w:t>
      </w:r>
      <w:r>
        <w:rPr>
          <w:rFonts w:ascii="Times New Roman" w:hAnsi="Times New Roman"/>
          <w:noProof/>
        </w:rPr>
        <w:t>Combining the</w:t>
      </w:r>
      <w:r w:rsidRPr="00C63363">
        <w:rPr>
          <w:rFonts w:ascii="Times New Roman" w:hAnsi="Times New Roman"/>
          <w:noProof/>
        </w:rPr>
        <w:t xml:space="preserve"> volume of </w:t>
      </w:r>
      <w:r>
        <w:rPr>
          <w:rFonts w:ascii="Times New Roman" w:hAnsi="Times New Roman"/>
          <w:noProof/>
        </w:rPr>
        <w:t>HWI</w:t>
      </w:r>
      <w:r w:rsidRPr="00C63363">
        <w:rPr>
          <w:rFonts w:ascii="Times New Roman" w:hAnsi="Times New Roman"/>
          <w:noProof/>
        </w:rPr>
        <w:t xml:space="preserve"> with the 0.9 fossil-based emission factor </w:t>
      </w:r>
      <w:r>
        <w:rPr>
          <w:rFonts w:ascii="Times New Roman" w:hAnsi="Times New Roman"/>
          <w:noProof/>
        </w:rPr>
        <w:t xml:space="preserve">results in an estimated total fossil fraction of emissions from HWI ranging from ~3.15 MtCO2e (dedicated HWI only) to </w:t>
      </w:r>
      <w:r w:rsidRPr="00C63363">
        <w:rPr>
          <w:rFonts w:ascii="Times New Roman" w:hAnsi="Times New Roman"/>
          <w:noProof/>
        </w:rPr>
        <w:t>~9.5 MtCO2e</w:t>
      </w:r>
      <w:r>
        <w:rPr>
          <w:rFonts w:ascii="Times New Roman" w:hAnsi="Times New Roman"/>
          <w:noProof/>
        </w:rPr>
        <w:t xml:space="preserve"> (all hazardous waste incinerated through various types of incinerators) </w:t>
      </w:r>
      <w:r w:rsidRPr="00C63363">
        <w:rPr>
          <w:rFonts w:ascii="Times New Roman" w:hAnsi="Times New Roman"/>
          <w:noProof/>
        </w:rPr>
        <w:t>of</w:t>
      </w:r>
      <w:r>
        <w:rPr>
          <w:rFonts w:ascii="Times New Roman" w:hAnsi="Times New Roman"/>
          <w:noProof/>
        </w:rPr>
        <w:t xml:space="preserve"> which</w:t>
      </w:r>
      <w:r w:rsidRPr="00C63363">
        <w:rPr>
          <w:rFonts w:ascii="Times New Roman" w:hAnsi="Times New Roman"/>
          <w:noProof/>
        </w:rPr>
        <w:t xml:space="preserve"> ~5.7 MtCO2e fossil emissions from </w:t>
      </w:r>
      <w:r>
        <w:rPr>
          <w:rFonts w:ascii="Times New Roman" w:hAnsi="Times New Roman"/>
          <w:noProof/>
        </w:rPr>
        <w:t>HWI</w:t>
      </w:r>
      <w:r w:rsidRPr="00C63363">
        <w:rPr>
          <w:rFonts w:ascii="Times New Roman" w:hAnsi="Times New Roman"/>
          <w:noProof/>
        </w:rPr>
        <w:t xml:space="preserve"> with energy recovery </w:t>
      </w:r>
      <w:r>
        <w:rPr>
          <w:rFonts w:ascii="Times New Roman" w:hAnsi="Times New Roman"/>
          <w:noProof/>
        </w:rPr>
        <w:t xml:space="preserve">and </w:t>
      </w:r>
      <w:r w:rsidRPr="00C63363">
        <w:rPr>
          <w:rFonts w:ascii="Times New Roman" w:hAnsi="Times New Roman"/>
          <w:noProof/>
        </w:rPr>
        <w:t xml:space="preserve">~3.8 MtCO2e fossil emissions from </w:t>
      </w:r>
      <w:r>
        <w:rPr>
          <w:rFonts w:ascii="Times New Roman" w:hAnsi="Times New Roman"/>
          <w:noProof/>
        </w:rPr>
        <w:t>HWI</w:t>
      </w:r>
      <w:r w:rsidRPr="00C63363">
        <w:rPr>
          <w:rFonts w:ascii="Times New Roman" w:hAnsi="Times New Roman"/>
          <w:noProof/>
        </w:rPr>
        <w:t xml:space="preserve"> without energy recovery</w:t>
      </w:r>
      <w:r>
        <w:rPr>
          <w:rFonts w:ascii="Times New Roman" w:hAnsi="Times New Roman"/>
          <w:noProof/>
        </w:rPr>
        <w:t xml:space="preserve">, with the additional coverage in case of an extension of the EU ETS to HWI in addition to MWI expected to be closer to the first (3.15 MtCO2e). </w:t>
      </w:r>
    </w:p>
    <w:p w14:paraId="4F87DDEA" w14:textId="77777777" w:rsidR="009010D9" w:rsidRPr="00A37205" w:rsidRDefault="009010D9">
      <w:pPr>
        <w:pStyle w:val="Body"/>
        <w:rPr>
          <w:rFonts w:ascii="Times New Roman" w:hAnsi="Times New Roman"/>
          <w:b/>
          <w:bCs/>
          <w:noProof/>
        </w:rPr>
      </w:pPr>
      <w:r>
        <w:rPr>
          <w:rFonts w:ascii="Times New Roman" w:hAnsi="Times New Roman"/>
          <w:b/>
          <w:bCs/>
          <w:noProof/>
        </w:rPr>
        <w:t xml:space="preserve">D. </w:t>
      </w:r>
      <w:r w:rsidRPr="00A37205">
        <w:rPr>
          <w:rFonts w:ascii="Times New Roman" w:hAnsi="Times New Roman"/>
          <w:b/>
          <w:bCs/>
          <w:noProof/>
        </w:rPr>
        <w:t>Data on emissions from landfilling</w:t>
      </w:r>
    </w:p>
    <w:p w14:paraId="2A59363F" w14:textId="77777777" w:rsidR="009010D9" w:rsidRPr="00D52F17" w:rsidRDefault="009010D9">
      <w:pPr>
        <w:pStyle w:val="Body"/>
        <w:rPr>
          <w:rFonts w:ascii="Times New Roman" w:hAnsi="Times New Roman"/>
          <w:i/>
          <w:noProof/>
        </w:rPr>
      </w:pPr>
      <w:r>
        <w:rPr>
          <w:rFonts w:ascii="Times New Roman" w:hAnsi="Times New Roman"/>
          <w:i/>
          <w:noProof/>
        </w:rPr>
        <w:t>UNFCCC Inventory Data</w:t>
      </w:r>
    </w:p>
    <w:p w14:paraId="3B82D95E" w14:textId="77777777" w:rsidR="009010D9" w:rsidRPr="00840B66" w:rsidRDefault="009010D9">
      <w:pPr>
        <w:pStyle w:val="Body"/>
        <w:rPr>
          <w:rFonts w:ascii="Times New Roman" w:hAnsi="Times New Roman"/>
          <w:noProof/>
        </w:rPr>
      </w:pPr>
      <w:r w:rsidRPr="00840B66">
        <w:rPr>
          <w:rFonts w:ascii="Times New Roman" w:hAnsi="Times New Roman"/>
          <w:noProof/>
        </w:rPr>
        <w:t>Member States collectively reported 65.3 Mt CO</w:t>
      </w:r>
      <w:r w:rsidRPr="00840B66">
        <w:rPr>
          <w:rFonts w:ascii="Times New Roman" w:hAnsi="Times New Roman"/>
          <w:noProof/>
        </w:rPr>
        <w:softHyphen/>
      </w:r>
      <w:r w:rsidRPr="00840B66">
        <w:rPr>
          <w:rFonts w:ascii="Times New Roman" w:hAnsi="Times New Roman"/>
          <w:noProof/>
          <w:vertAlign w:val="subscript"/>
        </w:rPr>
        <w:t>2</w:t>
      </w:r>
      <w:r w:rsidRPr="00840B66">
        <w:rPr>
          <w:rFonts w:ascii="Times New Roman" w:hAnsi="Times New Roman"/>
          <w:noProof/>
        </w:rPr>
        <w:t xml:space="preserve">e emissions in 2023 from </w:t>
      </w:r>
      <w:r>
        <w:rPr>
          <w:rFonts w:ascii="Times New Roman" w:hAnsi="Times New Roman"/>
          <w:noProof/>
        </w:rPr>
        <w:t xml:space="preserve">all solid waste disposed in </w:t>
      </w:r>
      <w:r w:rsidRPr="00840B66">
        <w:rPr>
          <w:rFonts w:ascii="Times New Roman" w:hAnsi="Times New Roman"/>
          <w:noProof/>
        </w:rPr>
        <w:t xml:space="preserve">‘managed waste disposal sites’ and a further 8.6 Mt CO2e from ‘unmanaged’ waste disposal sites or illegal activities. </w:t>
      </w:r>
      <w:r w:rsidRPr="00E15018">
        <w:rPr>
          <w:rFonts w:ascii="Times New Roman" w:hAnsi="Times New Roman"/>
          <w:noProof/>
        </w:rPr>
        <w:t>Municipal waste represented around two fifths of all solid waste landfilled in the EU27 (52 out of 137 million tonnes of solid waste landfilled in 2023), but no detailed information is reported on the corresponding share of emissions. Landfill emissions have decreased by</w:t>
      </w:r>
      <w:r>
        <w:rPr>
          <w:rFonts w:ascii="Times New Roman" w:hAnsi="Times New Roman"/>
          <w:noProof/>
        </w:rPr>
        <w:t xml:space="preserve"> 55% from 132.3 Mt CO2e since 1990 and </w:t>
      </w:r>
      <w:r w:rsidRPr="00E15018">
        <w:rPr>
          <w:rFonts w:ascii="Times New Roman" w:hAnsi="Times New Roman"/>
          <w:noProof/>
        </w:rPr>
        <w:t xml:space="preserve">25% from 99.4 Mt CO2e since 2010, </w:t>
      </w:r>
      <w:r>
        <w:rPr>
          <w:rFonts w:ascii="Times New Roman" w:hAnsi="Times New Roman"/>
          <w:noProof/>
        </w:rPr>
        <w:t>primarily</w:t>
      </w:r>
      <w:r w:rsidRPr="00E15018">
        <w:rPr>
          <w:rFonts w:ascii="Times New Roman" w:hAnsi="Times New Roman"/>
          <w:noProof/>
        </w:rPr>
        <w:t xml:space="preserve"> due to </w:t>
      </w:r>
      <w:r>
        <w:rPr>
          <w:rFonts w:ascii="Times New Roman" w:hAnsi="Times New Roman"/>
          <w:noProof/>
        </w:rPr>
        <w:t>a reduction in</w:t>
      </w:r>
      <w:r w:rsidRPr="00E15018">
        <w:rPr>
          <w:rFonts w:ascii="Times New Roman" w:hAnsi="Times New Roman"/>
          <w:noProof/>
        </w:rPr>
        <w:t xml:space="preserve"> biodegradable waste </w:t>
      </w:r>
      <w:r>
        <w:rPr>
          <w:rFonts w:ascii="Times New Roman" w:hAnsi="Times New Roman"/>
          <w:noProof/>
        </w:rPr>
        <w:t>being landfilled</w:t>
      </w:r>
      <w:r w:rsidRPr="00E15018">
        <w:rPr>
          <w:rFonts w:ascii="Times New Roman" w:hAnsi="Times New Roman"/>
          <w:noProof/>
        </w:rPr>
        <w:t xml:space="preserve"> and </w:t>
      </w:r>
      <w:r>
        <w:rPr>
          <w:rFonts w:ascii="Times New Roman" w:hAnsi="Times New Roman"/>
          <w:noProof/>
        </w:rPr>
        <w:t>a significant increase in landfill</w:t>
      </w:r>
      <w:r w:rsidRPr="00E15018">
        <w:rPr>
          <w:rFonts w:ascii="Times New Roman" w:hAnsi="Times New Roman"/>
          <w:noProof/>
        </w:rPr>
        <w:t xml:space="preserve"> methane recovery and flaring. </w:t>
      </w:r>
      <w:r w:rsidRPr="00840B66">
        <w:rPr>
          <w:rFonts w:ascii="Times New Roman" w:hAnsi="Times New Roman"/>
          <w:noProof/>
        </w:rPr>
        <w:t>A smaller number of emissions are also emitted from sectors such as ‘uncategorised waste disposal sites’ and ‘open burning of waste’. The data reported in the UNFCCC GHG inventory cover historical emissions resulting from the decay of waste disposed in the past</w:t>
      </w:r>
      <w:r w:rsidRPr="00840B66">
        <w:rPr>
          <w:rStyle w:val="FootnoteReference"/>
          <w:rFonts w:ascii="Times New Roman" w:hAnsi="Times New Roman"/>
          <w:noProof/>
        </w:rPr>
        <w:footnoteReference w:id="157"/>
      </w:r>
      <w:r w:rsidRPr="00840B66">
        <w:rPr>
          <w:rFonts w:ascii="Times New Roman" w:hAnsi="Times New Roman"/>
          <w:noProof/>
        </w:rPr>
        <w:t xml:space="preserve">. </w:t>
      </w:r>
    </w:p>
    <w:p w14:paraId="25D9B3C2" w14:textId="77777777" w:rsidR="009010D9" w:rsidRPr="00D3492E" w:rsidRDefault="009010D9">
      <w:pPr>
        <w:pStyle w:val="Body"/>
        <w:rPr>
          <w:rFonts w:ascii="Times New Roman" w:hAnsi="Times New Roman"/>
          <w:i/>
          <w:noProof/>
        </w:rPr>
      </w:pPr>
      <w:r w:rsidRPr="001F6939">
        <w:rPr>
          <w:rFonts w:ascii="Times New Roman" w:hAnsi="Times New Roman"/>
          <w:i/>
          <w:noProof/>
        </w:rPr>
        <w:t>Estimates using emissions factors</w:t>
      </w:r>
    </w:p>
    <w:p w14:paraId="2BD1CD54" w14:textId="180D8659" w:rsidR="009010D9" w:rsidRDefault="009010D9">
      <w:pPr>
        <w:pStyle w:val="Body"/>
        <w:rPr>
          <w:rFonts w:ascii="Times New Roman" w:hAnsi="Times New Roman"/>
          <w:noProof/>
        </w:rPr>
      </w:pPr>
      <w:r w:rsidRPr="00840B66">
        <w:rPr>
          <w:rFonts w:ascii="Times New Roman" w:hAnsi="Times New Roman"/>
          <w:noProof/>
        </w:rPr>
        <w:t xml:space="preserve">Emissions from landfilling can also be estimated using data on the tonnes of waste landfilled in the EU, combined with an emission intensity factor. In 2022, 137 million tonnes of </w:t>
      </w:r>
      <w:r w:rsidR="0EDAB371" w:rsidRPr="34BC0180">
        <w:rPr>
          <w:rFonts w:ascii="Times New Roman" w:hAnsi="Times New Roman"/>
          <w:noProof/>
        </w:rPr>
        <w:t xml:space="preserve">solid </w:t>
      </w:r>
      <w:r w:rsidRPr="34BC0180">
        <w:rPr>
          <w:rFonts w:ascii="Times New Roman" w:hAnsi="Times New Roman"/>
          <w:noProof/>
        </w:rPr>
        <w:t>waste was disposed in landfills in the EU. Using an indicative value of 0.6 tonne CO2eq/tonne of residual waste treated in conventional landfill with flaring</w:t>
      </w:r>
      <w:r w:rsidRPr="34BC0180">
        <w:rPr>
          <w:rStyle w:val="FootnoteReference"/>
          <w:rFonts w:ascii="Times New Roman" w:hAnsi="Times New Roman"/>
          <w:noProof/>
        </w:rPr>
        <w:footnoteReference w:id="158"/>
      </w:r>
      <w:r w:rsidRPr="34BC0180">
        <w:rPr>
          <w:rFonts w:ascii="Times New Roman" w:hAnsi="Times New Roman"/>
          <w:noProof/>
        </w:rPr>
        <w:t xml:space="preserve">, which can be considered the technological level in the middle between landfills without flaring and any type of energy recovery at all on one end and highly engineered landfills with methane capture and energy recovery on the other, the resulting estimate of landfill emissions </w:t>
      </w:r>
      <w:r w:rsidR="47ED9887" w:rsidRPr="34BC0180">
        <w:rPr>
          <w:rFonts w:ascii="Times New Roman" w:hAnsi="Times New Roman"/>
          <w:noProof/>
        </w:rPr>
        <w:t xml:space="preserve">for solid waste </w:t>
      </w:r>
      <w:r w:rsidRPr="34BC0180">
        <w:rPr>
          <w:rFonts w:ascii="Times New Roman" w:hAnsi="Times New Roman"/>
          <w:noProof/>
        </w:rPr>
        <w:t xml:space="preserve">in 2022 would be 82.2Mt CO2 eq. </w:t>
      </w:r>
      <w:r w:rsidR="14579C7B" w:rsidRPr="34BC0180">
        <w:rPr>
          <w:rFonts w:ascii="Times New Roman" w:hAnsi="Times New Roman"/>
          <w:noProof/>
        </w:rPr>
        <w:t xml:space="preserve">52 million tonnes of the 137 million tonnes of solid waste were municipal solid waste, which translates into an estimated 31.2Mt CO2 eq for municipal waste landfill emissions in 2022. </w:t>
      </w:r>
      <w:r w:rsidRPr="34BC0180">
        <w:rPr>
          <w:rFonts w:ascii="Times New Roman" w:hAnsi="Times New Roman"/>
          <w:noProof/>
        </w:rPr>
        <w:t>This estimate covers a different scope of emissions compared to the UNFCCC inventory data, providing an estimate of ‘future’ emissions from the waste disposed in a landfill in a given year (assuming all incorporated emissions are released in one year) but not considering emissions resulting from past disposal in landfills.</w:t>
      </w:r>
    </w:p>
    <w:p w14:paraId="2F13135B" w14:textId="77777777" w:rsidR="00CC4F87" w:rsidRDefault="009010D9">
      <w:pPr>
        <w:pStyle w:val="Heading2COM"/>
        <w:numPr>
          <w:ilvl w:val="0"/>
          <w:numId w:val="0"/>
        </w:numPr>
        <w:ind w:left="792" w:hanging="432"/>
        <w:outlineLvl w:val="2"/>
        <w15:collapsed w:val="0"/>
        <w:rPr>
          <w:noProof/>
          <w:lang w:val="en-US" w:eastAsia="en-GB"/>
        </w:rPr>
      </w:pPr>
      <w:bookmarkStart w:id="812" w:name="_Toc230861561"/>
      <w:bookmarkStart w:id="813" w:name="_Toc232751183"/>
      <w:r w:rsidRPr="00A43785">
        <w:rPr>
          <w:noProof/>
          <w:lang w:val="en-US" w:eastAsia="en-GB"/>
        </w:rPr>
        <w:t xml:space="preserve">Appendix 2: </w:t>
      </w:r>
      <w:r>
        <w:rPr>
          <w:noProof/>
          <w:lang w:val="en-US" w:eastAsia="en-GB"/>
        </w:rPr>
        <w:t xml:space="preserve">Selected </w:t>
      </w:r>
      <w:r w:rsidRPr="00A43785">
        <w:rPr>
          <w:noProof/>
          <w:lang w:val="en-US" w:eastAsia="en-GB"/>
        </w:rPr>
        <w:t xml:space="preserve">case studies on </w:t>
      </w:r>
      <w:r>
        <w:rPr>
          <w:noProof/>
          <w:lang w:val="en-US" w:eastAsia="en-GB"/>
        </w:rPr>
        <w:t xml:space="preserve">emissions </w:t>
      </w:r>
      <w:r w:rsidRPr="00A43785">
        <w:rPr>
          <w:noProof/>
          <w:lang w:val="en-US" w:eastAsia="en-GB"/>
        </w:rPr>
        <w:t>abatement options</w:t>
      </w:r>
      <w:r>
        <w:rPr>
          <w:noProof/>
          <w:lang w:val="en-US" w:eastAsia="en-GB"/>
        </w:rPr>
        <w:t xml:space="preserve"> for waste incineration and landfilling</w:t>
      </w:r>
      <w:bookmarkEnd w:id="812"/>
      <w:bookmarkEnd w:id="813"/>
    </w:p>
    <w:p w14:paraId="06FE6D62" w14:textId="77777777" w:rsidR="009010D9" w:rsidRPr="00A37205" w:rsidRDefault="009010D9">
      <w:pPr>
        <w:pStyle w:val="Body"/>
        <w:rPr>
          <w:rFonts w:ascii="Times New Roman" w:hAnsi="Times New Roman"/>
          <w:b/>
          <w:bCs/>
          <w:noProof/>
        </w:rPr>
      </w:pPr>
      <w:r w:rsidRPr="00A43785">
        <w:rPr>
          <w:rFonts w:ascii="Times New Roman" w:hAnsi="Times New Roman"/>
          <w:b/>
          <w:bCs/>
          <w:noProof/>
        </w:rPr>
        <w:t>Mixed Waste Sorting (MWS)</w:t>
      </w:r>
    </w:p>
    <w:p w14:paraId="69B702D2" w14:textId="77777777" w:rsidR="009010D9" w:rsidRPr="00A43785" w:rsidRDefault="009010D9" w:rsidP="0018561F">
      <w:pPr>
        <w:pStyle w:val="Body"/>
        <w:numPr>
          <w:ilvl w:val="0"/>
          <w:numId w:val="45"/>
        </w:numPr>
        <w:rPr>
          <w:rFonts w:ascii="Times New Roman" w:eastAsiaTheme="minorHAnsi" w:hAnsi="Times New Roman"/>
          <w:noProof/>
        </w:rPr>
      </w:pPr>
      <w:r w:rsidRPr="006F1B7D">
        <w:rPr>
          <w:rFonts w:ascii="Times New Roman" w:hAnsi="Times New Roman"/>
          <w:b/>
          <w:bCs/>
          <w:noProof/>
          <w:u w:val="single"/>
        </w:rPr>
        <w:t xml:space="preserve">Case Study 1 </w:t>
      </w:r>
      <w:r>
        <w:rPr>
          <w:rFonts w:ascii="Times New Roman" w:hAnsi="Times New Roman"/>
          <w:noProof/>
        </w:rPr>
        <w:t xml:space="preserve">– </w:t>
      </w:r>
      <w:r w:rsidRPr="00A43785">
        <w:rPr>
          <w:rFonts w:ascii="Times New Roman" w:hAnsi="Times New Roman"/>
          <w:noProof/>
        </w:rPr>
        <w:t xml:space="preserve">The </w:t>
      </w:r>
      <w:r w:rsidRPr="00A43785">
        <w:rPr>
          <w:rFonts w:ascii="Times New Roman" w:hAnsi="Times New Roman"/>
          <w:b/>
          <w:bCs/>
          <w:noProof/>
        </w:rPr>
        <w:t>IVAR IKS facility in Forus, Norway</w:t>
      </w:r>
      <w:r w:rsidRPr="00A43785">
        <w:rPr>
          <w:rStyle w:val="FootnoteReference"/>
          <w:rFonts w:ascii="Times New Roman" w:hAnsi="Times New Roman"/>
          <w:b/>
          <w:bCs/>
          <w:noProof/>
        </w:rPr>
        <w:footnoteReference w:id="159"/>
      </w:r>
      <w:r w:rsidRPr="00A43785">
        <w:rPr>
          <w:rFonts w:ascii="Times New Roman" w:hAnsi="Times New Roman"/>
          <w:noProof/>
        </w:rPr>
        <w:t>, has operated a fully automated sorting plant (equipped with near-infrared (NIR) and visual spectrometer (VIS) technologies, differentiating between various polymers and material types) since 2019, designed to process residual household waste of approximately 325.000 citizens. The recovery of recyclables increased from 28% to 82% following the implementation of MWS</w:t>
      </w:r>
      <w:r>
        <w:rPr>
          <w:rFonts w:ascii="Times New Roman" w:hAnsi="Times New Roman"/>
          <w:noProof/>
        </w:rPr>
        <w:t xml:space="preserve">. </w:t>
      </w:r>
      <w:r w:rsidRPr="00A43785">
        <w:rPr>
          <w:rFonts w:ascii="Times New Roman" w:hAnsi="Times New Roman"/>
          <w:noProof/>
        </w:rPr>
        <w:t>The facility reduces annual CO2 emissions by approximately 33.000 metric tons.</w:t>
      </w:r>
    </w:p>
    <w:p w14:paraId="2CF4114D" w14:textId="77777777" w:rsidR="009010D9" w:rsidRPr="00A43785" w:rsidRDefault="009010D9" w:rsidP="0018561F">
      <w:pPr>
        <w:pStyle w:val="Body"/>
        <w:numPr>
          <w:ilvl w:val="0"/>
          <w:numId w:val="45"/>
        </w:numPr>
        <w:rPr>
          <w:rFonts w:ascii="Times New Roman" w:eastAsiaTheme="minorHAnsi" w:hAnsi="Times New Roman"/>
          <w:noProof/>
        </w:rPr>
      </w:pPr>
      <w:r w:rsidRPr="006F1B7D">
        <w:rPr>
          <w:rFonts w:ascii="Times New Roman" w:hAnsi="Times New Roman"/>
          <w:b/>
          <w:bCs/>
          <w:noProof/>
          <w:u w:val="single"/>
        </w:rPr>
        <w:t>Case Study 2</w:t>
      </w:r>
      <w:r>
        <w:rPr>
          <w:rFonts w:ascii="Times New Roman" w:hAnsi="Times New Roman"/>
          <w:b/>
          <w:bCs/>
          <w:noProof/>
        </w:rPr>
        <w:t xml:space="preserve"> – </w:t>
      </w:r>
      <w:r w:rsidRPr="00A43785">
        <w:rPr>
          <w:rFonts w:ascii="Times New Roman" w:hAnsi="Times New Roman"/>
          <w:b/>
          <w:bCs/>
          <w:noProof/>
        </w:rPr>
        <w:t>Omrin's Ecopark De Wierde in Heerenveen, the Netherlands</w:t>
      </w:r>
      <w:r w:rsidRPr="00A43785">
        <w:rPr>
          <w:rStyle w:val="FootnoteReference"/>
          <w:rFonts w:ascii="Times New Roman" w:hAnsi="Times New Roman"/>
          <w:noProof/>
        </w:rPr>
        <w:footnoteReference w:id="160"/>
      </w:r>
      <w:r w:rsidRPr="00A43785">
        <w:rPr>
          <w:rFonts w:ascii="Times New Roman" w:hAnsi="Times New Roman"/>
          <w:noProof/>
        </w:rPr>
        <w:t xml:space="preserve">, is a public waste management company with an advanced AI-driven separation plant processing over 311.000 tonnes of household waste annually, achieving a 78% waste separation rate, which significantly outperforms the EU average of 49%. </w:t>
      </w:r>
    </w:p>
    <w:p w14:paraId="2A4876BD" w14:textId="77777777" w:rsidR="009010D9" w:rsidRPr="00A43785" w:rsidRDefault="009010D9" w:rsidP="0018561F">
      <w:pPr>
        <w:pStyle w:val="Body"/>
        <w:numPr>
          <w:ilvl w:val="0"/>
          <w:numId w:val="45"/>
        </w:numPr>
        <w:rPr>
          <w:rFonts w:ascii="Times New Roman" w:hAnsi="Times New Roman"/>
          <w:noProof/>
        </w:rPr>
      </w:pPr>
      <w:r w:rsidRPr="006F1B7D">
        <w:rPr>
          <w:rFonts w:ascii="Times New Roman" w:hAnsi="Times New Roman"/>
          <w:b/>
          <w:bCs/>
          <w:noProof/>
          <w:u w:val="single"/>
        </w:rPr>
        <w:t>Case Study 3</w:t>
      </w:r>
      <w:r>
        <w:rPr>
          <w:rFonts w:ascii="Times New Roman" w:hAnsi="Times New Roman"/>
          <w:noProof/>
        </w:rPr>
        <w:t xml:space="preserve"> – </w:t>
      </w:r>
      <w:r w:rsidRPr="00A43785">
        <w:rPr>
          <w:rFonts w:ascii="Times New Roman" w:hAnsi="Times New Roman"/>
          <w:noProof/>
        </w:rPr>
        <w:t xml:space="preserve">The </w:t>
      </w:r>
      <w:r w:rsidRPr="00A43785">
        <w:rPr>
          <w:rFonts w:ascii="Times New Roman" w:hAnsi="Times New Roman"/>
          <w:b/>
          <w:bCs/>
          <w:noProof/>
        </w:rPr>
        <w:t>Site Zero facility in Motala, Sweden</w:t>
      </w:r>
      <w:r w:rsidRPr="00A43785">
        <w:rPr>
          <w:rFonts w:ascii="Times New Roman" w:hAnsi="Times New Roman"/>
          <w:noProof/>
        </w:rPr>
        <w:t>, is currently the world's largest and most advanced plastic sorting plant, using near-infrared (NIR) sensors to separate 12 different types of plastic, compared to only four types previously. In its first full year of operation (2024), the facility doubled the sorting efficiency to 95% compared to 47% previously, and approximately 42.4% of all plastic packaging received at the facility was successfully converted into recycled raw material.</w:t>
      </w:r>
    </w:p>
    <w:p w14:paraId="38FFFA3E" w14:textId="77777777" w:rsidR="009010D9" w:rsidRPr="004F6AED" w:rsidRDefault="009010D9">
      <w:pPr>
        <w:pStyle w:val="Body"/>
        <w:rPr>
          <w:rFonts w:ascii="Times New Roman" w:hAnsi="Times New Roman"/>
          <w:b/>
          <w:bCs/>
          <w:noProof/>
        </w:rPr>
      </w:pPr>
      <w:r w:rsidRPr="004F6AED">
        <w:rPr>
          <w:rFonts w:ascii="Times New Roman" w:hAnsi="Times New Roman"/>
          <w:b/>
          <w:bCs/>
          <w:noProof/>
        </w:rPr>
        <w:t>Pay-As-You-Throw (PAYT) schemes</w:t>
      </w:r>
    </w:p>
    <w:p w14:paraId="4F2FDE3C" w14:textId="77777777" w:rsidR="009010D9" w:rsidRPr="004F6F89" w:rsidRDefault="009010D9" w:rsidP="0018561F">
      <w:pPr>
        <w:pStyle w:val="Body"/>
        <w:numPr>
          <w:ilvl w:val="0"/>
          <w:numId w:val="50"/>
        </w:numPr>
        <w:rPr>
          <w:rFonts w:ascii="Times New Roman" w:hAnsi="Times New Roman"/>
          <w:noProof/>
        </w:rPr>
      </w:pPr>
      <w:r w:rsidRPr="004F6AED">
        <w:rPr>
          <w:rFonts w:ascii="Times New Roman" w:hAnsi="Times New Roman"/>
          <w:b/>
          <w:bCs/>
          <w:noProof/>
          <w:u w:val="single"/>
          <w:lang w:val="en-US"/>
        </w:rPr>
        <w:t>Case Study 1</w:t>
      </w:r>
      <w:r w:rsidRPr="004F6AED">
        <w:rPr>
          <w:rFonts w:ascii="Times New Roman" w:hAnsi="Times New Roman"/>
          <w:noProof/>
          <w:lang w:val="en-US"/>
        </w:rPr>
        <w:t xml:space="preserve"> - </w:t>
      </w:r>
      <w:r w:rsidRPr="004F6F89">
        <w:rPr>
          <w:rFonts w:ascii="Times New Roman" w:hAnsi="Times New Roman"/>
          <w:noProof/>
        </w:rPr>
        <w:t>The County of Aschaffenburg, Germany, has implemented a weight-based PAYT system, resulting in one of the highest recorded rates of recyclables collection (86%) and one of the lowest recorded rates of residual waste generation (55 kg per capita per year) in the EU. The Aschaffenburg model has been replicated in other Germany counties, in Italy and in Belgium.</w:t>
      </w:r>
    </w:p>
    <w:p w14:paraId="7A6D8919" w14:textId="77777777" w:rsidR="009010D9" w:rsidRPr="004F6AED" w:rsidRDefault="009010D9" w:rsidP="0018561F">
      <w:pPr>
        <w:pStyle w:val="Body"/>
        <w:numPr>
          <w:ilvl w:val="0"/>
          <w:numId w:val="50"/>
        </w:numPr>
        <w:rPr>
          <w:rFonts w:ascii="Times New Roman" w:hAnsi="Times New Roman"/>
          <w:noProof/>
          <w:lang w:val="en-US"/>
        </w:rPr>
      </w:pPr>
      <w:r w:rsidRPr="004F6AED">
        <w:rPr>
          <w:rFonts w:ascii="Times New Roman" w:hAnsi="Times New Roman"/>
          <w:b/>
          <w:bCs/>
          <w:noProof/>
          <w:u w:val="single"/>
          <w:lang w:val="en-US"/>
        </w:rPr>
        <w:t>Case Study 2</w:t>
      </w:r>
      <w:r w:rsidRPr="004F6AED">
        <w:rPr>
          <w:rFonts w:ascii="Times New Roman" w:hAnsi="Times New Roman"/>
          <w:noProof/>
          <w:lang w:val="en-US"/>
        </w:rPr>
        <w:t xml:space="preserve"> – Bergen, Norway: by changing their model of waste collection from curbside collection to underground collection hatches with a PAYT element, residual waste collected reduced by 9% and plastic recycling collected increased by 28% 6 years into the scheme. </w:t>
      </w:r>
    </w:p>
    <w:p w14:paraId="57317419" w14:textId="77777777" w:rsidR="009010D9" w:rsidRPr="004F6AED" w:rsidRDefault="009010D9" w:rsidP="0018561F">
      <w:pPr>
        <w:pStyle w:val="Body"/>
        <w:numPr>
          <w:ilvl w:val="0"/>
          <w:numId w:val="50"/>
        </w:numPr>
        <w:rPr>
          <w:rFonts w:ascii="Times New Roman" w:hAnsi="Times New Roman"/>
          <w:noProof/>
          <w:lang w:val="en-US"/>
        </w:rPr>
      </w:pPr>
      <w:r w:rsidRPr="004F6AED">
        <w:rPr>
          <w:rFonts w:ascii="Times New Roman" w:hAnsi="Times New Roman"/>
          <w:b/>
          <w:bCs/>
          <w:noProof/>
          <w:u w:val="single"/>
          <w:lang w:val="en-US"/>
        </w:rPr>
        <w:t>Case Study 3</w:t>
      </w:r>
      <w:r w:rsidRPr="004F6AED">
        <w:rPr>
          <w:rFonts w:ascii="Times New Roman" w:hAnsi="Times New Roman"/>
          <w:noProof/>
          <w:lang w:val="en-US"/>
        </w:rPr>
        <w:t xml:space="preserve"> – Bassano del Grappa, Veneto, Italy: a PAYT was piloted as part of the EU-funded LIFE-REthinkWASTE project. Residents receive a personalised bill based on the amount of unsorted waste they generate and was combined with a KAYT (know-as-you-throw) information campaign to encourage proper sorting. The scheme resulted in a 27.8 % reduction in residual waste between 2018-2022.</w:t>
      </w:r>
    </w:p>
    <w:p w14:paraId="1F3FD234" w14:textId="09DA6360" w:rsidR="009010D9" w:rsidRPr="00A7683F" w:rsidRDefault="009010D9" w:rsidP="0018561F">
      <w:pPr>
        <w:pStyle w:val="Body"/>
        <w:numPr>
          <w:ilvl w:val="0"/>
          <w:numId w:val="50"/>
        </w:numPr>
        <w:rPr>
          <w:rFonts w:ascii="Times New Roman" w:hAnsi="Times New Roman"/>
          <w:noProof/>
          <w:lang w:val="en-US"/>
        </w:rPr>
      </w:pPr>
      <w:r w:rsidRPr="004F6AED">
        <w:rPr>
          <w:rFonts w:ascii="Times New Roman" w:hAnsi="Times New Roman"/>
          <w:b/>
          <w:bCs/>
          <w:noProof/>
          <w:u w:val="single"/>
          <w:lang w:val="en-US"/>
        </w:rPr>
        <w:t>Case Study 4</w:t>
      </w:r>
      <w:r w:rsidRPr="004F6AED">
        <w:rPr>
          <w:rFonts w:ascii="Times New Roman" w:hAnsi="Times New Roman"/>
          <w:noProof/>
          <w:lang w:val="en-US"/>
        </w:rPr>
        <w:t xml:space="preserve"> – Chastre, Belgium: the first municipality to introduce smart bins equipped with microchips in Belgium, in 2016, whereby any household producing waste above a certain quota got a surplus tax of up to </w:t>
      </w:r>
      <w:r>
        <w:rPr>
          <w:rFonts w:ascii="Times New Roman" w:hAnsi="Times New Roman"/>
          <w:noProof/>
          <w:lang w:val="en-US"/>
        </w:rPr>
        <w:t xml:space="preserve">EUR </w:t>
      </w:r>
      <w:r w:rsidRPr="004F6AED">
        <w:rPr>
          <w:rFonts w:ascii="Times New Roman" w:hAnsi="Times New Roman"/>
          <w:noProof/>
          <w:lang w:val="en-US"/>
        </w:rPr>
        <w:t>600 added to their basic local tax. This amounted to residual waste per person dropping from 135kg to 74kg.</w:t>
      </w:r>
    </w:p>
    <w:p w14:paraId="6E6FD6AD" w14:textId="77777777" w:rsidR="009010D9" w:rsidRPr="00016AA8" w:rsidRDefault="009010D9">
      <w:pPr>
        <w:pStyle w:val="Body"/>
        <w:rPr>
          <w:rFonts w:ascii="Times New Roman" w:hAnsi="Times New Roman"/>
          <w:b/>
          <w:bCs/>
          <w:noProof/>
        </w:rPr>
      </w:pPr>
      <w:r w:rsidRPr="00A43785">
        <w:rPr>
          <w:rFonts w:ascii="Times New Roman" w:hAnsi="Times New Roman"/>
          <w:b/>
          <w:bCs/>
          <w:noProof/>
        </w:rPr>
        <w:t>Carbon Capture</w:t>
      </w:r>
    </w:p>
    <w:p w14:paraId="538B971E" w14:textId="77777777" w:rsidR="009010D9" w:rsidRPr="00E734EC" w:rsidRDefault="009010D9" w:rsidP="009010D9">
      <w:pPr>
        <w:pStyle w:val="ListParagraph"/>
        <w:spacing w:line="259" w:lineRule="auto"/>
        <w:ind w:left="709"/>
        <w:rPr>
          <w:rStyle w:val="BodyChar"/>
          <w:rFonts w:ascii="Times New Roman" w:eastAsiaTheme="minorHAnsi" w:hAnsi="Times New Roman"/>
          <w:noProof/>
        </w:rPr>
      </w:pPr>
      <w:r w:rsidRPr="006F1B7D">
        <w:rPr>
          <w:b/>
          <w:bCs/>
          <w:noProof/>
          <w:u w:val="single"/>
        </w:rPr>
        <w:t>Case Study 1</w:t>
      </w:r>
      <w:r>
        <w:rPr>
          <w:noProof/>
        </w:rPr>
        <w:t xml:space="preserve"> – </w:t>
      </w:r>
      <w:r w:rsidRPr="0829F498">
        <w:rPr>
          <w:rStyle w:val="BodyChar"/>
          <w:rFonts w:ascii="Times New Roman" w:eastAsiaTheme="minorEastAsia" w:hAnsi="Times New Roman"/>
          <w:noProof/>
        </w:rPr>
        <w:t xml:space="preserve">In Norway, the world’s first commercial incineration plant equipped with full-scale CCS technology is set to become operational in 2026.  The </w:t>
      </w:r>
      <w:r w:rsidRPr="0829F498">
        <w:rPr>
          <w:rStyle w:val="BodyChar"/>
          <w:rFonts w:ascii="Times New Roman" w:eastAsiaTheme="minorEastAsia" w:hAnsi="Times New Roman"/>
          <w:b/>
          <w:bCs/>
          <w:noProof/>
        </w:rPr>
        <w:t>Oslo Klemetsrud</w:t>
      </w:r>
      <w:r w:rsidRPr="0829F498">
        <w:rPr>
          <w:rStyle w:val="BodyChar"/>
          <w:rFonts w:ascii="Times New Roman" w:eastAsiaTheme="minorEastAsia" w:hAnsi="Times New Roman"/>
          <w:noProof/>
        </w:rPr>
        <w:t xml:space="preserve"> plant aims to capture and store approximately 400,000 tonnes of CO₂ annually, of which around 60% is expected to be biogenic.</w:t>
      </w:r>
      <w:r w:rsidRPr="0829F498">
        <w:rPr>
          <w:rStyle w:val="BodyChar"/>
          <w:rFonts w:ascii="Times New Roman" w:eastAsiaTheme="minorEastAsia" w:hAnsi="Times New Roman"/>
          <w:noProof/>
        </w:rPr>
        <w:footnoteReference w:id="161"/>
      </w:r>
      <w:r w:rsidRPr="0829F498">
        <w:rPr>
          <w:rStyle w:val="BodyChar"/>
          <w:rFonts w:ascii="Times New Roman" w:eastAsiaTheme="minorEastAsia" w:hAnsi="Times New Roman"/>
          <w:noProof/>
        </w:rPr>
        <w:t xml:space="preserve"> </w:t>
      </w:r>
    </w:p>
    <w:p w14:paraId="2D3145DF" w14:textId="77777777" w:rsidR="009010D9" w:rsidRDefault="009010D9" w:rsidP="0018561F">
      <w:pPr>
        <w:pStyle w:val="ListParagraph"/>
        <w:numPr>
          <w:ilvl w:val="0"/>
          <w:numId w:val="46"/>
        </w:numPr>
        <w:spacing w:line="259" w:lineRule="auto"/>
        <w:ind w:left="709"/>
        <w:rPr>
          <w:noProof/>
        </w:rPr>
      </w:pPr>
      <w:r w:rsidRPr="006F1B7D">
        <w:rPr>
          <w:b/>
          <w:bCs/>
          <w:noProof/>
          <w:u w:val="single"/>
        </w:rPr>
        <w:t>Case Study 2</w:t>
      </w:r>
      <w:r>
        <w:rPr>
          <w:noProof/>
        </w:rPr>
        <w:t xml:space="preserve"> – In Sweden, the </w:t>
      </w:r>
      <w:r w:rsidRPr="00A37205">
        <w:rPr>
          <w:b/>
          <w:bCs/>
          <w:noProof/>
        </w:rPr>
        <w:t>Filbornaverket waste-to-energy-plant</w:t>
      </w:r>
      <w:r>
        <w:rPr>
          <w:noProof/>
        </w:rPr>
        <w:t xml:space="preserve"> aims to capture and store its emissions by 2030. The project has been awarded support from the Innovation Fund.</w:t>
      </w:r>
    </w:p>
    <w:p w14:paraId="56524C09" w14:textId="77777777" w:rsidR="009010D9" w:rsidRPr="00E734EC" w:rsidRDefault="009010D9" w:rsidP="009010D9">
      <w:pPr>
        <w:pStyle w:val="ListParagraph"/>
        <w:spacing w:line="259" w:lineRule="auto"/>
        <w:ind w:left="709"/>
        <w:rPr>
          <w:rStyle w:val="BodyChar"/>
          <w:rFonts w:ascii="Times New Roman" w:eastAsiaTheme="minorHAnsi" w:hAnsi="Times New Roman"/>
          <w:noProof/>
        </w:rPr>
      </w:pPr>
      <w:r w:rsidRPr="006F1B7D">
        <w:rPr>
          <w:b/>
          <w:bCs/>
          <w:noProof/>
          <w:u w:val="single"/>
        </w:rPr>
        <w:t>Case Study 3</w:t>
      </w:r>
      <w:r>
        <w:rPr>
          <w:noProof/>
        </w:rPr>
        <w:t xml:space="preserve"> – </w:t>
      </w:r>
      <w:r w:rsidRPr="0829F498">
        <w:rPr>
          <w:rStyle w:val="BodyChar"/>
          <w:rFonts w:ascii="Times New Roman" w:eastAsiaTheme="minorEastAsia" w:hAnsi="Times New Roman"/>
          <w:noProof/>
        </w:rPr>
        <w:t xml:space="preserve">In the Netherlands, the </w:t>
      </w:r>
      <w:r w:rsidRPr="0829F498">
        <w:rPr>
          <w:rStyle w:val="BodyChar"/>
          <w:rFonts w:ascii="Times New Roman" w:eastAsiaTheme="minorEastAsia" w:hAnsi="Times New Roman"/>
          <w:b/>
          <w:bCs/>
          <w:noProof/>
        </w:rPr>
        <w:t>Twence plant</w:t>
      </w:r>
      <w:r w:rsidRPr="0829F498">
        <w:rPr>
          <w:rStyle w:val="BodyChar"/>
          <w:rFonts w:ascii="Times New Roman" w:eastAsiaTheme="minorEastAsia" w:hAnsi="Times New Roman"/>
          <w:noProof/>
        </w:rPr>
        <w:t xml:space="preserve"> introduced a first pilot for carbon capture in 2014, with a subsequent development to upscale the solution. It targets a CCU concept, converting the captured carbon into sodium bicarbonate which could be used to abate the acid gases in the flue gas, and since 2020, the plant has been supplying some nearby greenhouse infrastructure</w:t>
      </w:r>
      <w:r w:rsidRPr="0829F498">
        <w:rPr>
          <w:rStyle w:val="BodyChar"/>
          <w:rFonts w:ascii="Times New Roman" w:eastAsiaTheme="minorEastAsia" w:hAnsi="Times New Roman"/>
          <w:noProof/>
        </w:rPr>
        <w:footnoteReference w:id="162"/>
      </w:r>
      <w:r w:rsidRPr="0829F498">
        <w:rPr>
          <w:rStyle w:val="BodyChar"/>
          <w:rFonts w:ascii="Times New Roman" w:eastAsiaTheme="minorEastAsia" w:hAnsi="Times New Roman"/>
          <w:noProof/>
        </w:rPr>
        <w:t xml:space="preserve">. The AVR-Duiven plant has been successfully capturing CO2 via an MEA chemical absorption process and supplying to nearby greenhouses in the form of liquid CO2 since summer 2019 in the range of 60kton of CO2 every year </w:t>
      </w:r>
      <w:r w:rsidRPr="0829F498">
        <w:rPr>
          <w:rStyle w:val="BodyChar"/>
          <w:rFonts w:ascii="Times New Roman" w:eastAsiaTheme="minorEastAsia" w:hAnsi="Times New Roman"/>
          <w:noProof/>
        </w:rPr>
        <w:footnoteReference w:id="163"/>
      </w:r>
      <w:r w:rsidRPr="0829F498">
        <w:rPr>
          <w:rStyle w:val="BodyChar"/>
          <w:rFonts w:ascii="Times New Roman" w:eastAsiaTheme="minorEastAsia" w:hAnsi="Times New Roman"/>
          <w:noProof/>
        </w:rPr>
        <w:t xml:space="preserve">. </w:t>
      </w:r>
    </w:p>
    <w:p w14:paraId="2E3BCECF" w14:textId="77777777" w:rsidR="009010D9" w:rsidRPr="00E734EC" w:rsidRDefault="009010D9" w:rsidP="0018561F">
      <w:pPr>
        <w:pStyle w:val="ListParagraph"/>
        <w:numPr>
          <w:ilvl w:val="0"/>
          <w:numId w:val="46"/>
        </w:numPr>
        <w:spacing w:line="259" w:lineRule="auto"/>
        <w:ind w:left="709"/>
        <w:rPr>
          <w:rStyle w:val="BodyChar"/>
          <w:rFonts w:ascii="Times New Roman" w:eastAsiaTheme="minorHAnsi" w:hAnsi="Times New Roman"/>
          <w:noProof/>
        </w:rPr>
      </w:pPr>
      <w:r w:rsidRPr="006F1B7D">
        <w:rPr>
          <w:b/>
          <w:bCs/>
          <w:noProof/>
          <w:u w:val="single"/>
        </w:rPr>
        <w:t>Case Study 4</w:t>
      </w:r>
      <w:r>
        <w:rPr>
          <w:noProof/>
        </w:rPr>
        <w:t xml:space="preserve"> – </w:t>
      </w:r>
      <w:r w:rsidRPr="00E734EC">
        <w:rPr>
          <w:rStyle w:val="BodyChar"/>
          <w:rFonts w:ascii="Times New Roman" w:eastAsiaTheme="minorHAnsi" w:hAnsi="Times New Roman"/>
          <w:noProof/>
        </w:rPr>
        <w:t xml:space="preserve">In the UK, waste management company </w:t>
      </w:r>
      <w:r w:rsidRPr="00E734EC">
        <w:rPr>
          <w:rStyle w:val="BodyChar"/>
          <w:rFonts w:ascii="Times New Roman" w:eastAsiaTheme="minorHAnsi" w:hAnsi="Times New Roman"/>
          <w:b/>
          <w:bCs/>
          <w:noProof/>
        </w:rPr>
        <w:t>Viridor</w:t>
      </w:r>
      <w:r w:rsidRPr="00E734EC">
        <w:rPr>
          <w:rStyle w:val="BodyChar"/>
          <w:rFonts w:ascii="Times New Roman" w:eastAsiaTheme="minorHAnsi" w:hAnsi="Times New Roman"/>
          <w:noProof/>
        </w:rPr>
        <w:t xml:space="preserve"> has announced plans to invest up to GBP  1 billion in CCS technologies across seven sites, aiming to capture approximately 0.9 million tonnes of CO2 annually at its Runcorn WtE facility. </w:t>
      </w:r>
    </w:p>
    <w:p w14:paraId="4779B75C" w14:textId="77777777" w:rsidR="009010D9" w:rsidRPr="00016AA8" w:rsidRDefault="009010D9">
      <w:pPr>
        <w:pStyle w:val="Body"/>
        <w:rPr>
          <w:rFonts w:ascii="Times New Roman" w:hAnsi="Times New Roman"/>
          <w:b/>
          <w:bCs/>
          <w:noProof/>
          <w:lang w:eastAsia="en-GB"/>
        </w:rPr>
      </w:pPr>
      <w:r w:rsidRPr="00016AA8">
        <w:rPr>
          <w:rFonts w:ascii="Times New Roman" w:hAnsi="Times New Roman"/>
          <w:b/>
          <w:bCs/>
          <w:noProof/>
          <w:lang w:eastAsia="en-GB"/>
        </w:rPr>
        <w:t>Landfill gas capture and utilisation</w:t>
      </w:r>
      <w:r>
        <w:rPr>
          <w:rFonts w:ascii="Times New Roman" w:hAnsi="Times New Roman"/>
          <w:b/>
          <w:bCs/>
          <w:noProof/>
          <w:lang w:eastAsia="en-GB"/>
        </w:rPr>
        <w:t xml:space="preserve"> (LFG)</w:t>
      </w:r>
    </w:p>
    <w:p w14:paraId="237C2E4C" w14:textId="77777777" w:rsidR="009010D9" w:rsidRPr="00070169" w:rsidRDefault="009010D9" w:rsidP="0018561F">
      <w:pPr>
        <w:pStyle w:val="ListParagraph"/>
        <w:numPr>
          <w:ilvl w:val="0"/>
          <w:numId w:val="47"/>
        </w:numPr>
        <w:rPr>
          <w:b/>
          <w:noProof/>
          <w:lang w:eastAsia="en-AU"/>
        </w:rPr>
      </w:pPr>
      <w:r w:rsidRPr="006F1B7D">
        <w:rPr>
          <w:b/>
          <w:bCs/>
          <w:noProof/>
          <w:u w:val="single"/>
          <w:lang w:eastAsia="en-AU"/>
        </w:rPr>
        <w:t>Case Study 1</w:t>
      </w:r>
      <w:r w:rsidRPr="00774775">
        <w:rPr>
          <w:b/>
          <w:bCs/>
          <w:noProof/>
          <w:lang w:eastAsia="en-AU"/>
        </w:rPr>
        <w:t xml:space="preserve"> - </w:t>
      </w:r>
      <w:hyperlink r:id="rId55" w:history="1">
        <w:r w:rsidRPr="00E734EC">
          <w:rPr>
            <w:rStyle w:val="Hyperlink"/>
            <w:b/>
            <w:bCs/>
            <w:noProof/>
            <w:sz w:val="24"/>
            <w:szCs w:val="24"/>
            <w:u w:val="none"/>
            <w:lang w:eastAsia="en-AU"/>
          </w:rPr>
          <w:t>Granges landfill: renewable gas production from landfill biogas (France)</w:t>
        </w:r>
      </w:hyperlink>
      <w:r w:rsidRPr="00E734EC">
        <w:rPr>
          <w:noProof/>
          <w:szCs w:val="24"/>
        </w:rPr>
        <w:t xml:space="preserve">: </w:t>
      </w:r>
      <w:r>
        <w:rPr>
          <w:noProof/>
          <w:lang w:eastAsia="en-AU"/>
        </w:rPr>
        <w:t>In June 2025, Veolia and Waga Energy inaugurated a renewable natural gas facility at the Granges landfill in Burgundy, eastern France. The project’s primary objective is to capture methane generated by decomposing waste and upgrade it into quality biomethane, thus reducing GHG emissions while displacing fossil natural gas. The facility can treat up to 600 m</w:t>
      </w:r>
      <w:r w:rsidRPr="00070169">
        <w:rPr>
          <w:noProof/>
          <w:vertAlign w:val="superscript"/>
          <w:lang w:eastAsia="en-AU"/>
        </w:rPr>
        <w:t>3</w:t>
      </w:r>
      <w:r>
        <w:rPr>
          <w:noProof/>
          <w:lang w:eastAsia="en-AU"/>
        </w:rPr>
        <w:t xml:space="preserve"> of raw biogas per hour and inject the upgraded gas into the local distribution network operated by GRDF (France gas distributor) via a dedicated pipeline. Since it began operating in early 2025, the plant has produced enough renewable gas to supply more than 3000 households annually and is expected to avoid around 3.300 tonnes of CO2 equivalent emissions each year. The project has significantly improved the site’s overall energy efficiency and environmental performance by replacing a combined heat and power unit with direct biomethane injection.</w:t>
      </w:r>
    </w:p>
    <w:p w14:paraId="6E08E655" w14:textId="77777777" w:rsidR="009010D9" w:rsidRDefault="009010D9" w:rsidP="0018561F">
      <w:pPr>
        <w:pStyle w:val="ListParagraph"/>
        <w:numPr>
          <w:ilvl w:val="0"/>
          <w:numId w:val="47"/>
        </w:numPr>
        <w:rPr>
          <w:noProof/>
          <w:lang w:eastAsia="en-AU"/>
        </w:rPr>
      </w:pPr>
      <w:r w:rsidRPr="006F1B7D">
        <w:rPr>
          <w:b/>
          <w:bCs/>
          <w:noProof/>
          <w:u w:val="single"/>
          <w:lang w:eastAsia="en-AU"/>
        </w:rPr>
        <w:t>Case Study 2</w:t>
      </w:r>
      <w:r w:rsidRPr="00774775">
        <w:rPr>
          <w:b/>
          <w:bCs/>
          <w:noProof/>
          <w:lang w:eastAsia="en-AU"/>
        </w:rPr>
        <w:t xml:space="preserve"> – </w:t>
      </w:r>
      <w:hyperlink r:id="rId56" w:history="1">
        <w:r w:rsidRPr="00E734EC">
          <w:rPr>
            <w:rStyle w:val="Hyperlink"/>
            <w:b/>
            <w:bCs/>
            <w:noProof/>
            <w:sz w:val="24"/>
            <w:szCs w:val="24"/>
            <w:u w:val="none"/>
            <w:lang w:eastAsia="en-AU"/>
          </w:rPr>
          <w:t>Can Mata controlled landfill: large-scale biomethane injection from landfill biogas (Spain)</w:t>
        </w:r>
      </w:hyperlink>
      <w:r w:rsidRPr="00E734EC">
        <w:rPr>
          <w:noProof/>
          <w:szCs w:val="24"/>
        </w:rPr>
        <w:t xml:space="preserve">: </w:t>
      </w:r>
      <w:r>
        <w:rPr>
          <w:noProof/>
          <w:lang w:eastAsia="en-AU"/>
        </w:rPr>
        <w:t>In June 2023, PreZero, Waga Energy, and Nedgia commissioned Spain’s largest landfill biomethane injection project at the Can Mata controlled landfill near Barcelona. The project is designed to fully upgrade landfill biogas into grid-quality renewable gas, thereby maximising methane recovery while reducing GHG emissions. The facility produces around 70 GWh of biomethane per year, sufficient to supply approximately 14000 households, or fuel around 200 municipal buses, avoiding more than 17.000 tonnes of CO2 equivalent annually. The project pioneered an innovating financing model, based on a long-term biomethane purchase agreement support by 2.4 million EUR from the EU Innovation Fund.</w:t>
      </w:r>
    </w:p>
    <w:p w14:paraId="66794B14" w14:textId="77777777" w:rsidR="009010D9" w:rsidRDefault="009010D9">
      <w:pPr>
        <w:spacing w:before="0"/>
        <w:rPr>
          <w:rFonts w:cs="Arial"/>
          <w:noProof/>
          <w:szCs w:val="22"/>
          <w:lang w:eastAsia="en-AU"/>
        </w:rPr>
      </w:pPr>
      <w:r>
        <w:rPr>
          <w:noProof/>
          <w:lang w:eastAsia="en-AU"/>
        </w:rPr>
        <w:br w:type="page"/>
      </w:r>
    </w:p>
    <w:p w14:paraId="56423660" w14:textId="77777777" w:rsidR="009010D9" w:rsidRPr="00E2462D" w:rsidRDefault="009010D9" w:rsidP="00C3254C">
      <w:pPr>
        <w:pStyle w:val="Heading2COM"/>
        <w:numPr>
          <w:ilvl w:val="0"/>
          <w:numId w:val="0"/>
        </w:numPr>
        <w:outlineLvl w:val="2"/>
        <w15:collapsed w:val="0"/>
        <w:rPr>
          <w:noProof/>
          <w:lang w:eastAsia="en-GB"/>
        </w:rPr>
      </w:pPr>
      <w:bookmarkStart w:id="814" w:name="_Toc230861562"/>
      <w:bookmarkStart w:id="815" w:name="_Toc232751184"/>
      <w:r w:rsidRPr="00E2462D">
        <w:rPr>
          <w:noProof/>
          <w:lang w:eastAsia="en-GB"/>
        </w:rPr>
        <w:t xml:space="preserve">Appendix 3: </w:t>
      </w:r>
      <w:r>
        <w:rPr>
          <w:noProof/>
          <w:lang w:eastAsia="en-GB"/>
        </w:rPr>
        <w:t xml:space="preserve"> MRV methodologies for waste incineration and landfilling</w:t>
      </w:r>
      <w:bookmarkEnd w:id="814"/>
      <w:bookmarkEnd w:id="815"/>
    </w:p>
    <w:p w14:paraId="452CE13C" w14:textId="77777777" w:rsidR="009010D9" w:rsidRPr="006F1B7D" w:rsidRDefault="009010D9" w:rsidP="0018561F">
      <w:pPr>
        <w:pStyle w:val="Body"/>
        <w:numPr>
          <w:ilvl w:val="0"/>
          <w:numId w:val="49"/>
        </w:numPr>
        <w:rPr>
          <w:rFonts w:ascii="Times New Roman" w:hAnsi="Times New Roman"/>
          <w:b/>
          <w:bCs/>
          <w:noProof/>
        </w:rPr>
      </w:pPr>
      <w:r w:rsidRPr="006F1B7D">
        <w:rPr>
          <w:rFonts w:ascii="Times New Roman" w:hAnsi="Times New Roman"/>
          <w:b/>
          <w:bCs/>
          <w:noProof/>
        </w:rPr>
        <w:t>Measurement-based methodologies</w:t>
      </w:r>
    </w:p>
    <w:p w14:paraId="65C984E6" w14:textId="77777777" w:rsidR="009010D9" w:rsidRPr="00A7683F" w:rsidRDefault="009010D9">
      <w:pPr>
        <w:rPr>
          <w:noProof/>
        </w:rPr>
      </w:pPr>
      <w:r w:rsidRPr="00311269">
        <w:rPr>
          <w:b/>
          <w:bCs/>
          <w:noProof/>
        </w:rPr>
        <w:t>Waste incineration installations:</w:t>
      </w:r>
      <w:r>
        <w:rPr>
          <w:noProof/>
        </w:rPr>
        <w:t xml:space="preserve"> M</w:t>
      </w:r>
      <w:r w:rsidRPr="00FC6D9C">
        <w:rPr>
          <w:noProof/>
        </w:rPr>
        <w:t xml:space="preserve">ost (if not all) MWI installations already apply </w:t>
      </w:r>
      <w:r>
        <w:rPr>
          <w:noProof/>
        </w:rPr>
        <w:t>a measurement-based approach (</w:t>
      </w:r>
      <w:r w:rsidRPr="00F53B75">
        <w:rPr>
          <w:noProof/>
        </w:rPr>
        <w:t>continuous emission monitoring system (CEMS)</w:t>
      </w:r>
      <w:r>
        <w:rPr>
          <w:noProof/>
        </w:rPr>
        <w:t>)</w:t>
      </w:r>
      <w:r w:rsidRPr="00311269">
        <w:rPr>
          <w:noProof/>
        </w:rPr>
        <w:t xml:space="preserve"> </w:t>
      </w:r>
      <w:r>
        <w:rPr>
          <w:noProof/>
        </w:rPr>
        <w:t>f</w:t>
      </w:r>
      <w:r w:rsidRPr="00FC6D9C">
        <w:rPr>
          <w:noProof/>
        </w:rPr>
        <w:t>or the monitoring obligations under the Industrial Emissions Directive (IED)</w:t>
      </w:r>
      <w:r>
        <w:rPr>
          <w:noProof/>
        </w:rPr>
        <w:t xml:space="preserve"> on </w:t>
      </w:r>
      <w:r w:rsidRPr="00FC6D9C">
        <w:rPr>
          <w:noProof/>
        </w:rPr>
        <w:t>the concentration of air pollutants (NOx, SOx, etc.)</w:t>
      </w:r>
      <w:r>
        <w:rPr>
          <w:noProof/>
        </w:rPr>
        <w:t>, providing experience in the application of measurement-based approaches for the monitoring of GHG emissions. The</w:t>
      </w:r>
      <w:r w:rsidRPr="00832BF9">
        <w:rPr>
          <w:noProof/>
        </w:rPr>
        <w:t xml:space="preserve"> specific requirement</w:t>
      </w:r>
      <w:r>
        <w:rPr>
          <w:noProof/>
        </w:rPr>
        <w:t>s</w:t>
      </w:r>
      <w:r w:rsidRPr="00832BF9">
        <w:rPr>
          <w:noProof/>
        </w:rPr>
        <w:t xml:space="preserve"> </w:t>
      </w:r>
      <w:r>
        <w:rPr>
          <w:noProof/>
        </w:rPr>
        <w:t>for measurement-based monitoring of GHG emissions would depend on the tier levels applicable in accordance with Annexes II and VIII of the MRR. Category A installations are expected to achieve at least Tier 2, while Categories B and C are expected to meet Tier 4</w:t>
      </w:r>
      <w:r>
        <w:rPr>
          <w:rStyle w:val="FootnoteReference"/>
          <w:noProof/>
        </w:rPr>
        <w:footnoteReference w:id="164"/>
      </w:r>
      <w:r>
        <w:rPr>
          <w:noProof/>
        </w:rPr>
        <w:t xml:space="preserve">. Most waste incinerators (64%), especially WtE installations, would be expected to fall within Category B, with an estimated 35% of </w:t>
      </w:r>
      <w:r w:rsidRPr="00A7683F">
        <w:rPr>
          <w:noProof/>
        </w:rPr>
        <w:t>installations falling within Category A</w:t>
      </w:r>
      <w:r w:rsidRPr="00A7683F">
        <w:rPr>
          <w:rStyle w:val="FootnoteReference"/>
          <w:noProof/>
        </w:rPr>
        <w:footnoteReference w:id="165"/>
      </w:r>
      <w:r w:rsidRPr="00A7683F">
        <w:rPr>
          <w:noProof/>
        </w:rPr>
        <w:t>. However, among the latter, some installations, such as hazardous waste incinerators or smaller installations, may fall below the threshold for opt-outs of small installations (see section 1.4.3. below for details). Table 6 outlines the requirements by category.</w:t>
      </w:r>
    </w:p>
    <w:p w14:paraId="7EFC5E0B" w14:textId="77777777" w:rsidR="009010D9" w:rsidRPr="000E478D" w:rsidRDefault="009010D9" w:rsidP="00C92FA9">
      <w:pPr>
        <w:pStyle w:val="Tabletitle"/>
        <w:rPr>
          <w:noProof/>
        </w:rPr>
      </w:pPr>
      <w:bookmarkStart w:id="816" w:name="_Toc222740720"/>
      <w:bookmarkStart w:id="817" w:name="_Toc234435140"/>
      <w:r w:rsidRPr="000E478D">
        <w:rPr>
          <w:noProof/>
        </w:rPr>
        <w:t>Summary of the Tier Requirements (maximum permissible uncertainty) by category (for a measurement-based methodology).</w:t>
      </w:r>
      <w:bookmarkEnd w:id="816"/>
      <w:bookmarkEnd w:id="817"/>
      <w:r w:rsidRPr="000E478D">
        <w:rPr>
          <w:noProof/>
        </w:rPr>
        <w:t xml:space="preserve"> </w:t>
      </w:r>
    </w:p>
    <w:tbl>
      <w:tblPr>
        <w:tblStyle w:val="TableAnnex"/>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5"/>
        <w:gridCol w:w="1925"/>
        <w:gridCol w:w="1926"/>
        <w:gridCol w:w="1926"/>
        <w:gridCol w:w="1926"/>
      </w:tblGrid>
      <w:tr w:rsidR="009010D9" w:rsidRPr="006431CE" w14:paraId="489CA94B" w14:textId="77777777" w:rsidTr="00294F5E">
        <w:trPr>
          <w:cnfStyle w:val="100000000000" w:firstRow="1" w:lastRow="0" w:firstColumn="0" w:lastColumn="0" w:oddVBand="0" w:evenVBand="0" w:oddHBand="0" w:evenHBand="0" w:firstRowFirstColumn="0" w:firstRowLastColumn="0" w:lastRowFirstColumn="0" w:lastRowLastColumn="0"/>
          <w:jc w:val="center"/>
        </w:trPr>
        <w:tc>
          <w:tcPr>
            <w:tcW w:w="1925" w:type="dxa"/>
          </w:tcPr>
          <w:p w14:paraId="32B0BAD1" w14:textId="77777777" w:rsidR="009010D9" w:rsidRPr="006431CE" w:rsidRDefault="009010D9">
            <w:pPr>
              <w:spacing w:before="0" w:after="0"/>
              <w:rPr>
                <w:noProof/>
                <w:sz w:val="22"/>
                <w:szCs w:val="22"/>
              </w:rPr>
            </w:pPr>
            <w:r w:rsidRPr="006431CE">
              <w:rPr>
                <w:noProof/>
                <w:sz w:val="22"/>
                <w:szCs w:val="22"/>
              </w:rPr>
              <w:t>CO</w:t>
            </w:r>
            <w:r w:rsidRPr="006431CE">
              <w:rPr>
                <w:noProof/>
                <w:sz w:val="22"/>
                <w:szCs w:val="22"/>
                <w:vertAlign w:val="subscript"/>
              </w:rPr>
              <w:t>2</w:t>
            </w:r>
            <w:r w:rsidRPr="006431CE">
              <w:rPr>
                <w:noProof/>
                <w:sz w:val="22"/>
                <w:szCs w:val="22"/>
              </w:rPr>
              <w:t xml:space="preserve"> emission uncertainty</w:t>
            </w:r>
          </w:p>
        </w:tc>
        <w:tc>
          <w:tcPr>
            <w:tcW w:w="1925" w:type="dxa"/>
            <w:vAlign w:val="center"/>
          </w:tcPr>
          <w:p w14:paraId="40FBB047" w14:textId="77777777" w:rsidR="009010D9" w:rsidRDefault="009010D9" w:rsidP="00FF38B3">
            <w:pPr>
              <w:spacing w:before="0" w:after="0"/>
              <w:jc w:val="center"/>
              <w:rPr>
                <w:noProof/>
                <w:color w:val="auto"/>
                <w:sz w:val="22"/>
              </w:rPr>
            </w:pPr>
            <w:r>
              <w:rPr>
                <w:noProof/>
                <w:color w:val="auto"/>
                <w:sz w:val="22"/>
              </w:rPr>
              <w:t>Tier 1 ±10%</w:t>
            </w:r>
          </w:p>
        </w:tc>
        <w:tc>
          <w:tcPr>
            <w:tcW w:w="1926" w:type="dxa"/>
            <w:vAlign w:val="center"/>
          </w:tcPr>
          <w:p w14:paraId="12A67128" w14:textId="77777777" w:rsidR="009010D9" w:rsidRDefault="009010D9" w:rsidP="00FF38B3">
            <w:pPr>
              <w:spacing w:before="0" w:after="0"/>
              <w:jc w:val="center"/>
              <w:rPr>
                <w:noProof/>
                <w:color w:val="auto"/>
                <w:sz w:val="22"/>
              </w:rPr>
            </w:pPr>
            <w:r>
              <w:rPr>
                <w:noProof/>
                <w:color w:val="auto"/>
                <w:sz w:val="22"/>
              </w:rPr>
              <w:t>Tier 2 ±7.5%</w:t>
            </w:r>
          </w:p>
        </w:tc>
        <w:tc>
          <w:tcPr>
            <w:tcW w:w="1926" w:type="dxa"/>
            <w:vAlign w:val="center"/>
          </w:tcPr>
          <w:p w14:paraId="164FCB73" w14:textId="77777777" w:rsidR="009010D9" w:rsidRDefault="009010D9" w:rsidP="00FF38B3">
            <w:pPr>
              <w:spacing w:before="0" w:after="0"/>
              <w:jc w:val="center"/>
              <w:rPr>
                <w:noProof/>
                <w:color w:val="auto"/>
                <w:sz w:val="22"/>
              </w:rPr>
            </w:pPr>
            <w:r>
              <w:rPr>
                <w:noProof/>
                <w:color w:val="auto"/>
                <w:sz w:val="22"/>
              </w:rPr>
              <w:t>Tier 3 ±5%</w:t>
            </w:r>
          </w:p>
        </w:tc>
        <w:tc>
          <w:tcPr>
            <w:tcW w:w="1926" w:type="dxa"/>
            <w:vAlign w:val="center"/>
          </w:tcPr>
          <w:p w14:paraId="0E3CABEF" w14:textId="77777777" w:rsidR="009010D9" w:rsidRDefault="009010D9" w:rsidP="00FF38B3">
            <w:pPr>
              <w:spacing w:before="0" w:after="0"/>
              <w:jc w:val="center"/>
              <w:rPr>
                <w:noProof/>
                <w:color w:val="auto"/>
                <w:sz w:val="22"/>
              </w:rPr>
            </w:pPr>
            <w:r>
              <w:rPr>
                <w:noProof/>
                <w:color w:val="auto"/>
                <w:sz w:val="22"/>
              </w:rPr>
              <w:t>Tier 4 ±2.5%</w:t>
            </w:r>
          </w:p>
        </w:tc>
      </w:tr>
      <w:tr w:rsidR="009010D9" w:rsidRPr="006431CE" w14:paraId="314A971F" w14:textId="77777777">
        <w:tblPrEx>
          <w:tblCellMar>
            <w:left w:w="108" w:type="dxa"/>
            <w:right w:w="108" w:type="dxa"/>
          </w:tblCellMar>
        </w:tblPrEx>
        <w:trPr>
          <w:jc w:val="center"/>
        </w:trPr>
        <w:tc>
          <w:tcPr>
            <w:tcW w:w="1925" w:type="dxa"/>
          </w:tcPr>
          <w:p w14:paraId="3D17884D" w14:textId="77777777" w:rsidR="009010D9" w:rsidRPr="006431CE" w:rsidRDefault="009010D9">
            <w:pPr>
              <w:spacing w:before="0" w:after="0"/>
              <w:rPr>
                <w:noProof/>
                <w:sz w:val="22"/>
                <w:szCs w:val="22"/>
              </w:rPr>
            </w:pPr>
            <w:r w:rsidRPr="006431CE">
              <w:rPr>
                <w:noProof/>
                <w:sz w:val="22"/>
                <w:szCs w:val="22"/>
              </w:rPr>
              <w:t>Category A</w:t>
            </w:r>
          </w:p>
        </w:tc>
        <w:tc>
          <w:tcPr>
            <w:tcW w:w="1925" w:type="dxa"/>
            <w:shd w:val="clear" w:color="auto" w:fill="BAD2FF" w:themeFill="text2" w:themeFillTint="33"/>
          </w:tcPr>
          <w:p w14:paraId="4AD4B495" w14:textId="77777777" w:rsidR="009010D9" w:rsidRPr="00BA12B3" w:rsidRDefault="009010D9">
            <w:pPr>
              <w:spacing w:before="0" w:after="0"/>
              <w:rPr>
                <w:noProof/>
                <w:sz w:val="22"/>
                <w:szCs w:val="22"/>
              </w:rPr>
            </w:pPr>
          </w:p>
        </w:tc>
        <w:tc>
          <w:tcPr>
            <w:tcW w:w="1926" w:type="dxa"/>
            <w:shd w:val="clear" w:color="auto" w:fill="317AFF" w:themeFill="text2" w:themeFillTint="99"/>
          </w:tcPr>
          <w:p w14:paraId="5D20A453" w14:textId="77777777" w:rsidR="009010D9" w:rsidRPr="00BA12B3" w:rsidRDefault="009010D9">
            <w:pPr>
              <w:spacing w:before="0" w:after="0"/>
              <w:rPr>
                <w:noProof/>
                <w:sz w:val="22"/>
                <w:szCs w:val="22"/>
              </w:rPr>
            </w:pPr>
          </w:p>
        </w:tc>
        <w:tc>
          <w:tcPr>
            <w:tcW w:w="1926" w:type="dxa"/>
          </w:tcPr>
          <w:p w14:paraId="484CE915" w14:textId="77777777" w:rsidR="009010D9" w:rsidRPr="00BA12B3" w:rsidRDefault="009010D9">
            <w:pPr>
              <w:spacing w:before="0" w:after="0"/>
              <w:rPr>
                <w:noProof/>
                <w:sz w:val="22"/>
                <w:szCs w:val="22"/>
              </w:rPr>
            </w:pPr>
          </w:p>
        </w:tc>
        <w:tc>
          <w:tcPr>
            <w:tcW w:w="1926" w:type="dxa"/>
          </w:tcPr>
          <w:p w14:paraId="499697CE" w14:textId="77777777" w:rsidR="009010D9" w:rsidRPr="00BA12B3" w:rsidRDefault="009010D9">
            <w:pPr>
              <w:spacing w:before="0" w:after="0"/>
              <w:rPr>
                <w:noProof/>
                <w:sz w:val="22"/>
                <w:szCs w:val="22"/>
              </w:rPr>
            </w:pPr>
          </w:p>
        </w:tc>
      </w:tr>
      <w:tr w:rsidR="009010D9" w:rsidRPr="006431CE" w14:paraId="23433EE6" w14:textId="77777777">
        <w:tblPrEx>
          <w:tblCellMar>
            <w:left w:w="108" w:type="dxa"/>
            <w:right w:w="108" w:type="dxa"/>
          </w:tblCellMar>
        </w:tblPrEx>
        <w:trPr>
          <w:jc w:val="center"/>
        </w:trPr>
        <w:tc>
          <w:tcPr>
            <w:tcW w:w="1925" w:type="dxa"/>
          </w:tcPr>
          <w:p w14:paraId="15945F93" w14:textId="77777777" w:rsidR="009010D9" w:rsidRPr="006431CE" w:rsidRDefault="009010D9">
            <w:pPr>
              <w:spacing w:before="0" w:after="0"/>
              <w:rPr>
                <w:noProof/>
                <w:sz w:val="22"/>
                <w:szCs w:val="22"/>
              </w:rPr>
            </w:pPr>
            <w:r w:rsidRPr="006431CE">
              <w:rPr>
                <w:noProof/>
                <w:sz w:val="22"/>
                <w:szCs w:val="22"/>
              </w:rPr>
              <w:t>Category B</w:t>
            </w:r>
          </w:p>
        </w:tc>
        <w:tc>
          <w:tcPr>
            <w:tcW w:w="1925" w:type="dxa"/>
          </w:tcPr>
          <w:p w14:paraId="78233FAC" w14:textId="77777777" w:rsidR="009010D9" w:rsidRPr="006431CE" w:rsidRDefault="009010D9">
            <w:pPr>
              <w:spacing w:before="0" w:after="0"/>
              <w:rPr>
                <w:noProof/>
                <w:sz w:val="22"/>
                <w:szCs w:val="22"/>
              </w:rPr>
            </w:pPr>
          </w:p>
        </w:tc>
        <w:tc>
          <w:tcPr>
            <w:tcW w:w="1926" w:type="dxa"/>
            <w:shd w:val="clear" w:color="auto" w:fill="BAD2FF" w:themeFill="text2" w:themeFillTint="33"/>
          </w:tcPr>
          <w:p w14:paraId="7B4EAF4E" w14:textId="77777777" w:rsidR="009010D9" w:rsidRPr="006431CE" w:rsidRDefault="009010D9">
            <w:pPr>
              <w:spacing w:before="0" w:after="0"/>
              <w:rPr>
                <w:noProof/>
                <w:sz w:val="22"/>
                <w:szCs w:val="22"/>
              </w:rPr>
            </w:pPr>
          </w:p>
        </w:tc>
        <w:tc>
          <w:tcPr>
            <w:tcW w:w="1926" w:type="dxa"/>
            <w:shd w:val="clear" w:color="auto" w:fill="BAD2FF" w:themeFill="text2" w:themeFillTint="33"/>
          </w:tcPr>
          <w:p w14:paraId="14A82D10" w14:textId="77777777" w:rsidR="009010D9" w:rsidRPr="006431CE" w:rsidRDefault="009010D9">
            <w:pPr>
              <w:spacing w:before="0" w:after="0"/>
              <w:rPr>
                <w:noProof/>
                <w:sz w:val="22"/>
                <w:szCs w:val="22"/>
              </w:rPr>
            </w:pPr>
          </w:p>
        </w:tc>
        <w:tc>
          <w:tcPr>
            <w:tcW w:w="1926" w:type="dxa"/>
            <w:shd w:val="clear" w:color="auto" w:fill="317AFF" w:themeFill="text2" w:themeFillTint="99"/>
          </w:tcPr>
          <w:p w14:paraId="12D57DAE" w14:textId="77777777" w:rsidR="009010D9" w:rsidRPr="006431CE" w:rsidRDefault="009010D9">
            <w:pPr>
              <w:spacing w:before="0" w:after="0"/>
              <w:rPr>
                <w:noProof/>
                <w:sz w:val="22"/>
                <w:szCs w:val="22"/>
              </w:rPr>
            </w:pPr>
          </w:p>
        </w:tc>
      </w:tr>
      <w:tr w:rsidR="009010D9" w:rsidRPr="006431CE" w14:paraId="54060FCA" w14:textId="77777777">
        <w:tblPrEx>
          <w:tblCellMar>
            <w:left w:w="108" w:type="dxa"/>
            <w:right w:w="108" w:type="dxa"/>
          </w:tblCellMar>
        </w:tblPrEx>
        <w:trPr>
          <w:jc w:val="center"/>
        </w:trPr>
        <w:tc>
          <w:tcPr>
            <w:tcW w:w="1925" w:type="dxa"/>
          </w:tcPr>
          <w:p w14:paraId="65D0CA5B" w14:textId="77777777" w:rsidR="009010D9" w:rsidRPr="006431CE" w:rsidRDefault="009010D9">
            <w:pPr>
              <w:spacing w:before="0" w:after="0"/>
              <w:rPr>
                <w:noProof/>
                <w:sz w:val="22"/>
                <w:szCs w:val="22"/>
              </w:rPr>
            </w:pPr>
            <w:r w:rsidRPr="006431CE">
              <w:rPr>
                <w:noProof/>
                <w:sz w:val="22"/>
                <w:szCs w:val="22"/>
              </w:rPr>
              <w:t xml:space="preserve">Category C </w:t>
            </w:r>
          </w:p>
        </w:tc>
        <w:tc>
          <w:tcPr>
            <w:tcW w:w="1925" w:type="dxa"/>
          </w:tcPr>
          <w:p w14:paraId="15EFE5DE" w14:textId="77777777" w:rsidR="009010D9" w:rsidRPr="006431CE" w:rsidRDefault="009010D9">
            <w:pPr>
              <w:spacing w:before="0" w:after="0"/>
              <w:rPr>
                <w:noProof/>
                <w:sz w:val="22"/>
                <w:szCs w:val="22"/>
              </w:rPr>
            </w:pPr>
          </w:p>
        </w:tc>
        <w:tc>
          <w:tcPr>
            <w:tcW w:w="1926" w:type="dxa"/>
          </w:tcPr>
          <w:p w14:paraId="2F524333" w14:textId="77777777" w:rsidR="009010D9" w:rsidRPr="006431CE" w:rsidRDefault="009010D9">
            <w:pPr>
              <w:spacing w:before="0" w:after="0"/>
              <w:rPr>
                <w:noProof/>
                <w:sz w:val="22"/>
                <w:szCs w:val="22"/>
              </w:rPr>
            </w:pPr>
          </w:p>
        </w:tc>
        <w:tc>
          <w:tcPr>
            <w:tcW w:w="1926" w:type="dxa"/>
            <w:shd w:val="clear" w:color="auto" w:fill="BAD2FF" w:themeFill="text2" w:themeFillTint="33"/>
          </w:tcPr>
          <w:p w14:paraId="01E8D54C" w14:textId="77777777" w:rsidR="009010D9" w:rsidRPr="006431CE" w:rsidRDefault="009010D9">
            <w:pPr>
              <w:spacing w:before="0" w:after="0"/>
              <w:rPr>
                <w:noProof/>
                <w:sz w:val="22"/>
                <w:szCs w:val="22"/>
              </w:rPr>
            </w:pPr>
          </w:p>
        </w:tc>
        <w:tc>
          <w:tcPr>
            <w:tcW w:w="1926" w:type="dxa"/>
            <w:shd w:val="clear" w:color="auto" w:fill="317AFF" w:themeFill="text2" w:themeFillTint="99"/>
          </w:tcPr>
          <w:p w14:paraId="5C4B68F3" w14:textId="77777777" w:rsidR="009010D9" w:rsidRPr="006431CE" w:rsidRDefault="009010D9">
            <w:pPr>
              <w:spacing w:before="0" w:after="0"/>
              <w:rPr>
                <w:noProof/>
                <w:sz w:val="22"/>
                <w:szCs w:val="22"/>
              </w:rPr>
            </w:pPr>
          </w:p>
        </w:tc>
      </w:tr>
    </w:tbl>
    <w:p w14:paraId="07989D3D" w14:textId="77777777" w:rsidR="009010D9" w:rsidRDefault="009010D9" w:rsidP="00FF38B3">
      <w:pPr>
        <w:pStyle w:val="ListParagraph"/>
        <w:numPr>
          <w:ilvl w:val="0"/>
          <w:numId w:val="62"/>
        </w:numPr>
        <w:spacing w:line="259" w:lineRule="auto"/>
        <w:rPr>
          <w:noProof/>
        </w:rPr>
      </w:pPr>
      <w:r w:rsidRPr="00FD73F0">
        <w:rPr>
          <w:b/>
          <w:bCs/>
          <w:noProof/>
        </w:rPr>
        <w:t>Radiocarbon analysis (C14 method):</w:t>
      </w:r>
      <w:r>
        <w:rPr>
          <w:noProof/>
        </w:rPr>
        <w:t xml:space="preserve"> For large WTE plants treating MSW, the most reliable MRV method is radiocarbon (C14) analysis. Radiocarbon analysis, also known as the C14 method, measures the ratio of carbon isotopes in flue gas to differentiate between fossil and biogenic carbon. Fossil-derived CO2 contains no C14, whereas biogenic sources do. </w:t>
      </w:r>
      <w:r w:rsidRPr="00523111">
        <w:rPr>
          <w:noProof/>
        </w:rPr>
        <w:t>The costs associated with C14 implementation depend on installation costs, annual operating costs and sampling and analysis costs.</w:t>
      </w:r>
      <w:r>
        <w:rPr>
          <w:noProof/>
        </w:rPr>
        <w:t xml:space="preserve"> An analysis done in the UK for the future inclusion of waste incineration in the UK ETS estimated cost ranges at EUR 34.900 – 93.000 for installation, EUR 11.600-23.300 for annual operating costs and EUR 465-755 per sample lab analysis</w:t>
      </w:r>
      <w:r>
        <w:rPr>
          <w:rStyle w:val="FootnoteReference"/>
          <w:noProof/>
        </w:rPr>
        <w:footnoteReference w:id="166"/>
      </w:r>
      <w:r>
        <w:rPr>
          <w:noProof/>
        </w:rPr>
        <w:t>. However, smaller operators may find this method difficult to implement due to the infrastructure, costs and expertise required, as  the method requires regular sampling of flue gases and laboratory analysis, which can be costly and technically demanding. C14 testing is generally also unsuitable for use in clinical or hazardous waste incineration facilities due to the small sample volumes and hazardous/radioactive materials handled.</w:t>
      </w:r>
    </w:p>
    <w:p w14:paraId="04D4F35F" w14:textId="77777777" w:rsidR="009010D9" w:rsidRDefault="009010D9" w:rsidP="00FF38B3">
      <w:pPr>
        <w:pStyle w:val="ListParagraph"/>
        <w:numPr>
          <w:ilvl w:val="0"/>
          <w:numId w:val="62"/>
        </w:numPr>
        <w:spacing w:line="259" w:lineRule="auto"/>
        <w:rPr>
          <w:noProof/>
        </w:rPr>
      </w:pPr>
      <w:r w:rsidRPr="00E12919">
        <w:rPr>
          <w:b/>
          <w:bCs/>
          <w:noProof/>
        </w:rPr>
        <w:t>Manual sorting and sampling method:</w:t>
      </w:r>
      <w:r>
        <w:rPr>
          <w:noProof/>
        </w:rPr>
        <w:t xml:space="preserve"> Manual sorting can serve as a supporting or indicative tool, although not typically used as a primary MRV method</w:t>
      </w:r>
      <w:r>
        <w:rPr>
          <w:rStyle w:val="FootnoteReference"/>
          <w:noProof/>
        </w:rPr>
        <w:footnoteReference w:id="167"/>
      </w:r>
      <w:r>
        <w:rPr>
          <w:noProof/>
        </w:rPr>
        <w:t xml:space="preserve">. Incineration facilities would likely be subject to more frequent reporting, either quarterly or annually, depending on the volume of emissions. Stakeholders in the UK preparatory report have suggested that each sample uses approximately one week’s worth of work to physically sort the waste, costing around EUR 700 - EUR 1,400 per sample. Manual sorting and sampling is labour-intensive and susceptible to subjectivity and sampling error. </w:t>
      </w:r>
      <w:r w:rsidRPr="002C721E">
        <w:rPr>
          <w:noProof/>
        </w:rPr>
        <w:t>Due to these limitations, it is not recommended as a standalone method for regulatory MRV purposes</w:t>
      </w:r>
      <w:r>
        <w:rPr>
          <w:noProof/>
        </w:rPr>
        <w:t xml:space="preserve"> but can serve as a supportive tool.</w:t>
      </w:r>
    </w:p>
    <w:p w14:paraId="78893E8D" w14:textId="77777777" w:rsidR="009010D9" w:rsidRDefault="009010D9" w:rsidP="00FF38B3">
      <w:pPr>
        <w:pStyle w:val="ListParagraph"/>
        <w:numPr>
          <w:ilvl w:val="0"/>
          <w:numId w:val="62"/>
        </w:numPr>
        <w:spacing w:line="259" w:lineRule="auto"/>
        <w:rPr>
          <w:noProof/>
        </w:rPr>
      </w:pPr>
      <w:r w:rsidRPr="006F1B7D">
        <w:rPr>
          <w:b/>
          <w:bCs/>
          <w:noProof/>
        </w:rPr>
        <w:t>Selective Dissolution Method:</w:t>
      </w:r>
      <w:r>
        <w:rPr>
          <w:noProof/>
        </w:rPr>
        <w:t xml:space="preserve"> </w:t>
      </w:r>
      <w:r w:rsidRPr="00230354">
        <w:rPr>
          <w:noProof/>
        </w:rPr>
        <w:t>The selective dissolution method is a laboratory-based approach that uses chemical processes to dissolve specific components of waste, helping to distinguish between fossil and biogenic content. This technique remains largely experimental and is not yet widely adopted in operational or regulatory settings. It may apply to certain waste types where more established methods, such as radiocarbon analysis or balance calculations are unsuitable.</w:t>
      </w:r>
    </w:p>
    <w:p w14:paraId="4431AC85" w14:textId="77777777" w:rsidR="009010D9" w:rsidRDefault="009010D9">
      <w:pPr>
        <w:rPr>
          <w:noProof/>
        </w:rPr>
      </w:pPr>
      <w:r>
        <w:rPr>
          <w:b/>
          <w:bCs/>
          <w:noProof/>
        </w:rPr>
        <w:t>Landfills</w:t>
      </w:r>
      <w:r w:rsidRPr="00311269">
        <w:rPr>
          <w:b/>
          <w:bCs/>
          <w:noProof/>
        </w:rPr>
        <w:t>:</w:t>
      </w:r>
      <w:r>
        <w:rPr>
          <w:noProof/>
        </w:rPr>
        <w:t xml:space="preserve"> Satellite-based monitoring and ground-based monitoring provide two measurement-based methods available for landfilling.</w:t>
      </w:r>
    </w:p>
    <w:p w14:paraId="40B4498D" w14:textId="77777777" w:rsidR="009010D9" w:rsidRDefault="009010D9" w:rsidP="00FF38B3">
      <w:pPr>
        <w:pStyle w:val="ListParagraph"/>
        <w:numPr>
          <w:ilvl w:val="0"/>
          <w:numId w:val="61"/>
        </w:numPr>
        <w:spacing w:line="259" w:lineRule="auto"/>
        <w:rPr>
          <w:noProof/>
        </w:rPr>
      </w:pPr>
      <w:r w:rsidRPr="004C3F33">
        <w:rPr>
          <w:b/>
          <w:bCs/>
          <w:noProof/>
        </w:rPr>
        <w:t xml:space="preserve">Satellite-based monitoring: </w:t>
      </w:r>
      <w:r>
        <w:rPr>
          <w:noProof/>
        </w:rPr>
        <w:t xml:space="preserve">Satellite-based monitoring is an emerging monitoring approach for methane emissions from landfills. Since 2017, the TROPOMI instrument, capable to detect (among others) methane emissions, has been in orbit by the European Space Agency and the Netherlands Space Office. The data generated have been used </w:t>
      </w:r>
      <w:r w:rsidRPr="003D3BB3">
        <w:rPr>
          <w:noProof/>
        </w:rPr>
        <w:t xml:space="preserve">to </w:t>
      </w:r>
      <w:r>
        <w:rPr>
          <w:noProof/>
        </w:rPr>
        <w:t xml:space="preserve">develop detection, identification, and monitoring systems of </w:t>
      </w:r>
      <w:r w:rsidRPr="003D3BB3">
        <w:rPr>
          <w:noProof/>
        </w:rPr>
        <w:t>methane emissions from landfill</w:t>
      </w:r>
      <w:r>
        <w:rPr>
          <w:noProof/>
        </w:rPr>
        <w:t xml:space="preserve"> sites</w:t>
      </w:r>
      <w:r>
        <w:rPr>
          <w:noProof/>
        </w:rPr>
        <w:footnoteReference w:id="168"/>
      </w:r>
      <w:r w:rsidRPr="003D3BB3">
        <w:rPr>
          <w:noProof/>
        </w:rPr>
        <w:t xml:space="preserve">. </w:t>
      </w:r>
      <w:r>
        <w:rPr>
          <w:noProof/>
        </w:rPr>
        <w:t>Recent satellite-based analyses of methane emissions from landfill sites have found little correlation with reported or modelled emission estimates at landfill sites</w:t>
      </w:r>
      <w:r w:rsidRPr="243C066F">
        <w:rPr>
          <w:rStyle w:val="FootnoteReference"/>
          <w:noProof/>
        </w:rPr>
        <w:footnoteReference w:id="169"/>
      </w:r>
      <w:r>
        <w:rPr>
          <w:noProof/>
        </w:rPr>
        <w:t xml:space="preserve">, highlighting the potential of satellite observations to accurately detect and monitor methane emissions from the waste sector. </w:t>
      </w:r>
      <w:r w:rsidRPr="003D3BB3">
        <w:rPr>
          <w:noProof/>
        </w:rPr>
        <w:t>For example, in 2022, a study published by SRON Netherlands Institute for Space Research, Harvard University, and GHGSat Inc</w:t>
      </w:r>
      <w:r w:rsidRPr="00D248BE">
        <w:rPr>
          <w:noProof/>
          <w:vertAlign w:val="superscript"/>
        </w:rPr>
        <w:footnoteReference w:id="170"/>
      </w:r>
      <w:r>
        <w:rPr>
          <w:noProof/>
        </w:rPr>
        <w:t xml:space="preserve"> found</w:t>
      </w:r>
      <w:r w:rsidRPr="003D3BB3">
        <w:rPr>
          <w:noProof/>
        </w:rPr>
        <w:t xml:space="preserve"> high emission rates in the studied landfills, with emissions above the reported in the national inventories (1.4 to 2.6 times higher). </w:t>
      </w:r>
      <w:r>
        <w:rPr>
          <w:noProof/>
        </w:rPr>
        <w:t>Since 2025</w:t>
      </w:r>
      <w:r w:rsidRPr="00D64DE4">
        <w:rPr>
          <w:noProof/>
        </w:rPr>
        <w:t xml:space="preserve">, the European Space Agency has </w:t>
      </w:r>
      <w:r>
        <w:rPr>
          <w:noProof/>
        </w:rPr>
        <w:t xml:space="preserve">also </w:t>
      </w:r>
      <w:r w:rsidRPr="00D64DE4">
        <w:rPr>
          <w:noProof/>
        </w:rPr>
        <w:t xml:space="preserve">been conducting a real-world case study of the Las Dehesas landfill (Spain) combining ground surveys, sensor-equipped aircraft and satellites to assess methane leaks and the impacts of repairs and changed management practices with the aim to inform satellite-guided pathways to reduce or avoid emissions, mirroring successes targeting oil and gas facilities. </w:t>
      </w:r>
      <w:r>
        <w:rPr>
          <w:noProof/>
        </w:rPr>
        <w:t xml:space="preserve">Satellite measurements would be accurate, could be regularly conducted to monitor trends, and would be suited to monitor historical emissions from landfills. </w:t>
      </w:r>
      <w:r w:rsidRPr="003D3BB3">
        <w:rPr>
          <w:noProof/>
        </w:rPr>
        <w:t xml:space="preserve">However, </w:t>
      </w:r>
      <w:r>
        <w:rPr>
          <w:noProof/>
        </w:rPr>
        <w:t xml:space="preserve">while an accurate measurement method, it would in the current phase of development still be technically and economically challenging to consistently implement across the EU given </w:t>
      </w:r>
      <w:r w:rsidRPr="003D3BB3">
        <w:rPr>
          <w:noProof/>
        </w:rPr>
        <w:t>the number of landfill facilities</w:t>
      </w:r>
      <w:r>
        <w:rPr>
          <w:noProof/>
        </w:rPr>
        <w:t xml:space="preserve"> but subject to further development </w:t>
      </w:r>
      <w:r w:rsidRPr="003D3BB3">
        <w:rPr>
          <w:noProof/>
        </w:rPr>
        <w:t xml:space="preserve">could be considered when establishing or updating future MRV protocols for landfill. </w:t>
      </w:r>
    </w:p>
    <w:p w14:paraId="5F767AE4" w14:textId="77777777" w:rsidR="009010D9" w:rsidRPr="003835FF" w:rsidRDefault="009010D9" w:rsidP="00FF38B3">
      <w:pPr>
        <w:pStyle w:val="ListParagraph"/>
        <w:numPr>
          <w:ilvl w:val="0"/>
          <w:numId w:val="61"/>
        </w:numPr>
        <w:spacing w:line="259" w:lineRule="auto"/>
        <w:rPr>
          <w:noProof/>
        </w:rPr>
      </w:pPr>
      <w:r w:rsidRPr="006F1B7D">
        <w:rPr>
          <w:b/>
          <w:bCs/>
          <w:noProof/>
        </w:rPr>
        <w:t xml:space="preserve">Ground-based monitoring: </w:t>
      </w:r>
      <w:r>
        <w:rPr>
          <w:noProof/>
        </w:rPr>
        <w:t xml:space="preserve">Ground-based measurement based on a tracer gas dispersion method (TDM) can provide high accuracy and high </w:t>
      </w:r>
      <w:r w:rsidRPr="003835FF">
        <w:rPr>
          <w:noProof/>
        </w:rPr>
        <w:t>sensitivity. It involves releasing an inert tracer gas from the landfill and measuring its concentration downwind alongside the target gas, usually methane. By comparing the ratio of methane to the tracer gas and using a dispersion model, the total emission rate of the target gas from the entire landfill can be calculated. This method is effective for quantifying whole-site emissions, including fugitive ones.</w:t>
      </w:r>
      <w:r>
        <w:rPr>
          <w:noProof/>
        </w:rPr>
        <w:t xml:space="preserve"> However, it is very labour- and time-intensive and scaling this methodology up to an entire landfill, let alone hundreds of landfill sites across the EU, is challenging.</w:t>
      </w:r>
    </w:p>
    <w:p w14:paraId="5F556068" w14:textId="77777777" w:rsidR="009010D9" w:rsidRPr="006F1B7D" w:rsidRDefault="009010D9" w:rsidP="0018561F">
      <w:pPr>
        <w:pStyle w:val="Body"/>
        <w:numPr>
          <w:ilvl w:val="0"/>
          <w:numId w:val="49"/>
        </w:numPr>
        <w:rPr>
          <w:rFonts w:ascii="Times New Roman" w:hAnsi="Times New Roman"/>
          <w:b/>
          <w:bCs/>
          <w:noProof/>
        </w:rPr>
      </w:pPr>
      <w:r w:rsidRPr="006F1B7D">
        <w:rPr>
          <w:rFonts w:ascii="Times New Roman" w:hAnsi="Times New Roman"/>
          <w:b/>
          <w:bCs/>
          <w:noProof/>
        </w:rPr>
        <w:t>Calculation-based methodologies</w:t>
      </w:r>
    </w:p>
    <w:p w14:paraId="69605EFA" w14:textId="1A232122" w:rsidR="009010D9" w:rsidRDefault="009010D9">
      <w:pPr>
        <w:rPr>
          <w:noProof/>
        </w:rPr>
      </w:pPr>
      <w:r>
        <w:rPr>
          <w:b/>
          <w:bCs/>
          <w:noProof/>
        </w:rPr>
        <w:t xml:space="preserve">Waste incineration installations: </w:t>
      </w:r>
      <w:r w:rsidRPr="003D3BB3">
        <w:rPr>
          <w:noProof/>
        </w:rPr>
        <w:t>A calculation-based methodology could be used as an alternative to direct measurement for monitoring emissions in some circumstances. This approach estimates emissions by combining activity data (such as the quantity and type of waste incinerated) with emission factors derived from laboratory analysis or established default values. These emission factors could also be updated with analytical methods, where possible and applicable. Whilst a measurement-based method is preferable, the calculation-based approach is acknowledged as potentially more practical for smaller or resource-limited sites, especially where direct measurement is technically challenging or prohibitively expensive. It may be relevant for hospital and small emitters (HSEs) or for waste types such as clinical and hazardous waste, where physical sampling is restricted.</w:t>
      </w:r>
      <w:r>
        <w:rPr>
          <w:noProof/>
        </w:rPr>
        <w:t xml:space="preserve"> I</w:t>
      </w:r>
      <w:r w:rsidRPr="00852360">
        <w:rPr>
          <w:noProof/>
        </w:rPr>
        <w:t xml:space="preserve">n the UK, a simplified MRV framework is proposed for small, known as </w:t>
      </w:r>
      <w:r>
        <w:rPr>
          <w:noProof/>
        </w:rPr>
        <w:t>h</w:t>
      </w:r>
      <w:r w:rsidRPr="00852360">
        <w:rPr>
          <w:noProof/>
        </w:rPr>
        <w:t xml:space="preserve">ospital and </w:t>
      </w:r>
      <w:r>
        <w:rPr>
          <w:noProof/>
        </w:rPr>
        <w:t>s</w:t>
      </w:r>
      <w:r w:rsidRPr="00852360">
        <w:rPr>
          <w:noProof/>
        </w:rPr>
        <w:t xml:space="preserve">mall </w:t>
      </w:r>
      <w:r>
        <w:rPr>
          <w:noProof/>
        </w:rPr>
        <w:t>e</w:t>
      </w:r>
      <w:r w:rsidRPr="00852360">
        <w:rPr>
          <w:noProof/>
        </w:rPr>
        <w:t xml:space="preserve">mitters (HSE), and ultra-small emitters (USE). These are allowed to utilise emission factors provided by the </w:t>
      </w:r>
      <w:r>
        <w:rPr>
          <w:noProof/>
        </w:rPr>
        <w:t xml:space="preserve">Competent </w:t>
      </w:r>
      <w:r w:rsidRPr="00852360">
        <w:rPr>
          <w:noProof/>
        </w:rPr>
        <w:t>Authority</w:t>
      </w:r>
      <w:r>
        <w:rPr>
          <w:noProof/>
        </w:rPr>
        <w:t xml:space="preserve">, with </w:t>
      </w:r>
      <w:r w:rsidRPr="00852360">
        <w:rPr>
          <w:noProof/>
        </w:rPr>
        <w:t xml:space="preserve">HSE sites </w:t>
      </w:r>
      <w:r>
        <w:rPr>
          <w:noProof/>
        </w:rPr>
        <w:t xml:space="preserve">further </w:t>
      </w:r>
      <w:r w:rsidRPr="00852360">
        <w:rPr>
          <w:noProof/>
        </w:rPr>
        <w:t>exempt from needing to justify why higher MRV tiers cannot be applied and automatically allowed to use Tier 1, which has a maximum uncertainty of ±10%. This tiered flexibility is intended to keep compliance proportionate to emissions</w:t>
      </w:r>
      <w:r>
        <w:rPr>
          <w:noProof/>
        </w:rPr>
        <w:t>.</w:t>
      </w:r>
      <w:r w:rsidRPr="00852360">
        <w:rPr>
          <w:noProof/>
        </w:rPr>
        <w:t xml:space="preserve"> </w:t>
      </w:r>
      <w:r w:rsidRPr="003D3BB3">
        <w:rPr>
          <w:noProof/>
        </w:rPr>
        <w:t xml:space="preserve">The calculation-based methodology could be implemented according to the standard methodology set out in Article 24 of the mass-balance methodology set out in Article 25 of the </w:t>
      </w:r>
      <w:r w:rsidRPr="003D3BB3" w:rsidDel="00BB2732">
        <w:rPr>
          <w:noProof/>
        </w:rPr>
        <w:t xml:space="preserve">EU ETS </w:t>
      </w:r>
      <w:r w:rsidRPr="003D3BB3">
        <w:rPr>
          <w:noProof/>
        </w:rPr>
        <w:t>MRR</w:t>
      </w:r>
      <w:r>
        <w:rPr>
          <w:noProof/>
        </w:rPr>
        <w:t>:</w:t>
      </w:r>
    </w:p>
    <w:p w14:paraId="31289DEC" w14:textId="77777777" w:rsidR="009010D9" w:rsidRPr="003D3BB3" w:rsidRDefault="009010D9" w:rsidP="0018561F">
      <w:pPr>
        <w:pStyle w:val="ListParagraph"/>
        <w:numPr>
          <w:ilvl w:val="0"/>
          <w:numId w:val="44"/>
        </w:numPr>
        <w:spacing w:line="259" w:lineRule="auto"/>
        <w:rPr>
          <w:noProof/>
        </w:rPr>
      </w:pPr>
      <w:r w:rsidRPr="00FC4525">
        <w:rPr>
          <w:b/>
          <w:bCs/>
          <w:noProof/>
        </w:rPr>
        <w:t>(Mass-) Balance Method:</w:t>
      </w:r>
      <w:r>
        <w:rPr>
          <w:noProof/>
        </w:rPr>
        <w:t xml:space="preserve"> </w:t>
      </w:r>
      <w:r w:rsidRPr="003D3BB3">
        <w:rPr>
          <w:noProof/>
        </w:rPr>
        <w:t>The balance method calculates fossil CO</w:t>
      </w:r>
      <w:r w:rsidRPr="00FC4525">
        <w:rPr>
          <w:noProof/>
          <w:vertAlign w:val="subscript"/>
        </w:rPr>
        <w:t>2</w:t>
      </w:r>
      <w:r w:rsidRPr="003D3BB3">
        <w:rPr>
          <w:noProof/>
        </w:rPr>
        <w:t xml:space="preserve"> emissions by assessing the known composition of incoming waste and applying emission factors based on the types and quantities of materials incinerated. It relies on accurate input data and is often supported by operational records, sampling, or modelling. This method is particularly suitable for medium to large facilities that have access to reliable waste composition data or can estimate it with a reasonable degree of certainty. While less precise than </w:t>
      </w:r>
      <w:r>
        <w:rPr>
          <w:noProof/>
        </w:rPr>
        <w:t>C14</w:t>
      </w:r>
      <w:r w:rsidRPr="003D3BB3">
        <w:rPr>
          <w:noProof/>
        </w:rPr>
        <w:t xml:space="preserve"> testing, it offers a more cost-effective and scalable solution.</w:t>
      </w:r>
      <w:r>
        <w:rPr>
          <w:noProof/>
        </w:rPr>
        <w:t xml:space="preserve"> Similarly, a customised balance method based on </w:t>
      </w:r>
      <w:r w:rsidRPr="00F041CB">
        <w:rPr>
          <w:noProof/>
        </w:rPr>
        <w:t xml:space="preserve">detailed waste characterisation </w:t>
      </w:r>
      <w:r>
        <w:rPr>
          <w:noProof/>
        </w:rPr>
        <w:t xml:space="preserve">could serve as a </w:t>
      </w:r>
      <w:r w:rsidRPr="00F041CB">
        <w:rPr>
          <w:noProof/>
        </w:rPr>
        <w:t>tailored MRV method</w:t>
      </w:r>
      <w:r>
        <w:rPr>
          <w:noProof/>
        </w:rPr>
        <w:t xml:space="preserve"> f</w:t>
      </w:r>
      <w:r w:rsidRPr="00F041CB">
        <w:rPr>
          <w:noProof/>
        </w:rPr>
        <w:t>or clinical and hazardous waste incinerators</w:t>
      </w:r>
      <w:r>
        <w:rPr>
          <w:noProof/>
        </w:rPr>
        <w:t xml:space="preserve"> given </w:t>
      </w:r>
      <w:r w:rsidRPr="0013745D">
        <w:rPr>
          <w:noProof/>
        </w:rPr>
        <w:t>the variability of waste types and their higher fossil content</w:t>
      </w:r>
      <w:r w:rsidRPr="00F041CB">
        <w:rPr>
          <w:noProof/>
        </w:rPr>
        <w:t>.</w:t>
      </w:r>
      <w:r>
        <w:rPr>
          <w:noProof/>
        </w:rPr>
        <w:t xml:space="preserve"> </w:t>
      </w:r>
      <w:r w:rsidRPr="003D3BB3">
        <w:rPr>
          <w:noProof/>
        </w:rPr>
        <w:t>It works using continuous real time data from the distributed control system (DCS), emissions data from the CEMS complemented with pre-established values from literature or the software supplier.</w:t>
      </w:r>
      <w:r>
        <w:rPr>
          <w:noProof/>
        </w:rPr>
        <w:t xml:space="preserve"> </w:t>
      </w:r>
      <w:r w:rsidRPr="003D3BB3">
        <w:rPr>
          <w:noProof/>
        </w:rPr>
        <w:t>Installation of this system is estimated to cost around EUR 58,200 per line, with annual operating costs of about EUR 17,400.</w:t>
      </w:r>
      <w:r>
        <w:rPr>
          <w:noProof/>
        </w:rPr>
        <w:t xml:space="preserve"> </w:t>
      </w:r>
      <w:r w:rsidRPr="003D3BB3">
        <w:rPr>
          <w:noProof/>
        </w:rPr>
        <w:t xml:space="preserve">One example of the use of emission factors is Germany, where emissions factors </w:t>
      </w:r>
      <w:r>
        <w:rPr>
          <w:noProof/>
        </w:rPr>
        <w:t>are applied</w:t>
      </w:r>
      <w:r w:rsidRPr="003D3BB3">
        <w:rPr>
          <w:noProof/>
        </w:rPr>
        <w:t xml:space="preserve"> estimated for the biogenic content of each waste code and/or the energy content. However, this is unlikely to be consistently accurate for all waste inputs received at the different MSWI due to the heterogeneous nature of the waste processed at incinerators. </w:t>
      </w:r>
      <w:r>
        <w:rPr>
          <w:noProof/>
        </w:rPr>
        <w:t>Given the variable nature of MWS, an individual or country-based approach would be recommended rather than a generic EU-wide waste code value.</w:t>
      </w:r>
    </w:p>
    <w:p w14:paraId="7E3F3F4C" w14:textId="77777777" w:rsidR="009010D9" w:rsidRDefault="009010D9" w:rsidP="0018561F">
      <w:pPr>
        <w:pStyle w:val="ListParagraph"/>
        <w:numPr>
          <w:ilvl w:val="0"/>
          <w:numId w:val="43"/>
        </w:numPr>
        <w:spacing w:line="259" w:lineRule="auto"/>
        <w:rPr>
          <w:noProof/>
        </w:rPr>
      </w:pPr>
      <w:r w:rsidRPr="006721D9">
        <w:rPr>
          <w:b/>
          <w:bCs/>
          <w:noProof/>
        </w:rPr>
        <w:t>Default emission factors:</w:t>
      </w:r>
      <w:r>
        <w:rPr>
          <w:noProof/>
        </w:rPr>
        <w:t xml:space="preserve"> </w:t>
      </w:r>
      <w:r w:rsidRPr="003D3BB3">
        <w:rPr>
          <w:noProof/>
        </w:rPr>
        <w:t>Using default emission factors involves applying standardised values based on typical waste compositions and combustion technologies, often aligned with international methodologies such as those from the IPCC. This tiered approach is particularly useful for smaller facilities or those with relatively low emissions, where the cost and complexity of higher-tier methods may not be justified. It offers a simplified, consistent reporting pathway with minimal administrative burden. However, its accuracy is lower than other methods, and periodic and local validation may be required to ensure continued reliability.</w:t>
      </w:r>
      <w:r>
        <w:rPr>
          <w:noProof/>
        </w:rPr>
        <w:t xml:space="preserve"> </w:t>
      </w:r>
      <w:r w:rsidRPr="005C3AA4">
        <w:rPr>
          <w:noProof/>
        </w:rPr>
        <w:t>Waste incinerators without energy recovery, often smaller in scale, could follow simplified MRV approaches such as default emissions factors or a lower-tier balance method.</w:t>
      </w:r>
    </w:p>
    <w:p w14:paraId="5B6C3B45" w14:textId="50BAE539" w:rsidR="009010D9" w:rsidRDefault="009010D9">
      <w:pPr>
        <w:rPr>
          <w:noProof/>
        </w:rPr>
      </w:pPr>
      <w:r w:rsidRPr="00A512FC">
        <w:rPr>
          <w:b/>
          <w:bCs/>
          <w:noProof/>
        </w:rPr>
        <w:t xml:space="preserve">Landfills: </w:t>
      </w:r>
      <w:r w:rsidRPr="003D3BB3">
        <w:rPr>
          <w:noProof/>
        </w:rPr>
        <w:t>The IPCC Guidelines</w:t>
      </w:r>
      <w:r w:rsidRPr="00D248BE">
        <w:rPr>
          <w:noProof/>
          <w:vertAlign w:val="superscript"/>
        </w:rPr>
        <w:footnoteReference w:id="171"/>
      </w:r>
      <w:r w:rsidRPr="003D3BB3">
        <w:rPr>
          <w:noProof/>
        </w:rPr>
        <w:t xml:space="preserve"> establish two methods to calculate </w:t>
      </w:r>
      <w:r>
        <w:rPr>
          <w:noProof/>
        </w:rPr>
        <w:t>methane emissions from landfills. M</w:t>
      </w:r>
      <w:r w:rsidRPr="003D3BB3">
        <w:rPr>
          <w:noProof/>
        </w:rPr>
        <w:t xml:space="preserve">ethod A </w:t>
      </w:r>
      <w:r>
        <w:rPr>
          <w:noProof/>
        </w:rPr>
        <w:t>is based</w:t>
      </w:r>
      <w:r w:rsidRPr="003D3BB3">
        <w:rPr>
          <w:noProof/>
        </w:rPr>
        <w:t xml:space="preserve"> on theoretical gas yield and assumes that all the methane is released in the same year the solid waste is disposed of</w:t>
      </w:r>
      <w:r>
        <w:rPr>
          <w:noProof/>
        </w:rPr>
        <w:t>. M</w:t>
      </w:r>
      <w:r w:rsidRPr="003D3BB3">
        <w:rPr>
          <w:noProof/>
        </w:rPr>
        <w:t xml:space="preserve">ethod B, which is the first order decay model based on kinetics, provides a more accurate estimate for the actual </w:t>
      </w:r>
      <w:r>
        <w:rPr>
          <w:noProof/>
        </w:rPr>
        <w:t>annual</w:t>
      </w:r>
      <w:r w:rsidRPr="003D3BB3">
        <w:rPr>
          <w:noProof/>
        </w:rPr>
        <w:t xml:space="preserve"> emissions. However, method B is more difficult to apply given the amount of necessary data that is required (waste disposal, rate of decay, etc).</w:t>
      </w:r>
      <w:r>
        <w:rPr>
          <w:noProof/>
        </w:rPr>
        <w:t xml:space="preserve"> The methods provide substantially different estimates for methane emissions from landfills:</w:t>
      </w:r>
    </w:p>
    <w:p w14:paraId="622ABF39" w14:textId="77777777" w:rsidR="009010D9" w:rsidRDefault="009010D9" w:rsidP="00FF38B3">
      <w:pPr>
        <w:pStyle w:val="ListParagraph"/>
        <w:numPr>
          <w:ilvl w:val="0"/>
          <w:numId w:val="43"/>
        </w:numPr>
        <w:spacing w:line="259" w:lineRule="auto"/>
        <w:rPr>
          <w:noProof/>
        </w:rPr>
      </w:pPr>
      <w:r w:rsidRPr="009B2B6B">
        <w:rPr>
          <w:b/>
          <w:bCs/>
          <w:noProof/>
        </w:rPr>
        <w:t>Default emission factors:</w:t>
      </w:r>
      <w:r>
        <w:rPr>
          <w:noProof/>
        </w:rPr>
        <w:t xml:space="preserve"> T</w:t>
      </w:r>
      <w:r w:rsidRPr="003D3BB3">
        <w:rPr>
          <w:noProof/>
        </w:rPr>
        <w:t>his</w:t>
      </w:r>
      <w:r>
        <w:rPr>
          <w:noProof/>
        </w:rPr>
        <w:t xml:space="preserve"> calculation-based</w:t>
      </w:r>
      <w:r w:rsidRPr="003D3BB3">
        <w:rPr>
          <w:noProof/>
        </w:rPr>
        <w:t xml:space="preserve"> </w:t>
      </w:r>
      <w:r>
        <w:rPr>
          <w:noProof/>
        </w:rPr>
        <w:t>method deploys default emissions factors with the assumption</w:t>
      </w:r>
      <w:r w:rsidRPr="003D3BB3">
        <w:rPr>
          <w:noProof/>
        </w:rPr>
        <w:t xml:space="preserve"> that all methane is released within the same year of disposal of the waste</w:t>
      </w:r>
      <w:r>
        <w:rPr>
          <w:noProof/>
        </w:rPr>
        <w:t>, thus including expected future decay emissions into one emissions estimate. It</w:t>
      </w:r>
      <w:r w:rsidRPr="003D3BB3">
        <w:rPr>
          <w:noProof/>
        </w:rPr>
        <w:t xml:space="preserve"> is a simpler method which requires </w:t>
      </w:r>
      <w:r>
        <w:rPr>
          <w:noProof/>
        </w:rPr>
        <w:t>limited</w:t>
      </w:r>
      <w:r w:rsidRPr="003D3BB3">
        <w:rPr>
          <w:noProof/>
        </w:rPr>
        <w:t xml:space="preserve"> inputs with default values and country-based quantities and data (to be provided by each MS or operator). This method could be the simplest approach</w:t>
      </w:r>
      <w:r w:rsidRPr="00B84516">
        <w:rPr>
          <w:noProof/>
        </w:rPr>
        <w:t xml:space="preserve">. </w:t>
      </w:r>
      <w:r>
        <w:rPr>
          <w:noProof/>
        </w:rPr>
        <w:t xml:space="preserve">However, available </w:t>
      </w:r>
      <w:r w:rsidRPr="00B520BB">
        <w:rPr>
          <w:noProof/>
        </w:rPr>
        <w:t xml:space="preserve">emission factors vary widely depending among others on the presence and type of methane capture, local conditions and waste composition, </w:t>
      </w:r>
      <w:r>
        <w:rPr>
          <w:noProof/>
        </w:rPr>
        <w:t>ranging</w:t>
      </w:r>
      <w:r w:rsidRPr="00B520BB">
        <w:rPr>
          <w:noProof/>
        </w:rPr>
        <w:t xml:space="preserve"> from less than 0.2 </w:t>
      </w:r>
      <w:r>
        <w:rPr>
          <w:noProof/>
        </w:rPr>
        <w:t xml:space="preserve">(with capture, low estimates) </w:t>
      </w:r>
      <w:r w:rsidRPr="00B520BB">
        <w:rPr>
          <w:noProof/>
        </w:rPr>
        <w:t xml:space="preserve">to more than 2.6 </w:t>
      </w:r>
      <w:r>
        <w:rPr>
          <w:noProof/>
        </w:rPr>
        <w:t>(without capture, high estimate based on satellite-based measurements) and</w:t>
      </w:r>
      <w:r w:rsidRPr="00B520BB">
        <w:rPr>
          <w:noProof/>
        </w:rPr>
        <w:t xml:space="preserve"> the methodology used</w:t>
      </w:r>
      <w:r w:rsidRPr="00376A37">
        <w:rPr>
          <w:noProof/>
          <w:vertAlign w:val="superscript"/>
        </w:rPr>
        <w:footnoteReference w:id="172"/>
      </w:r>
      <w:r>
        <w:rPr>
          <w:noProof/>
        </w:rPr>
        <w:t>.</w:t>
      </w:r>
    </w:p>
    <w:p w14:paraId="1CF6E2E6" w14:textId="77777777" w:rsidR="009010D9" w:rsidRPr="003D3BB3" w:rsidRDefault="009010D9" w:rsidP="00FF38B3">
      <w:pPr>
        <w:pStyle w:val="ListParagraph"/>
        <w:numPr>
          <w:ilvl w:val="0"/>
          <w:numId w:val="43"/>
        </w:numPr>
        <w:spacing w:line="259" w:lineRule="auto"/>
        <w:rPr>
          <w:noProof/>
        </w:rPr>
      </w:pPr>
      <w:r w:rsidRPr="006F1B7D">
        <w:rPr>
          <w:b/>
          <w:bCs/>
          <w:noProof/>
        </w:rPr>
        <w:t xml:space="preserve">First-Order of Decay (FOD) method: </w:t>
      </w:r>
      <w:r>
        <w:rPr>
          <w:noProof/>
        </w:rPr>
        <w:t xml:space="preserve">The FOD method </w:t>
      </w:r>
      <w:r w:rsidRPr="004621D3">
        <w:rPr>
          <w:noProof/>
        </w:rPr>
        <w:t>estimates landfill emissions by using a mathematical model that treats the decomposition of waste as a first-order reaction, based on two main parameters: the ultimate methane generation potential and the methane generation rate constant</w:t>
      </w:r>
      <w:r>
        <w:rPr>
          <w:noProof/>
        </w:rPr>
        <w:t xml:space="preserve">, </w:t>
      </w:r>
      <w:r w:rsidRPr="004621D3">
        <w:rPr>
          <w:noProof/>
        </w:rPr>
        <w:t>summing the emissions from each year's waste input using a separate equation for each year's waste. </w:t>
      </w:r>
      <w:r>
        <w:rPr>
          <w:noProof/>
        </w:rPr>
        <w:t>Consequently, this method covers</w:t>
      </w:r>
      <w:r w:rsidRPr="005B2112">
        <w:rPr>
          <w:noProof/>
        </w:rPr>
        <w:t xml:space="preserve"> historical emissions</w:t>
      </w:r>
      <w:r>
        <w:rPr>
          <w:noProof/>
        </w:rPr>
        <w:t>, reflecting the gradual decay and emissions of waste in landfills. It</w:t>
      </w:r>
      <w:r w:rsidRPr="00C4308A">
        <w:rPr>
          <w:noProof/>
        </w:rPr>
        <w:t xml:space="preserve"> offers a more robust emissions profile but is more complex to implement consistently, as it require</w:t>
      </w:r>
      <w:r>
        <w:rPr>
          <w:noProof/>
        </w:rPr>
        <w:t>s</w:t>
      </w:r>
      <w:r w:rsidRPr="00C4308A">
        <w:rPr>
          <w:noProof/>
        </w:rPr>
        <w:t xml:space="preserve"> </w:t>
      </w:r>
      <w:r>
        <w:rPr>
          <w:noProof/>
        </w:rPr>
        <w:t>country-</w:t>
      </w:r>
      <w:r w:rsidRPr="00C4308A">
        <w:rPr>
          <w:noProof/>
        </w:rPr>
        <w:t>specific data which may not be readily or accurately available.</w:t>
      </w:r>
      <w:r>
        <w:rPr>
          <w:noProof/>
        </w:rPr>
        <w:t xml:space="preserve"> </w:t>
      </w:r>
      <w:r w:rsidRPr="0004446E">
        <w:rPr>
          <w:noProof/>
        </w:rPr>
        <w:t>It is a standard method for estimating LFG emissions and is used in various models, such as the IPCC Guidelines and the U.S. EPA's LandGEM model</w:t>
      </w:r>
      <w:r>
        <w:rPr>
          <w:noProof/>
        </w:rPr>
        <w:t xml:space="preserve">. </w:t>
      </w:r>
      <w:r w:rsidRPr="005B2112">
        <w:rPr>
          <w:noProof/>
        </w:rPr>
        <w:t xml:space="preserve"> </w:t>
      </w:r>
    </w:p>
    <w:p w14:paraId="466B4854" w14:textId="77777777" w:rsidR="009010D9" w:rsidRPr="00E2462D" w:rsidRDefault="009010D9">
      <w:pPr>
        <w:pStyle w:val="Heading1COM"/>
        <w:numPr>
          <w:ilvl w:val="0"/>
          <w:numId w:val="0"/>
        </w:numPr>
        <w:ind w:left="360" w:hanging="360"/>
        <w:rPr>
          <w:noProof/>
          <w:lang w:eastAsia="en-GB"/>
        </w:rPr>
        <w:sectPr w:rsidR="009010D9" w:rsidRPr="00E2462D" w:rsidSect="0085116B">
          <w:headerReference w:type="default" r:id="rId57"/>
          <w:footerReference w:type="default" r:id="rId58"/>
          <w:pgSz w:w="15840" w:h="12240" w:orient="landscape"/>
          <w:pgMar w:top="1440" w:right="1440" w:bottom="1440" w:left="1440" w:header="0" w:footer="765" w:gutter="0"/>
          <w:cols w:space="720"/>
          <w:docGrid w:linePitch="326"/>
        </w:sectPr>
      </w:pPr>
    </w:p>
    <w:p w14:paraId="1CC28FE4" w14:textId="77777777" w:rsidR="009010D9" w:rsidRPr="00294F7F" w:rsidRDefault="009010D9" w:rsidP="00257C2D">
      <w:pPr>
        <w:pStyle w:val="Heading1COM"/>
        <w:outlineLvl w:val="1"/>
        <w:rPr>
          <w:noProof/>
          <w:lang w:val="fr-BE"/>
        </w:rPr>
      </w:pPr>
      <w:bookmarkStart w:id="818" w:name="_Toc212025446"/>
      <w:bookmarkStart w:id="819" w:name="_Toc212426476"/>
      <w:bookmarkStart w:id="820" w:name="_Toc1770167491"/>
      <w:bookmarkStart w:id="821" w:name="_Toc230861563"/>
      <w:bookmarkStart w:id="822" w:name="_Toc232751185"/>
      <w:r w:rsidRPr="00294F7F">
        <w:rPr>
          <w:noProof/>
          <w:lang w:val="fr-BE"/>
        </w:rPr>
        <w:t>Non-permanent Carbon Capture and Utilisation (CCU)</w:t>
      </w:r>
      <w:bookmarkEnd w:id="818"/>
      <w:bookmarkEnd w:id="819"/>
      <w:bookmarkEnd w:id="820"/>
      <w:bookmarkEnd w:id="821"/>
      <w:bookmarkEnd w:id="822"/>
    </w:p>
    <w:p w14:paraId="6F16DB57" w14:textId="77777777" w:rsidR="009010D9" w:rsidRPr="003D3BB3" w:rsidRDefault="009010D9" w:rsidP="00257C2D">
      <w:pPr>
        <w:pStyle w:val="Heading2COM"/>
        <w:outlineLvl w:val="2"/>
        <w15:collapsed w:val="0"/>
        <w:rPr>
          <w:noProof/>
        </w:rPr>
      </w:pPr>
      <w:bookmarkStart w:id="823" w:name="_Toc212025447"/>
      <w:bookmarkStart w:id="824" w:name="_Toc212426477"/>
      <w:bookmarkStart w:id="825" w:name="_Toc1244849838"/>
      <w:bookmarkStart w:id="826" w:name="_Toc230861564"/>
      <w:bookmarkStart w:id="827" w:name="_Toc232751186"/>
      <w:r w:rsidRPr="003D3BB3">
        <w:rPr>
          <w:noProof/>
        </w:rPr>
        <w:t>Overview</w:t>
      </w:r>
      <w:bookmarkEnd w:id="823"/>
      <w:bookmarkEnd w:id="824"/>
      <w:bookmarkEnd w:id="825"/>
      <w:bookmarkEnd w:id="826"/>
      <w:bookmarkEnd w:id="827"/>
    </w:p>
    <w:p w14:paraId="5AE99DAD" w14:textId="77777777" w:rsidR="009010D9" w:rsidRPr="003D3BB3" w:rsidRDefault="009010D9">
      <w:pPr>
        <w:rPr>
          <w:rStyle w:val="normaltextrun"/>
          <w:noProof/>
        </w:rPr>
      </w:pPr>
      <w:r w:rsidRPr="4FE846E5">
        <w:rPr>
          <w:rStyle w:val="normaltextrun"/>
          <w:noProof/>
        </w:rPr>
        <w:t>Carbon capture and utilisation (CCU) refers to technological processes or practices that make use of captured carbon dioxide (CO</w:t>
      </w:r>
      <w:r w:rsidRPr="4FE846E5">
        <w:rPr>
          <w:rStyle w:val="normaltextrun"/>
          <w:noProof/>
          <w:vertAlign w:val="subscript"/>
        </w:rPr>
        <w:t>2</w:t>
      </w:r>
      <w:r w:rsidRPr="4FE846E5">
        <w:rPr>
          <w:rStyle w:val="normaltextrun"/>
          <w:noProof/>
        </w:rPr>
        <w:t>) as a feedstock for the manufacture of products in various applications, such as (but not limited to) organic chemicals and plastics, synthetic fuels or building materials. As part of the CCU process, the CO</w:t>
      </w:r>
      <w:r w:rsidRPr="4FE846E5">
        <w:rPr>
          <w:rStyle w:val="normaltextrun"/>
          <w:noProof/>
          <w:vertAlign w:val="subscript"/>
        </w:rPr>
        <w:t>2</w:t>
      </w:r>
      <w:r w:rsidRPr="4FE846E5">
        <w:rPr>
          <w:rStyle w:val="normaltextrun"/>
          <w:noProof/>
        </w:rPr>
        <w:t xml:space="preserve"> molecule is chemically converted in complex organic (i.e. carbon based) molecules or in mineral carbonates. CO</w:t>
      </w:r>
      <w:r w:rsidRPr="4FE846E5">
        <w:rPr>
          <w:rStyle w:val="normaltextrun"/>
          <w:noProof/>
          <w:vertAlign w:val="subscript"/>
        </w:rPr>
        <w:t>2</w:t>
      </w:r>
      <w:r w:rsidRPr="4FE846E5">
        <w:rPr>
          <w:rStyle w:val="normaltextrun"/>
          <w:noProof/>
        </w:rPr>
        <w:t xml:space="preserve"> may also be used as is (without chemical conversion) in the food and drinks sector (i.e. for greenhouses, beverages) or other applications, such as a refrigerant or for fire extinguishers. </w:t>
      </w:r>
    </w:p>
    <w:p w14:paraId="4F52E677" w14:textId="77777777" w:rsidR="009010D9" w:rsidRDefault="009010D9">
      <w:pPr>
        <w:rPr>
          <w:rStyle w:val="normaltextrun"/>
          <w:noProof/>
        </w:rPr>
      </w:pPr>
      <w:r w:rsidRPr="003D3BB3">
        <w:rPr>
          <w:rStyle w:val="normaltextrun"/>
          <w:noProof/>
        </w:rPr>
        <w:t xml:space="preserve">In contrast, carbon capture and storage (CCS) </w:t>
      </w:r>
      <w:r>
        <w:rPr>
          <w:rStyle w:val="normaltextrun"/>
          <w:noProof/>
        </w:rPr>
        <w:t>refers to</w:t>
      </w:r>
      <w:r w:rsidRPr="003D3BB3">
        <w:rPr>
          <w:rStyle w:val="normaltextrun"/>
          <w:noProof/>
        </w:rPr>
        <w:t xml:space="preserve"> the capture of CO</w:t>
      </w:r>
      <w:r w:rsidRPr="005422C3">
        <w:rPr>
          <w:rStyle w:val="normaltextrun"/>
          <w:noProof/>
          <w:vertAlign w:val="subscript"/>
        </w:rPr>
        <w:t>2</w:t>
      </w:r>
      <w:r w:rsidRPr="003D3BB3">
        <w:rPr>
          <w:rStyle w:val="normaltextrun"/>
          <w:noProof/>
        </w:rPr>
        <w:t xml:space="preserve"> and its transfer for permanent storage in dedicated geological storage sites</w:t>
      </w:r>
      <w:r>
        <w:rPr>
          <w:rStyle w:val="normaltextrun"/>
          <w:noProof/>
        </w:rPr>
        <w:t>, permitted under Directive 2009/31/EC (CCS Directive)</w:t>
      </w:r>
      <w:r>
        <w:rPr>
          <w:rStyle w:val="FootnoteReference"/>
          <w:noProof/>
        </w:rPr>
        <w:footnoteReference w:id="173"/>
      </w:r>
      <w:r w:rsidRPr="003D3BB3">
        <w:rPr>
          <w:rStyle w:val="normaltextrun"/>
          <w:noProof/>
        </w:rPr>
        <w:t>. Some CCU applications also have the potential to permanently store captured CO</w:t>
      </w:r>
      <w:r w:rsidRPr="005422C3">
        <w:rPr>
          <w:rStyle w:val="normaltextrun"/>
          <w:noProof/>
          <w:vertAlign w:val="subscript"/>
        </w:rPr>
        <w:t>2</w:t>
      </w:r>
      <w:r w:rsidRPr="003D3BB3">
        <w:rPr>
          <w:rStyle w:val="normaltextrun"/>
          <w:noProof/>
        </w:rPr>
        <w:t xml:space="preserve"> in products</w:t>
      </w:r>
      <w:r>
        <w:rPr>
          <w:rStyle w:val="normaltextrun"/>
          <w:noProof/>
        </w:rPr>
        <w:t>, also</w:t>
      </w:r>
      <w:r w:rsidRPr="003D3BB3">
        <w:rPr>
          <w:rStyle w:val="normaltextrun"/>
          <w:noProof/>
        </w:rPr>
        <w:t xml:space="preserve"> known as permanent CCU. Commission Delegated Regulation 2024/2620</w:t>
      </w:r>
      <w:r w:rsidRPr="00935E5E" w:rsidDel="004279C8">
        <w:rPr>
          <w:rStyle w:val="FootnoteReference"/>
          <w:noProof/>
        </w:rPr>
        <w:footnoteReference w:id="174"/>
      </w:r>
      <w:r>
        <w:rPr>
          <w:rStyle w:val="normaltextrun"/>
          <w:noProof/>
        </w:rPr>
        <w:t xml:space="preserve"> supplements the ETS Directive regarding </w:t>
      </w:r>
      <w:r w:rsidRPr="003D3BB3">
        <w:rPr>
          <w:rStyle w:val="normaltextrun"/>
          <w:noProof/>
        </w:rPr>
        <w:t>the requirements necessary for considering that emissions are permanently chemically bound in products, i.e. constituting a permanent CCU.</w:t>
      </w:r>
      <w:r>
        <w:rPr>
          <w:rStyle w:val="normaltextrun"/>
          <w:noProof/>
        </w:rPr>
        <w:t xml:space="preserve"> In addition, this Regulation</w:t>
      </w:r>
      <w:r w:rsidRPr="003D3BB3">
        <w:rPr>
          <w:rStyle w:val="normaltextrun"/>
          <w:noProof/>
        </w:rPr>
        <w:t xml:space="preserve"> </w:t>
      </w:r>
      <w:r w:rsidRPr="7BAD91A0">
        <w:rPr>
          <w:rStyle w:val="normaltextrun"/>
          <w:noProof/>
        </w:rPr>
        <w:t xml:space="preserve">also </w:t>
      </w:r>
      <w:r w:rsidRPr="003D3BB3">
        <w:rPr>
          <w:rStyle w:val="normaltextrun"/>
          <w:noProof/>
        </w:rPr>
        <w:t>lists several products that are considered to meet these requirements, namely mineral carbonates in construction products, such as aggregates, cement and other binders, concrete, tiles, bricks or other masonry products.</w:t>
      </w:r>
      <w:r>
        <w:rPr>
          <w:rStyle w:val="normaltextrun"/>
          <w:noProof/>
        </w:rPr>
        <w:t xml:space="preserve"> The safeguards provided by this regulatory framework regarding CCS and permanent CCU ensure that emissions that are captured and permanently stored can effectively be considered as not emitted without endangering the integrity of the EU ETS. Therefore,</w:t>
      </w:r>
      <w:r w:rsidRPr="003D3BB3" w:rsidDel="00D02CBB">
        <w:rPr>
          <w:rStyle w:val="normaltextrun"/>
          <w:noProof/>
        </w:rPr>
        <w:t xml:space="preserve"> </w:t>
      </w:r>
      <w:r>
        <w:rPr>
          <w:rStyle w:val="normaltextrun"/>
          <w:noProof/>
        </w:rPr>
        <w:t xml:space="preserve">ETS operators receive a derogation from the obligation to surrender emission allowances for those reported emissions that are captured and permanently stored, either through CCS or permanent CCU. </w:t>
      </w:r>
    </w:p>
    <w:p w14:paraId="3A603D4C" w14:textId="77777777" w:rsidR="009010D9" w:rsidRDefault="009010D9">
      <w:pPr>
        <w:rPr>
          <w:rStyle w:val="normaltextrun"/>
          <w:noProof/>
        </w:rPr>
      </w:pPr>
      <w:r w:rsidRPr="003D3BB3">
        <w:rPr>
          <w:rStyle w:val="normaltextrun"/>
          <w:noProof/>
        </w:rPr>
        <w:t>As noted in recital (97) to Directive (EU) 2023/959</w:t>
      </w:r>
      <w:r>
        <w:rPr>
          <w:rStyle w:val="FootnoteReference"/>
          <w:noProof/>
        </w:rPr>
        <w:footnoteReference w:id="175"/>
      </w:r>
      <w:r w:rsidRPr="003D3BB3">
        <w:rPr>
          <w:rStyle w:val="normaltextrun"/>
          <w:noProof/>
        </w:rPr>
        <w:t xml:space="preserve">, until all stages of the life of a product in which captured carbon is used are subject to carbon pricing, in particular at the stage of waste incineration, reliance on accounting for emissions at the point of their release from products into the atmosphere would result in emissions being undercounted. </w:t>
      </w:r>
      <w:r>
        <w:rPr>
          <w:rStyle w:val="normaltextrun"/>
          <w:noProof/>
        </w:rPr>
        <w:t xml:space="preserve">Therefore, </w:t>
      </w:r>
      <w:r w:rsidDel="0079434F">
        <w:rPr>
          <w:rStyle w:val="normaltextrun"/>
          <w:noProof/>
        </w:rPr>
        <w:t xml:space="preserve">unless permanently stored, </w:t>
      </w:r>
      <w:r>
        <w:rPr>
          <w:rStyle w:val="normaltextrun"/>
          <w:noProof/>
        </w:rPr>
        <w:t xml:space="preserve">all other </w:t>
      </w:r>
      <w:r w:rsidDel="0079434F">
        <w:rPr>
          <w:rStyle w:val="normaltextrun"/>
          <w:noProof/>
        </w:rPr>
        <w:t xml:space="preserve">captured emissions are </w:t>
      </w:r>
      <w:r>
        <w:rPr>
          <w:rStyle w:val="normaltextrun"/>
          <w:noProof/>
        </w:rPr>
        <w:t>priced in the EU ETS, which ensures the integrity of the EU ETS.</w:t>
      </w:r>
      <w:r w:rsidRPr="0081BEF5">
        <w:rPr>
          <w:rStyle w:val="normaltextrun"/>
          <w:noProof/>
        </w:rPr>
        <w:t xml:space="preserve"> </w:t>
      </w:r>
      <w:r>
        <w:rPr>
          <w:rStyle w:val="normaltextrun"/>
          <w:noProof/>
        </w:rPr>
        <w:t xml:space="preserve">However, this approach creates the potential that some emissions may be double counted in the EU ETS in case products produced with captured emissions end up being combusted in another ETS installation. The potential integration of waste incineration in ETS 1, assessed in the previous section, would </w:t>
      </w:r>
      <w:r w:rsidRPr="0081BEF5">
        <w:rPr>
          <w:rStyle w:val="normaltextrun"/>
          <w:noProof/>
        </w:rPr>
        <w:t>increase</w:t>
      </w:r>
      <w:r>
        <w:rPr>
          <w:rStyle w:val="normaltextrun"/>
          <w:noProof/>
        </w:rPr>
        <w:t xml:space="preserve"> the risk of this double counting of emissions. </w:t>
      </w:r>
    </w:p>
    <w:p w14:paraId="191C4CD3" w14:textId="77777777" w:rsidR="009010D9" w:rsidRPr="00F76BF5" w:rsidRDefault="009010D9">
      <w:pPr>
        <w:rPr>
          <w:noProof/>
        </w:rPr>
      </w:pPr>
      <w:r w:rsidRPr="000E4EE6">
        <w:rPr>
          <w:noProof/>
        </w:rPr>
        <w:t>The European Commission published in February 2024 a Communication on Industrial Carbon Management (ICM) in the EU</w:t>
      </w:r>
      <w:r>
        <w:rPr>
          <w:rStyle w:val="FootnoteReference"/>
          <w:noProof/>
        </w:rPr>
        <w:footnoteReference w:id="176"/>
      </w:r>
      <w:r>
        <w:rPr>
          <w:noProof/>
        </w:rPr>
        <w:t>.</w:t>
      </w:r>
      <w:r w:rsidRPr="000E4EE6">
        <w:rPr>
          <w:noProof/>
        </w:rPr>
        <w:t xml:space="preserve"> This strategy acknowledges the importance the CCU can play in the production</w:t>
      </w:r>
      <w:r w:rsidRPr="00F76BF5">
        <w:rPr>
          <w:noProof/>
        </w:rPr>
        <w:t xml:space="preserve"> of advanced synthetic fuels, chemicals</w:t>
      </w:r>
      <w:r w:rsidRPr="000E4EE6">
        <w:rPr>
          <w:noProof/>
        </w:rPr>
        <w:t xml:space="preserve"> or</w:t>
      </w:r>
      <w:r w:rsidRPr="00F76BF5">
        <w:rPr>
          <w:noProof/>
        </w:rPr>
        <w:t xml:space="preserve"> polymers</w:t>
      </w:r>
      <w:r w:rsidRPr="000E4EE6">
        <w:rPr>
          <w:noProof/>
        </w:rPr>
        <w:t xml:space="preserve"> and its contribution</w:t>
      </w:r>
      <w:r w:rsidRPr="00F76BF5">
        <w:rPr>
          <w:noProof/>
        </w:rPr>
        <w:t xml:space="preserve"> to the circular economy model</w:t>
      </w:r>
      <w:r w:rsidRPr="000E4EE6">
        <w:rPr>
          <w:noProof/>
        </w:rPr>
        <w:t>. As the</w:t>
      </w:r>
      <w:r w:rsidRPr="00F76BF5">
        <w:rPr>
          <w:noProof/>
        </w:rPr>
        <w:t xml:space="preserve"> production of chemicals and materials still relies heavily on fossil-based feedstocks, </w:t>
      </w:r>
      <w:r w:rsidRPr="000E4EE6">
        <w:rPr>
          <w:noProof/>
        </w:rPr>
        <w:t>CCU</w:t>
      </w:r>
      <w:r w:rsidRPr="00F76BF5">
        <w:rPr>
          <w:noProof/>
        </w:rPr>
        <w:t xml:space="preserve"> can contribute to emission reduction</w:t>
      </w:r>
      <w:r w:rsidRPr="000E4EE6">
        <w:rPr>
          <w:noProof/>
        </w:rPr>
        <w:t>s</w:t>
      </w:r>
      <w:r w:rsidRPr="00F76BF5">
        <w:rPr>
          <w:noProof/>
        </w:rPr>
        <w:t xml:space="preserve">, energy security and </w:t>
      </w:r>
      <w:r w:rsidRPr="000E4EE6">
        <w:rPr>
          <w:noProof/>
        </w:rPr>
        <w:t xml:space="preserve">the </w:t>
      </w:r>
      <w:r w:rsidRPr="00F76BF5">
        <w:rPr>
          <w:noProof/>
        </w:rPr>
        <w:t>autonomy of the EU</w:t>
      </w:r>
      <w:r w:rsidRPr="000E4EE6">
        <w:rPr>
          <w:noProof/>
        </w:rPr>
        <w:t xml:space="preserve"> by replacing the fossil feedstock with captured CO</w:t>
      </w:r>
      <w:r w:rsidRPr="000E4EE6">
        <w:rPr>
          <w:noProof/>
          <w:vertAlign w:val="subscript"/>
        </w:rPr>
        <w:t>2</w:t>
      </w:r>
      <w:r>
        <w:rPr>
          <w:noProof/>
        </w:rPr>
        <w:t xml:space="preserve">, </w:t>
      </w:r>
      <w:r w:rsidRPr="000E4EE6">
        <w:rPr>
          <w:noProof/>
        </w:rPr>
        <w:t>(and renewable or low carbon H</w:t>
      </w:r>
      <w:r w:rsidRPr="000E4EE6">
        <w:rPr>
          <w:noProof/>
          <w:vertAlign w:val="subscript"/>
        </w:rPr>
        <w:t>2</w:t>
      </w:r>
      <w:r w:rsidRPr="000E4EE6">
        <w:rPr>
          <w:noProof/>
        </w:rPr>
        <w:t>)</w:t>
      </w:r>
      <w:r w:rsidRPr="00F76BF5">
        <w:rPr>
          <w:noProof/>
        </w:rPr>
        <w:t>. </w:t>
      </w:r>
      <w:r>
        <w:rPr>
          <w:noProof/>
        </w:rPr>
        <w:t xml:space="preserve">This is further emphasised in the </w:t>
      </w:r>
      <w:r w:rsidRPr="008E4144">
        <w:rPr>
          <w:noProof/>
        </w:rPr>
        <w:t>European Chemicals Industry Action Plan</w:t>
      </w:r>
      <w:r>
        <w:rPr>
          <w:rStyle w:val="FootnoteReference"/>
          <w:noProof/>
        </w:rPr>
        <w:footnoteReference w:id="177"/>
      </w:r>
      <w:r>
        <w:rPr>
          <w:noProof/>
        </w:rPr>
        <w:t xml:space="preserve">, which emphasises that </w:t>
      </w:r>
      <w:r>
        <w:rPr>
          <w:rStyle w:val="normaltextrun"/>
          <w:noProof/>
        </w:rPr>
        <w:t>the use of a</w:t>
      </w:r>
      <w:r w:rsidRPr="00D40E61">
        <w:rPr>
          <w:noProof/>
        </w:rPr>
        <w:t>lternative</w:t>
      </w:r>
      <w:r>
        <w:rPr>
          <w:noProof/>
        </w:rPr>
        <w:t>,</w:t>
      </w:r>
      <w:r w:rsidRPr="00D40E61">
        <w:rPr>
          <w:noProof/>
        </w:rPr>
        <w:t xml:space="preserve"> clean carbon sources like biomass, recycled waste </w:t>
      </w:r>
      <w:r>
        <w:rPr>
          <w:noProof/>
        </w:rPr>
        <w:t>and CCU</w:t>
      </w:r>
      <w:r w:rsidRPr="00D40E61">
        <w:rPr>
          <w:noProof/>
        </w:rPr>
        <w:t xml:space="preserve"> are essential </w:t>
      </w:r>
      <w:r>
        <w:rPr>
          <w:noProof/>
        </w:rPr>
        <w:t>for achieving net zero and ensuring the clean transition of the EU chemicals industry</w:t>
      </w:r>
      <w:r w:rsidRPr="00D40E61">
        <w:rPr>
          <w:noProof/>
        </w:rPr>
        <w:t>.</w:t>
      </w:r>
    </w:p>
    <w:p w14:paraId="6DBC07AD" w14:textId="77777777" w:rsidR="009010D9" w:rsidRPr="00415843" w:rsidRDefault="009010D9">
      <w:pPr>
        <w:rPr>
          <w:rStyle w:val="eop"/>
          <w:noProof/>
        </w:rPr>
      </w:pPr>
      <w:r w:rsidRPr="0081BEF5">
        <w:rPr>
          <w:rStyle w:val="normaltextrun"/>
          <w:noProof/>
        </w:rPr>
        <w:t>Non</w:t>
      </w:r>
      <w:r w:rsidRPr="008C707D" w:rsidDel="00A026B6">
        <w:rPr>
          <w:rStyle w:val="normaltextrun"/>
          <w:noProof/>
        </w:rPr>
        <w:t>-permanent CCU</w:t>
      </w:r>
      <w:r w:rsidRPr="0081BEF5">
        <w:rPr>
          <w:rStyle w:val="normaltextrun"/>
          <w:noProof/>
        </w:rPr>
        <w:t xml:space="preserve"> is</w:t>
      </w:r>
      <w:r w:rsidRPr="003D3BB3">
        <w:rPr>
          <w:rStyle w:val="normaltextrun"/>
          <w:noProof/>
        </w:rPr>
        <w:t xml:space="preserve"> an important technology for addressing </w:t>
      </w:r>
      <w:r>
        <w:rPr>
          <w:rStyle w:val="normaltextrun"/>
          <w:noProof/>
        </w:rPr>
        <w:t xml:space="preserve">emissions from </w:t>
      </w:r>
      <w:r w:rsidRPr="003D3BB3">
        <w:rPr>
          <w:rStyle w:val="normaltextrun"/>
          <w:noProof/>
        </w:rPr>
        <w:t xml:space="preserve">hard-to-abate </w:t>
      </w:r>
      <w:r w:rsidRPr="0081BEF5">
        <w:rPr>
          <w:rStyle w:val="normaltextrun"/>
          <w:noProof/>
        </w:rPr>
        <w:t>sections,</w:t>
      </w:r>
      <w:r w:rsidRPr="003D3BB3" w:rsidDel="008C707D">
        <w:rPr>
          <w:rStyle w:val="normaltextrun"/>
          <w:noProof/>
        </w:rPr>
        <w:t xml:space="preserve"> </w:t>
      </w:r>
      <w:r w:rsidRPr="003D3BB3">
        <w:rPr>
          <w:rStyle w:val="normaltextrun"/>
          <w:noProof/>
        </w:rPr>
        <w:t>providing an alternative carbon feedstock for economic sectors that require CO</w:t>
      </w:r>
      <w:r w:rsidRPr="000155D4">
        <w:rPr>
          <w:rStyle w:val="normaltextrun"/>
          <w:noProof/>
          <w:vertAlign w:val="subscript"/>
        </w:rPr>
        <w:t>2</w:t>
      </w:r>
      <w:r w:rsidRPr="003D3BB3">
        <w:rPr>
          <w:rStyle w:val="normaltextrun"/>
          <w:noProof/>
        </w:rPr>
        <w:t xml:space="preserve">. However, the current </w:t>
      </w:r>
      <w:r w:rsidRPr="003D3BB3" w:rsidDel="00BB2732">
        <w:rPr>
          <w:rStyle w:val="normaltextrun"/>
          <w:noProof/>
        </w:rPr>
        <w:t xml:space="preserve">EU ETS </w:t>
      </w:r>
      <w:r w:rsidRPr="003D3BB3">
        <w:rPr>
          <w:rStyle w:val="normaltextrun"/>
          <w:noProof/>
        </w:rPr>
        <w:t>framework</w:t>
      </w:r>
      <w:r>
        <w:rPr>
          <w:rStyle w:val="normaltextrun"/>
          <w:noProof/>
        </w:rPr>
        <w:t>, in particular EU ETS covering stationary installations, maritime and aviation,</w:t>
      </w:r>
      <w:r w:rsidRPr="003D3BB3">
        <w:rPr>
          <w:rStyle w:val="normaltextrun"/>
          <w:noProof/>
        </w:rPr>
        <w:t xml:space="preserve"> does not fully address the unique characteristics of non-permanent CCU products, such as different carbon sources and variable storage durations for the captured carbon and </w:t>
      </w:r>
      <w:r w:rsidRPr="0081BEF5">
        <w:rPr>
          <w:rStyle w:val="normaltextrun"/>
          <w:noProof/>
        </w:rPr>
        <w:t>the</w:t>
      </w:r>
      <w:r>
        <w:rPr>
          <w:rStyle w:val="normaltextrun"/>
          <w:noProof/>
        </w:rPr>
        <w:t xml:space="preserve"> captured emissions being re-emitted at various points in the value chain. </w:t>
      </w:r>
      <w:r w:rsidRPr="003D3BB3">
        <w:rPr>
          <w:rStyle w:val="normaltextrun"/>
          <w:noProof/>
        </w:rPr>
        <w:t xml:space="preserve"> </w:t>
      </w:r>
      <w:r>
        <w:rPr>
          <w:rStyle w:val="normaltextrun"/>
          <w:noProof/>
        </w:rPr>
        <w:t xml:space="preserve">Therefore, in accordance with Article 30(5)(c) of the ETS Directive, </w:t>
      </w:r>
      <w:r>
        <w:rPr>
          <w:noProof/>
        </w:rPr>
        <w:t xml:space="preserve">this assessment analyses </w:t>
      </w:r>
      <w:r w:rsidRPr="00415843">
        <w:rPr>
          <w:noProof/>
        </w:rPr>
        <w:t xml:space="preserve">how to best </w:t>
      </w:r>
      <w:r>
        <w:rPr>
          <w:noProof/>
        </w:rPr>
        <w:t>recognise</w:t>
      </w:r>
      <w:r w:rsidRPr="00415843">
        <w:rPr>
          <w:noProof/>
        </w:rPr>
        <w:t xml:space="preserve"> </w:t>
      </w:r>
      <w:r>
        <w:rPr>
          <w:noProof/>
        </w:rPr>
        <w:t xml:space="preserve">in the EU ETS </w:t>
      </w:r>
      <w:r w:rsidRPr="00415843">
        <w:rPr>
          <w:noProof/>
        </w:rPr>
        <w:t>CO</w:t>
      </w:r>
      <w:r w:rsidRPr="00270AEF">
        <w:rPr>
          <w:noProof/>
          <w:vertAlign w:val="subscript"/>
        </w:rPr>
        <w:t>2</w:t>
      </w:r>
      <w:r w:rsidRPr="00415843">
        <w:rPr>
          <w:noProof/>
        </w:rPr>
        <w:t xml:space="preserve"> in </w:t>
      </w:r>
      <w:r>
        <w:rPr>
          <w:noProof/>
        </w:rPr>
        <w:t xml:space="preserve">captured </w:t>
      </w:r>
      <w:r w:rsidRPr="00415843">
        <w:rPr>
          <w:noProof/>
        </w:rPr>
        <w:t>non-permanent product</w:t>
      </w:r>
      <w:r>
        <w:rPr>
          <w:noProof/>
        </w:rPr>
        <w:t xml:space="preserve">s, ensuring that </w:t>
      </w:r>
      <w:r w:rsidRPr="003D3BB3">
        <w:rPr>
          <w:rStyle w:val="normaltextrun"/>
          <w:noProof/>
        </w:rPr>
        <w:t xml:space="preserve">all emissions </w:t>
      </w:r>
      <w:r>
        <w:rPr>
          <w:rStyle w:val="normaltextrun"/>
          <w:noProof/>
        </w:rPr>
        <w:t>under the scope of the ETS Directive</w:t>
      </w:r>
      <w:r w:rsidRPr="003D3BB3">
        <w:rPr>
          <w:rStyle w:val="normaltextrun"/>
          <w:noProof/>
        </w:rPr>
        <w:t xml:space="preserve"> are effectively accounted for</w:t>
      </w:r>
      <w:r>
        <w:rPr>
          <w:rStyle w:val="normaltextrun"/>
          <w:noProof/>
        </w:rPr>
        <w:t xml:space="preserve"> and</w:t>
      </w:r>
      <w:r w:rsidRPr="003D3BB3">
        <w:rPr>
          <w:rStyle w:val="normaltextrun"/>
          <w:noProof/>
        </w:rPr>
        <w:t xml:space="preserve"> double counting is avoided. </w:t>
      </w:r>
      <w:r w:rsidRPr="003D3BB3">
        <w:rPr>
          <w:rStyle w:val="eop"/>
          <w:noProof/>
        </w:rPr>
        <w:t> </w:t>
      </w:r>
    </w:p>
    <w:p w14:paraId="617F6D8F" w14:textId="77777777" w:rsidR="009010D9" w:rsidRPr="003D3BB3" w:rsidRDefault="009010D9">
      <w:pPr>
        <w:rPr>
          <w:rFonts w:cs="Arial"/>
          <w:noProof/>
        </w:rPr>
      </w:pPr>
      <w:r w:rsidRPr="003D3BB3">
        <w:rPr>
          <w:rStyle w:val="normaltextrun"/>
          <w:noProof/>
        </w:rPr>
        <w:t xml:space="preserve">The potential inclusion of waste incineration as part of this review of </w:t>
      </w:r>
      <w:r>
        <w:rPr>
          <w:rStyle w:val="normaltextrun"/>
          <w:noProof/>
        </w:rPr>
        <w:t>EU ETS, assessed in section 1 of this Annex,</w:t>
      </w:r>
      <w:r w:rsidRPr="003D3BB3">
        <w:rPr>
          <w:rStyle w:val="normaltextrun"/>
          <w:noProof/>
        </w:rPr>
        <w:t xml:space="preserve"> allows </w:t>
      </w:r>
      <w:r>
        <w:rPr>
          <w:rStyle w:val="normaltextrun"/>
          <w:noProof/>
        </w:rPr>
        <w:t xml:space="preserve">re-assessing the current accounting approach, i.e. considering all captured </w:t>
      </w:r>
      <w:r w:rsidRPr="00415843">
        <w:rPr>
          <w:noProof/>
        </w:rPr>
        <w:t>CO</w:t>
      </w:r>
      <w:r w:rsidRPr="00270AEF">
        <w:rPr>
          <w:noProof/>
          <w:vertAlign w:val="subscript"/>
        </w:rPr>
        <w:t>2</w:t>
      </w:r>
      <w:r>
        <w:rPr>
          <w:noProof/>
          <w:vertAlign w:val="subscript"/>
        </w:rPr>
        <w:t xml:space="preserve"> </w:t>
      </w:r>
      <w:r>
        <w:rPr>
          <w:noProof/>
        </w:rPr>
        <w:t xml:space="preserve">as emitted unless proven that it is permanently stored, </w:t>
      </w:r>
      <w:r w:rsidRPr="0081BEF5">
        <w:rPr>
          <w:rStyle w:val="normaltextrun"/>
          <w:noProof/>
        </w:rPr>
        <w:t>and</w:t>
      </w:r>
      <w:r>
        <w:rPr>
          <w:rStyle w:val="normaltextrun"/>
          <w:noProof/>
        </w:rPr>
        <w:t xml:space="preserve"> assess alternative accounting options that recognise the environmental and economic benefits of non-permanent CCU products, while maintaining the integrity of the EU ETS. </w:t>
      </w:r>
      <w:r w:rsidRPr="003D3BB3">
        <w:rPr>
          <w:rStyle w:val="eop"/>
          <w:noProof/>
        </w:rPr>
        <w:t> </w:t>
      </w:r>
    </w:p>
    <w:p w14:paraId="709AEE93" w14:textId="77777777" w:rsidR="009010D9" w:rsidRPr="003D3BB3" w:rsidRDefault="009010D9">
      <w:pPr>
        <w:rPr>
          <w:rFonts w:cs="Arial"/>
          <w:noProof/>
        </w:rPr>
      </w:pPr>
      <w:r w:rsidRPr="3D859AE7">
        <w:rPr>
          <w:rStyle w:val="normaltextrun"/>
          <w:noProof/>
        </w:rPr>
        <w:t>In the open public consultation, most respondents, including a majority of companies/businesses and business associations (mainly from the energy sector and manufacturing industry), agreed that surrender obligations should be adjusted where emissions are captured and used in products without permanent storage, in order to recognize the potential climate benefits of capture and use (84 respondents, i.e. 34% strongly agreed and 55 respondents, i.e. 23% somewhat agreed). However, most NGOs and environmental organizations (strongly) disagreed with this option due to the higher integrity offered by the current system, despite its potential for double counting of emissions. Nonetheless, there was broad support across all stakeholder groups (including from both companies/businesses and business associations and NGOs) for introducing restrictions or conditions when adjusting surrender obligations for the capture and use of non-permanent carbon (e.g.: minimum emission savings, displacement of fossil carbon, avoiding double counting/pricing of the same emissions), where 47 respondents (19%) and 83 (34%) somewhat agreed.</w:t>
      </w:r>
      <w:r w:rsidRPr="3D859AE7">
        <w:rPr>
          <w:rStyle w:val="eop"/>
          <w:noProof/>
        </w:rPr>
        <w:t> </w:t>
      </w:r>
    </w:p>
    <w:p w14:paraId="02BF5F43" w14:textId="77777777" w:rsidR="009010D9" w:rsidRDefault="009010D9">
      <w:pPr>
        <w:rPr>
          <w:rStyle w:val="normaltextrun"/>
          <w:noProof/>
        </w:rPr>
      </w:pPr>
      <w:r>
        <w:rPr>
          <w:rStyle w:val="normaltextrun"/>
          <w:noProof/>
        </w:rPr>
        <w:t xml:space="preserve">The EU ETS </w:t>
      </w:r>
      <w:r w:rsidRPr="003D3BB3" w:rsidDel="005A2D80">
        <w:rPr>
          <w:rStyle w:val="normaltextrun"/>
          <w:noProof/>
        </w:rPr>
        <w:t>framework</w:t>
      </w:r>
      <w:r w:rsidDel="005A2D80">
        <w:rPr>
          <w:rStyle w:val="normaltextrun"/>
          <w:noProof/>
        </w:rPr>
        <w:t xml:space="preserve"> covering stationary installations, maritime and aviation,</w:t>
      </w:r>
      <w:r w:rsidRPr="003D3BB3" w:rsidDel="005A2D80">
        <w:rPr>
          <w:rStyle w:val="normaltextrun"/>
          <w:noProof/>
        </w:rPr>
        <w:t xml:space="preserve"> does not fully address the unique characteristics of non-permanent CCU products, such as different carbon sources and variable storage durations for the captured carbon and embedded in a production. Non-permanent CCU applications represent a form of carbon re-use, where emissions resulting from some economic activities that would have otherwise been released directly into the atmosphere are captured and </w:t>
      </w:r>
      <w:r w:rsidDel="005A2D80">
        <w:rPr>
          <w:rStyle w:val="normaltextrun"/>
          <w:noProof/>
        </w:rPr>
        <w:t xml:space="preserve">permanently used or stored or captured </w:t>
      </w:r>
      <w:r w:rsidRPr="003D3BB3" w:rsidDel="005A2D80">
        <w:rPr>
          <w:rStyle w:val="normaltextrun"/>
          <w:noProof/>
        </w:rPr>
        <w:t xml:space="preserve">and utilised as a useful input for the manufacturing of other products. However, the carbon embedded in non-permanent CCU products (by definition) will be released into the atmosphere either during use or at the end-of-life of the respective product. </w:t>
      </w:r>
      <w:r w:rsidRPr="003D3BB3">
        <w:rPr>
          <w:rStyle w:val="normaltextrun"/>
          <w:noProof/>
        </w:rPr>
        <w:t xml:space="preserve">As highlighted in Article 30(5)(c) of the ETS Directive, addressing non-permanent CCU is fundamentally a carbon accounting challenge, by which it is meant measuring and reporting emissions and surrendering the corresponding quantity of ETS emission allowances. This assessment is focused on several options for accounting for non-permanent CCU in the EU </w:t>
      </w:r>
      <w:r>
        <w:rPr>
          <w:rStyle w:val="normaltextrun"/>
          <w:noProof/>
        </w:rPr>
        <w:t>ETS</w:t>
      </w:r>
      <w:r w:rsidRPr="003D3BB3">
        <w:rPr>
          <w:rStyle w:val="normaltextrun"/>
          <w:noProof/>
        </w:rPr>
        <w:t xml:space="preserve">, assessing the most effective approach for regulating and accounting for the capture and use of carbon in a manner that maintains the integrity of the </w:t>
      </w:r>
      <w:r>
        <w:rPr>
          <w:rStyle w:val="normaltextrun"/>
          <w:noProof/>
        </w:rPr>
        <w:t xml:space="preserve">EU ETS </w:t>
      </w:r>
      <w:r w:rsidRPr="003D3BB3">
        <w:rPr>
          <w:rStyle w:val="normaltextrun"/>
          <w:noProof/>
        </w:rPr>
        <w:t xml:space="preserve">i.e. reduces net emissions and ensures emissions are accounted for in a fair and equal manner. </w:t>
      </w:r>
      <w:r>
        <w:rPr>
          <w:rStyle w:val="normaltextrun"/>
          <w:noProof/>
        </w:rPr>
        <w:t xml:space="preserve">However, in additional to a pure accounting exercise, recognising non-permanent CCU also has economic impacts for ETS operators, providing additional pathways for abating their emissions and contributing to achieving the objectives of the ETS Directive in a more efficient and effective manner. </w:t>
      </w:r>
    </w:p>
    <w:p w14:paraId="02B64983" w14:textId="77777777" w:rsidR="009010D9" w:rsidRPr="003D3BB3" w:rsidRDefault="009010D9">
      <w:pPr>
        <w:rPr>
          <w:rFonts w:cs="Arial"/>
          <w:noProof/>
        </w:rPr>
      </w:pPr>
      <w:r>
        <w:rPr>
          <w:rStyle w:val="normaltextrun"/>
          <w:noProof/>
        </w:rPr>
        <w:t xml:space="preserve">The measures addressing non-permanent CCU in the EU ETS are described and assessed in section 2.3. The assessment of the environmental and economic impacts has been done based on the </w:t>
      </w:r>
      <w:r w:rsidRPr="003D3BB3">
        <w:rPr>
          <w:rStyle w:val="normaltextrun"/>
          <w:noProof/>
        </w:rPr>
        <w:t>following</w:t>
      </w:r>
      <w:r>
        <w:rPr>
          <w:rStyle w:val="normaltextrun"/>
          <w:noProof/>
        </w:rPr>
        <w:t xml:space="preserve"> criteria</w:t>
      </w:r>
      <w:r w:rsidRPr="003D3BB3">
        <w:rPr>
          <w:rStyle w:val="normaltextrun"/>
          <w:noProof/>
        </w:rPr>
        <w:t>:</w:t>
      </w:r>
      <w:r w:rsidRPr="003D3BB3">
        <w:rPr>
          <w:rStyle w:val="eop"/>
          <w:noProof/>
        </w:rPr>
        <w:t> </w:t>
      </w:r>
    </w:p>
    <w:p w14:paraId="262ED49A" w14:textId="77777777" w:rsidR="009010D9" w:rsidRPr="003D3BB3" w:rsidRDefault="009010D9" w:rsidP="00FF38B3">
      <w:pPr>
        <w:rPr>
          <w:noProof/>
        </w:rPr>
      </w:pPr>
      <w:r w:rsidRPr="0081BEF5">
        <w:rPr>
          <w:rStyle w:val="normaltextrun"/>
          <w:noProof/>
        </w:rPr>
        <w:t xml:space="preserve">Whether they provide a level playing field for non-permanent CCU. To produce CCU fuels or chemicals, the current </w:t>
      </w:r>
      <w:r>
        <w:rPr>
          <w:rStyle w:val="normaltextrun"/>
          <w:noProof/>
        </w:rPr>
        <w:t>EU ETS</w:t>
      </w:r>
      <w:r w:rsidRPr="0081BEF5">
        <w:rPr>
          <w:rStyle w:val="normaltextrun"/>
          <w:noProof/>
        </w:rPr>
        <w:t xml:space="preserve"> rules require payment for the emissions captured and embedded in any product that does not meet the permanence criteria. This situation leads to a lack of level playing field between the traditional petrochemicals, for which no payment is required in the ETS when using virgin fossil carbon, and alternatives based on CCU.</w:t>
      </w:r>
      <w:r w:rsidRPr="0081BEF5">
        <w:rPr>
          <w:rStyle w:val="eop"/>
          <w:noProof/>
        </w:rPr>
        <w:t> </w:t>
      </w:r>
    </w:p>
    <w:p w14:paraId="6D9ED049" w14:textId="77777777" w:rsidR="009010D9" w:rsidRPr="00515C64" w:rsidRDefault="009010D9" w:rsidP="00FF38B3">
      <w:pPr>
        <w:rPr>
          <w:rStyle w:val="normaltextrun"/>
          <w:noProof/>
        </w:rPr>
      </w:pPr>
      <w:r w:rsidRPr="000A7729">
        <w:rPr>
          <w:rStyle w:val="normaltextrun"/>
          <w:noProof/>
        </w:rPr>
        <w:t>Whether</w:t>
      </w:r>
      <w:r w:rsidRPr="003D3BB3">
        <w:rPr>
          <w:rStyle w:val="normaltextrun"/>
          <w:noProof/>
          <w:szCs w:val="20"/>
        </w:rPr>
        <w:t xml:space="preserve"> they ensure accounting effectiveness and a cost-efficient reduction of emissions. With the integration of waste incineration into the ETS, virgin fossil feedstock would be subject to carbon pricing at the point where the carbon is released from the product, potentially levelling the playing field. However, without a change in the CCU rules, the emissions embedded in non-permanent products would be paid twice: once when captured (unless they meet the permanence requirement) and a second time at the end of life when incinerated. This leads to a double counting/pricing of emissions, which results an inefficient reduction of emissions.</w:t>
      </w:r>
      <w:r w:rsidRPr="00515C64">
        <w:rPr>
          <w:rStyle w:val="normaltextrun"/>
          <w:noProof/>
        </w:rPr>
        <w:t> </w:t>
      </w:r>
    </w:p>
    <w:p w14:paraId="00A96980" w14:textId="77777777" w:rsidR="009010D9" w:rsidRPr="00A64A8F" w:rsidRDefault="009010D9" w:rsidP="00FF38B3">
      <w:pPr>
        <w:rPr>
          <w:rStyle w:val="eop"/>
          <w:noProof/>
        </w:rPr>
      </w:pPr>
      <w:r w:rsidRPr="003D3BB3">
        <w:rPr>
          <w:rStyle w:val="normaltextrun"/>
          <w:noProof/>
          <w:szCs w:val="20"/>
        </w:rPr>
        <w:t xml:space="preserve">Whether the </w:t>
      </w:r>
      <w:r>
        <w:rPr>
          <w:rStyle w:val="normaltextrun"/>
          <w:noProof/>
          <w:szCs w:val="20"/>
        </w:rPr>
        <w:t>changes of the ETS accounting of emissions in</w:t>
      </w:r>
      <w:r w:rsidRPr="003D3BB3">
        <w:rPr>
          <w:rStyle w:val="normaltextrun"/>
          <w:noProof/>
          <w:szCs w:val="20"/>
        </w:rPr>
        <w:t xml:space="preserve"> non-permanent CCU </w:t>
      </w:r>
      <w:r>
        <w:rPr>
          <w:rStyle w:val="normaltextrun"/>
          <w:noProof/>
          <w:szCs w:val="20"/>
        </w:rPr>
        <w:t>products</w:t>
      </w:r>
      <w:r w:rsidRPr="003D3BB3">
        <w:rPr>
          <w:rStyle w:val="normaltextrun"/>
          <w:noProof/>
          <w:szCs w:val="20"/>
        </w:rPr>
        <w:t xml:space="preserve"> leads to excessive administrative burden. </w:t>
      </w:r>
      <w:r w:rsidRPr="003D3BB3">
        <w:rPr>
          <w:rStyle w:val="eop"/>
          <w:noProof/>
          <w:szCs w:val="20"/>
        </w:rPr>
        <w:t> </w:t>
      </w:r>
    </w:p>
    <w:p w14:paraId="7E40F30B" w14:textId="77777777" w:rsidR="009010D9" w:rsidRPr="00A64A8F" w:rsidRDefault="009010D9">
      <w:pPr>
        <w:rPr>
          <w:noProof/>
        </w:rPr>
      </w:pPr>
      <w:r>
        <w:rPr>
          <w:noProof/>
        </w:rPr>
        <w:t xml:space="preserve">Ensuring a level playing field between non-permanent CCU products and CCS and permanent CCU products will be assessed in the impact section. </w:t>
      </w:r>
    </w:p>
    <w:p w14:paraId="1CB8D8E6" w14:textId="77777777" w:rsidR="009010D9" w:rsidRPr="003D3BB3" w:rsidRDefault="009010D9" w:rsidP="00257C2D">
      <w:pPr>
        <w:pStyle w:val="Heading2COM"/>
        <w:outlineLvl w:val="2"/>
        <w15:collapsed w:val="0"/>
        <w:rPr>
          <w:noProof/>
        </w:rPr>
      </w:pPr>
      <w:bookmarkStart w:id="828" w:name="_Toc212025448"/>
      <w:bookmarkStart w:id="829" w:name="_Toc212025449"/>
      <w:bookmarkStart w:id="830" w:name="_Toc212426478"/>
      <w:bookmarkStart w:id="831" w:name="_Toc1260363051"/>
      <w:bookmarkStart w:id="832" w:name="_Toc230861565"/>
      <w:bookmarkStart w:id="833" w:name="_Toc232751187"/>
      <w:bookmarkEnd w:id="828"/>
      <w:r w:rsidRPr="003D3BB3">
        <w:rPr>
          <w:noProof/>
        </w:rPr>
        <w:t>Scoping</w:t>
      </w:r>
      <w:bookmarkEnd w:id="829"/>
      <w:bookmarkEnd w:id="830"/>
      <w:bookmarkEnd w:id="831"/>
      <w:bookmarkEnd w:id="832"/>
      <w:bookmarkEnd w:id="833"/>
      <w:r w:rsidRPr="003D3BB3">
        <w:rPr>
          <w:noProof/>
        </w:rPr>
        <w:t xml:space="preserve"> </w:t>
      </w:r>
    </w:p>
    <w:p w14:paraId="7A659DC8" w14:textId="77777777" w:rsidR="009010D9" w:rsidRDefault="009010D9">
      <w:pPr>
        <w:rPr>
          <w:noProof/>
        </w:rPr>
      </w:pPr>
      <w:r w:rsidRPr="003D3BB3">
        <w:rPr>
          <w:noProof/>
        </w:rPr>
        <w:t xml:space="preserve">Non-permanent CCU is a broad concept and covers a wide range of products that could be potentially manufactured via the CCU process. Assessing the impact of the different potential accounting approaches for non-permanent CCU cannot be done in abstract, and such assessment needs to consider the characteristics of the respective products, in particular their use and end-of-life treatment. This can ultimately allow to ascertain if the final release of the emissions from the non-permanent CCU products will be covered by the </w:t>
      </w:r>
      <w:r>
        <w:rPr>
          <w:noProof/>
        </w:rPr>
        <w:t xml:space="preserve">EU ETS </w:t>
      </w:r>
      <w:r w:rsidRPr="003D3BB3">
        <w:rPr>
          <w:noProof/>
        </w:rPr>
        <w:t>and thus if accounting further downstream, instead of at point of capture, would lead to accounting loopholes. Therefore, this section focuses on identifying the potential non-permanent CCU products that need to be kept in mind when considering how CCU could be reflected in the ETS, and the associated accounting approach. </w:t>
      </w:r>
    </w:p>
    <w:p w14:paraId="276304A2" w14:textId="77777777" w:rsidR="009010D9" w:rsidRDefault="009010D9">
      <w:pPr>
        <w:rPr>
          <w:noProof/>
        </w:rPr>
      </w:pPr>
      <w:r>
        <w:rPr>
          <w:noProof/>
        </w:rPr>
        <w:t>It is important to underline that the EU ETS is a system that sets an overall cap and requires the surrendering of allowances for “fossil” resulting from activities within the scope of the EU ETS Directive. “Fossil” emissions effectively means the emissions resulting from source streams that are not considered to be zero-rated under specific provisions of the ETS Directive or its secondary legislation. Zero-rated source streams include biomass that is certified as meeting the sustainability criteria or of the Renewable Energy Directive</w:t>
      </w:r>
      <w:r>
        <w:rPr>
          <w:rStyle w:val="FootnoteReference"/>
          <w:noProof/>
        </w:rPr>
        <w:footnoteReference w:id="178"/>
      </w:r>
      <w:r>
        <w:rPr>
          <w:noProof/>
        </w:rPr>
        <w:t xml:space="preserve"> (RED) emissions, or e-fuels that are certified as meeting the 70% emissions savings. The emissions resulting from zero-rated source streams are also considered to be zero-rated, which means that they do not require the surrender of emission allowances. Emissions resulting from the combustion of non-sustainable biomass would not be zero-rated and treated the same way as fossil emissions.</w:t>
      </w:r>
    </w:p>
    <w:p w14:paraId="1CB581D0" w14:textId="77777777" w:rsidR="009010D9" w:rsidRPr="003D3BB3" w:rsidRDefault="009010D9">
      <w:pPr>
        <w:spacing w:line="257" w:lineRule="auto"/>
        <w:rPr>
          <w:noProof/>
        </w:rPr>
      </w:pPr>
      <w:r>
        <w:rPr>
          <w:noProof/>
        </w:rPr>
        <w:t>For this assessment, carbon capture and utilisation and the accounting of emissions in the ETS refers exclusively to the treatment of fossil emissions that are captured and stored or utilised. Emissions that are zero-rated receive the same treatment in the ETS regardless of whether they are released directly in the atmosphere or captured, stored or utilised in non-permanent products, i.e. they do not require the surrender of emission allowances. The EU ETS does not give credits for the capture of emissions that are already zero-rated, and the certification of carbon removals (permanent or temporary) is done under a different legal framework, namely under the Carbon Removals and Carbon Farming Regulation (CRCF).</w:t>
      </w:r>
      <w:r>
        <w:rPr>
          <w:rStyle w:val="FootnoteReference"/>
          <w:noProof/>
        </w:rPr>
        <w:footnoteReference w:id="179"/>
      </w:r>
      <w:r w:rsidRPr="2117A579">
        <w:rPr>
          <w:rFonts w:eastAsia="Times New Roman"/>
          <w:noProof/>
        </w:rPr>
        <w:t>The options for integration of carbon removals in the EU ETS are analysed separately in Annex 8.</w:t>
      </w:r>
    </w:p>
    <w:p w14:paraId="7A41BC8F" w14:textId="77777777" w:rsidR="009010D9" w:rsidRDefault="009010D9" w:rsidP="00257C2D">
      <w:pPr>
        <w:pStyle w:val="Heading3COM"/>
        <w:outlineLvl w:val="3"/>
        <w:rPr>
          <w:noProof/>
        </w:rPr>
      </w:pPr>
      <w:bookmarkStart w:id="834" w:name="_Toc230861566"/>
      <w:bookmarkStart w:id="835" w:name="_Toc232751188"/>
      <w:bookmarkStart w:id="836" w:name="_Toc212025450"/>
      <w:bookmarkStart w:id="837" w:name="_Toc212426479"/>
      <w:bookmarkStart w:id="838" w:name="_Toc292452600"/>
      <w:r>
        <w:rPr>
          <w:noProof/>
        </w:rPr>
        <w:t>Description of importance and potential for CCU market, products</w:t>
      </w:r>
      <w:bookmarkEnd w:id="834"/>
      <w:bookmarkEnd w:id="835"/>
    </w:p>
    <w:p w14:paraId="46EBBC66" w14:textId="2DF4FFE0" w:rsidR="009010D9" w:rsidRDefault="009010D9">
      <w:pPr>
        <w:rPr>
          <w:noProof/>
        </w:rPr>
      </w:pPr>
      <w:r>
        <w:rPr>
          <w:noProof/>
        </w:rPr>
        <w:t>As mentioned in the overview, CCU is recognised as a potential solution for reducing emissions for sectors where the</w:t>
      </w:r>
      <w:r w:rsidR="4FF856C8">
        <w:rPr>
          <w:noProof/>
        </w:rPr>
        <w:t>re</w:t>
      </w:r>
      <w:r>
        <w:rPr>
          <w:noProof/>
        </w:rPr>
        <w:t xml:space="preserve"> are very few other decarbonisation options, such as the chemicals</w:t>
      </w:r>
      <w:r w:rsidR="08D0035C">
        <w:rPr>
          <w:noProof/>
        </w:rPr>
        <w:t xml:space="preserve"> or the cement</w:t>
      </w:r>
      <w:r>
        <w:rPr>
          <w:noProof/>
        </w:rPr>
        <w:t xml:space="preserve"> </w:t>
      </w:r>
      <w:r w:rsidR="179DCFBD">
        <w:rPr>
          <w:noProof/>
        </w:rPr>
        <w:t>sectors,</w:t>
      </w:r>
      <w:r>
        <w:rPr>
          <w:noProof/>
        </w:rPr>
        <w:t xml:space="preserve"> but also some transport modes such as aviation and maritime. In this context, some stakeholders argue that CCU provides the opportunity to provide a source of “renewable carbon”, which when matched with an adequate supply of renewable energy can significantly reduce the emissions of hard to abate sectors. </w:t>
      </w:r>
    </w:p>
    <w:p w14:paraId="5CA77809" w14:textId="77777777" w:rsidR="009010D9" w:rsidRPr="00D56F18" w:rsidRDefault="009010D9" w:rsidP="00C92FA9">
      <w:pPr>
        <w:pStyle w:val="Figuretitle"/>
        <w:rPr>
          <w:noProof/>
        </w:rPr>
      </w:pPr>
      <w:bookmarkStart w:id="839" w:name="_Toc222740777"/>
      <w:r w:rsidRPr="005A20A8">
        <w:rPr>
          <w:noProof/>
          <w:highlight w:val="yellow"/>
          <w:lang w:eastAsia="en-GB"/>
        </w:rPr>
        <w:drawing>
          <wp:anchor distT="0" distB="0" distL="114300" distR="114300" simplePos="0" relativeHeight="251658240" behindDoc="1" locked="0" layoutInCell="1" allowOverlap="1" wp14:anchorId="7DEE9BDE" wp14:editId="45DE920D">
            <wp:simplePos x="0" y="0"/>
            <wp:positionH relativeFrom="margin">
              <wp:posOffset>245110</wp:posOffset>
            </wp:positionH>
            <wp:positionV relativeFrom="paragraph">
              <wp:posOffset>352425</wp:posOffset>
            </wp:positionV>
            <wp:extent cx="5517515" cy="3103245"/>
            <wp:effectExtent l="0" t="0" r="6985" b="1905"/>
            <wp:wrapSquare wrapText="bothSides"/>
            <wp:docPr id="1542938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517515" cy="3103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Concept of Renewable Carbon</w:t>
      </w:r>
      <w:bookmarkEnd w:id="839"/>
    </w:p>
    <w:p w14:paraId="2CF8ADAD" w14:textId="77777777" w:rsidR="00CC4F87" w:rsidRDefault="009010D9">
      <w:pPr>
        <w:rPr>
          <w:i/>
          <w:iCs/>
          <w:noProof/>
          <w:sz w:val="20"/>
          <w:szCs w:val="20"/>
        </w:rPr>
      </w:pPr>
      <w:r w:rsidRPr="000959B3">
        <w:rPr>
          <w:i/>
          <w:iCs/>
          <w:noProof/>
          <w:sz w:val="20"/>
          <w:szCs w:val="20"/>
        </w:rPr>
        <w:t>Source: Nova Institute</w:t>
      </w:r>
    </w:p>
    <w:p w14:paraId="1C696C34" w14:textId="5B2B83E3" w:rsidR="000A7729" w:rsidRDefault="009010D9">
      <w:pPr>
        <w:rPr>
          <w:noProof/>
        </w:rPr>
      </w:pPr>
      <w:r>
        <w:rPr>
          <w:noProof/>
        </w:rPr>
        <w:t xml:space="preserve">As emphasised in the </w:t>
      </w:r>
      <w:r w:rsidRPr="008E4144">
        <w:rPr>
          <w:noProof/>
        </w:rPr>
        <w:t>European Chemicals Industry Action Plan</w:t>
      </w:r>
      <w:r>
        <w:rPr>
          <w:noProof/>
        </w:rPr>
        <w:t>, this is particularly important for the chemicals sectors, which requires significant amount of carbon feedstock (estimated at over 120 Mt/C/year for the EU-27) and more than 90% of it is derived from fossil sources</w:t>
      </w:r>
      <w:r>
        <w:rPr>
          <w:rStyle w:val="FootnoteReference"/>
          <w:noProof/>
        </w:rPr>
        <w:footnoteReference w:id="180"/>
      </w:r>
      <w:r>
        <w:rPr>
          <w:noProof/>
        </w:rPr>
        <w:t xml:space="preserve"> . Therefore, the chemical conversion of </w:t>
      </w:r>
      <w:r w:rsidRPr="00536432">
        <w:rPr>
          <w:noProof/>
        </w:rPr>
        <w:t>CO</w:t>
      </w:r>
      <w:r w:rsidRPr="00536432">
        <w:rPr>
          <w:noProof/>
          <w:vertAlign w:val="subscript"/>
        </w:rPr>
        <w:t>2 </w:t>
      </w:r>
      <w:r>
        <w:rPr>
          <w:noProof/>
        </w:rPr>
        <w:t>presents an important potential to produce a wide variety of chemicals without relying on fossil feedstocks. Figure xx provides an overview of the different CO</w:t>
      </w:r>
      <w:r>
        <w:rPr>
          <w:noProof/>
          <w:vertAlign w:val="subscript"/>
        </w:rPr>
        <w:t>2</w:t>
      </w:r>
      <w:r>
        <w:rPr>
          <w:noProof/>
        </w:rPr>
        <w:t xml:space="preserve"> conversion technologies and the range of resulting CCU products, as well as their technology readiness levels.</w:t>
      </w:r>
    </w:p>
    <w:p w14:paraId="369F78D8" w14:textId="77777777" w:rsidR="000A7729" w:rsidRDefault="000A7729">
      <w:pPr>
        <w:spacing w:before="0" w:line="259" w:lineRule="auto"/>
        <w:rPr>
          <w:noProof/>
        </w:rPr>
      </w:pPr>
      <w:r>
        <w:rPr>
          <w:noProof/>
        </w:rPr>
        <w:br w:type="page"/>
      </w:r>
    </w:p>
    <w:p w14:paraId="126A9DD3" w14:textId="344DA430" w:rsidR="009010D9" w:rsidRDefault="009010D9" w:rsidP="00C92FA9">
      <w:pPr>
        <w:pStyle w:val="Figuretitle"/>
        <w:rPr>
          <w:noProof/>
        </w:rPr>
      </w:pPr>
      <w:bookmarkStart w:id="840" w:name="_Toc222740778"/>
      <w:r>
        <w:rPr>
          <w:noProof/>
        </w:rPr>
        <w:t>Overview CCU technology pathways for chemicals and polymers</w:t>
      </w:r>
      <w:bookmarkEnd w:id="840"/>
    </w:p>
    <w:p w14:paraId="1F356D57" w14:textId="39065919" w:rsidR="009010D9" w:rsidRDefault="0085116B">
      <w:pPr>
        <w:rPr>
          <w:i/>
          <w:iCs/>
          <w:noProof/>
          <w:sz w:val="20"/>
          <w:szCs w:val="20"/>
        </w:rPr>
      </w:pPr>
      <w:r>
        <w:rPr>
          <w:noProof/>
          <w:lang w:eastAsia="en-GB"/>
        </w:rPr>
        <w:drawing>
          <wp:inline distT="0" distB="0" distL="0" distR="0" wp14:anchorId="4394E9BA" wp14:editId="18FEE5CE">
            <wp:extent cx="5731510" cy="3221526"/>
            <wp:effectExtent l="0" t="0" r="2540" b="0"/>
            <wp:docPr id="534770072" name="Picture 3" descr="A diagram of a chemical comp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70072" name="Picture 3" descr="A diagram of a chemical compound&#10;&#10;AI-generated content may be incorrect."/>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31510" cy="3221526"/>
                    </a:xfrm>
                    <a:prstGeom prst="rect">
                      <a:avLst/>
                    </a:prstGeom>
                    <a:noFill/>
                    <a:ln>
                      <a:noFill/>
                    </a:ln>
                  </pic:spPr>
                </pic:pic>
              </a:graphicData>
            </a:graphic>
          </wp:inline>
        </w:drawing>
      </w:r>
    </w:p>
    <w:p w14:paraId="5FB0533B" w14:textId="2EF5098F" w:rsidR="009010D9" w:rsidRPr="00EA6688" w:rsidRDefault="009010D9">
      <w:pPr>
        <w:rPr>
          <w:i/>
          <w:iCs/>
          <w:noProof/>
          <w:sz w:val="20"/>
          <w:szCs w:val="20"/>
        </w:rPr>
      </w:pPr>
      <w:r w:rsidRPr="000959B3">
        <w:rPr>
          <w:i/>
          <w:iCs/>
          <w:noProof/>
          <w:sz w:val="20"/>
          <w:szCs w:val="20"/>
        </w:rPr>
        <w:t>Source: Nova Institute</w:t>
      </w:r>
    </w:p>
    <w:p w14:paraId="0A75FA38" w14:textId="07FFD1DE" w:rsidR="009010D9" w:rsidRDefault="009010D9">
      <w:pPr>
        <w:rPr>
          <w:noProof/>
        </w:rPr>
      </w:pPr>
      <w:r>
        <w:rPr>
          <w:noProof/>
        </w:rPr>
        <w:t>A 2023 report</w:t>
      </w:r>
      <w:r>
        <w:rPr>
          <w:rStyle w:val="FootnoteReference"/>
          <w:noProof/>
        </w:rPr>
        <w:footnoteReference w:id="181"/>
      </w:r>
      <w:r>
        <w:rPr>
          <w:noProof/>
        </w:rPr>
        <w:t xml:space="preserve"> identified that in 2022, the</w:t>
      </w:r>
      <w:r w:rsidRPr="00515BF5">
        <w:rPr>
          <w:noProof/>
        </w:rPr>
        <w:t xml:space="preserve"> total production capacity of novel CO</w:t>
      </w:r>
      <w:r w:rsidRPr="00515BF5">
        <w:rPr>
          <w:noProof/>
          <w:vertAlign w:val="subscript"/>
        </w:rPr>
        <w:t>2</w:t>
      </w:r>
      <w:r w:rsidRPr="00515BF5">
        <w:rPr>
          <w:noProof/>
        </w:rPr>
        <w:t xml:space="preserve">-based products of about 1.3 Mt/a </w:t>
      </w:r>
      <w:r>
        <w:rPr>
          <w:noProof/>
        </w:rPr>
        <w:t>with an outlook by</w:t>
      </w:r>
      <w:r w:rsidRPr="00515BF5">
        <w:rPr>
          <w:noProof/>
        </w:rPr>
        <w:t xml:space="preserve"> 2030 expected to exceed 6 Mt/a of CO</w:t>
      </w:r>
      <w:r w:rsidRPr="00515BF5">
        <w:rPr>
          <w:noProof/>
          <w:vertAlign w:val="subscript"/>
        </w:rPr>
        <w:t>2</w:t>
      </w:r>
      <w:r w:rsidRPr="00515BF5">
        <w:rPr>
          <w:noProof/>
        </w:rPr>
        <w:t>-based products. </w:t>
      </w:r>
      <w:r>
        <w:rPr>
          <w:noProof/>
        </w:rPr>
        <w:t>A 2024 evaluation of a number industry studies and reports on the future of the plastics or chemicals sectors</w:t>
      </w:r>
      <w:r>
        <w:rPr>
          <w:rStyle w:val="FootnoteReference"/>
          <w:noProof/>
        </w:rPr>
        <w:footnoteReference w:id="182"/>
      </w:r>
      <w:r>
        <w:rPr>
          <w:noProof/>
        </w:rPr>
        <w:t xml:space="preserve"> identified that the use of CO</w:t>
      </w:r>
      <w:r w:rsidRPr="008A1C9F">
        <w:rPr>
          <w:noProof/>
          <w:vertAlign w:val="subscript"/>
        </w:rPr>
        <w:t>2</w:t>
      </w:r>
      <w:r>
        <w:rPr>
          <w:noProof/>
        </w:rPr>
        <w:t xml:space="preserve"> as feedstock in CCU applications amounted by 2050 to an average 17% of the share of feedstock for plastics and 33% for chemicals in general (exceeding the predicated share of biomass for materials). </w:t>
      </w:r>
      <w:r w:rsidRPr="008A1C9F">
        <w:rPr>
          <w:noProof/>
        </w:rPr>
        <w:t xml:space="preserve"> </w:t>
      </w:r>
    </w:p>
    <w:p w14:paraId="6B0CEC84" w14:textId="00F8D6C7" w:rsidR="009010D9" w:rsidRPr="009E675E" w:rsidRDefault="009010D9">
      <w:pPr>
        <w:rPr>
          <w:noProof/>
        </w:rPr>
      </w:pPr>
      <w:r>
        <w:rPr>
          <w:noProof/>
        </w:rPr>
        <w:t>This makes it clear that CCU plays currently a small role as an industrial technology, but it presents an important potential for the development of new production methods that are inherently better suited to a low carbon, net-zero economy. Against this background, this assessment considers the role the EU ETS can play in providing a level playing field for CCU applications to develop and compete with traditional fossil-based production methods</w:t>
      </w:r>
    </w:p>
    <w:p w14:paraId="69DA6A4E" w14:textId="77777777" w:rsidR="009010D9" w:rsidRPr="003D3BB3" w:rsidRDefault="009010D9" w:rsidP="00257C2D">
      <w:pPr>
        <w:pStyle w:val="Heading3COM"/>
        <w:outlineLvl w:val="3"/>
        <w:rPr>
          <w:noProof/>
        </w:rPr>
      </w:pPr>
      <w:bookmarkStart w:id="841" w:name="_Toc230861567"/>
      <w:bookmarkStart w:id="842" w:name="_Toc232751189"/>
      <w:r w:rsidRPr="003D3BB3">
        <w:rPr>
          <w:noProof/>
        </w:rPr>
        <w:t>Identification and description of accounting approaches</w:t>
      </w:r>
      <w:bookmarkEnd w:id="836"/>
      <w:bookmarkEnd w:id="837"/>
      <w:bookmarkEnd w:id="838"/>
      <w:bookmarkEnd w:id="841"/>
      <w:bookmarkEnd w:id="842"/>
      <w:r w:rsidRPr="003D3BB3">
        <w:rPr>
          <w:noProof/>
        </w:rPr>
        <w:t> </w:t>
      </w:r>
    </w:p>
    <w:p w14:paraId="7B2D10F8" w14:textId="77777777" w:rsidR="009010D9" w:rsidRDefault="009010D9">
      <w:pPr>
        <w:rPr>
          <w:noProof/>
        </w:rPr>
      </w:pPr>
      <w:r w:rsidRPr="003D3BB3">
        <w:rPr>
          <w:noProof/>
        </w:rPr>
        <w:t xml:space="preserve">‘Upstream’ ‘downstream’, and ‘midstream’ in the context of this assessment </w:t>
      </w:r>
      <w:r>
        <w:rPr>
          <w:noProof/>
        </w:rPr>
        <w:t>refer</w:t>
      </w:r>
      <w:r w:rsidRPr="003D3BB3">
        <w:rPr>
          <w:noProof/>
        </w:rPr>
        <w:t xml:space="preserve"> to the</w:t>
      </w:r>
      <w:r>
        <w:rPr>
          <w:noProof/>
        </w:rPr>
        <w:t xml:space="preserve"> different stages </w:t>
      </w:r>
      <w:r w:rsidRPr="003D3BB3">
        <w:rPr>
          <w:noProof/>
        </w:rPr>
        <w:t xml:space="preserve">in the CCU value chain, i.e., ‘upstream’ </w:t>
      </w:r>
      <w:r>
        <w:rPr>
          <w:noProof/>
        </w:rPr>
        <w:t xml:space="preserve">representing the initial </w:t>
      </w:r>
      <w:r w:rsidRPr="003D3BB3">
        <w:rPr>
          <w:noProof/>
        </w:rPr>
        <w:t>carbon capture</w:t>
      </w:r>
      <w:r>
        <w:rPr>
          <w:noProof/>
        </w:rPr>
        <w:t xml:space="preserve"> stage</w:t>
      </w:r>
      <w:r w:rsidRPr="003D3BB3">
        <w:rPr>
          <w:noProof/>
        </w:rPr>
        <w:t xml:space="preserve"> and ‘downstream’ </w:t>
      </w:r>
      <w:r>
        <w:rPr>
          <w:noProof/>
        </w:rPr>
        <w:t>is the stage</w:t>
      </w:r>
      <w:r w:rsidRPr="003D3BB3">
        <w:rPr>
          <w:noProof/>
        </w:rPr>
        <w:t xml:space="preserve"> </w:t>
      </w:r>
      <w:r>
        <w:rPr>
          <w:noProof/>
        </w:rPr>
        <w:t>where</w:t>
      </w:r>
      <w:r w:rsidRPr="003D3BB3">
        <w:rPr>
          <w:noProof/>
        </w:rPr>
        <w:t xml:space="preserve"> the emission </w:t>
      </w:r>
      <w:r>
        <w:rPr>
          <w:noProof/>
        </w:rPr>
        <w:t xml:space="preserve">eventually </w:t>
      </w:r>
      <w:r w:rsidRPr="003D3BB3">
        <w:rPr>
          <w:noProof/>
        </w:rPr>
        <w:t>occurs, such as at the point of combustion of a fuel or other end of life treatment of a product. ‘Midstream’ represents an accounting point somewhere in the middle of the value chain.</w:t>
      </w:r>
      <w:r>
        <w:rPr>
          <w:noProof/>
        </w:rPr>
        <w:t xml:space="preserve"> In the illustrations below, a +1, 0 or -1 indicate where emissions or removals reported across the different steps of the CCUS chain. In the case of permanent storage, the sum of the emissions at each stage should add up to 0, while in the case of non-permanent CCU, the sum of the emissions at each stage should add up to +1. A lower value would represent under-counting of emissions, and a higher one would represent double counting of emissions.  </w:t>
      </w:r>
    </w:p>
    <w:p w14:paraId="0AF0E3BF" w14:textId="77777777" w:rsidR="009010D9" w:rsidRDefault="009010D9">
      <w:pPr>
        <w:rPr>
          <w:noProof/>
        </w:rPr>
      </w:pPr>
      <w:r w:rsidRPr="003D3BB3">
        <w:rPr>
          <w:b/>
          <w:noProof/>
        </w:rPr>
        <w:t>‘Upstream accounting’</w:t>
      </w:r>
      <w:r>
        <w:rPr>
          <w:noProof/>
        </w:rPr>
        <w:t xml:space="preserve">, in </w:t>
      </w:r>
      <w:r w:rsidRPr="003D3BB3">
        <w:rPr>
          <w:noProof/>
        </w:rPr>
        <w:t>the</w:t>
      </w:r>
      <w:r>
        <w:rPr>
          <w:noProof/>
        </w:rPr>
        <w:t xml:space="preserve"> </w:t>
      </w:r>
      <w:r w:rsidRPr="003D3BB3">
        <w:rPr>
          <w:noProof/>
        </w:rPr>
        <w:t xml:space="preserve">context </w:t>
      </w:r>
      <w:r>
        <w:rPr>
          <w:noProof/>
        </w:rPr>
        <w:t>of the EU ETS,</w:t>
      </w:r>
      <w:r w:rsidRPr="003D3BB3">
        <w:rPr>
          <w:noProof/>
        </w:rPr>
        <w:t xml:space="preserve"> refers to accounting for emissions at the point of capture of</w:t>
      </w:r>
      <w:r>
        <w:rPr>
          <w:noProof/>
        </w:rPr>
        <w:t xml:space="preserve"> emissions that result from activities within </w:t>
      </w:r>
      <w:r w:rsidRPr="003D3BB3">
        <w:rPr>
          <w:noProof/>
        </w:rPr>
        <w:t xml:space="preserve">the scope of the ETS Directive. Captured </w:t>
      </w:r>
      <w:r w:rsidRPr="003D3BB3">
        <w:rPr>
          <w:rStyle w:val="normaltextrun"/>
          <w:noProof/>
        </w:rPr>
        <w:t>CO</w:t>
      </w:r>
      <w:r w:rsidRPr="000155D4">
        <w:rPr>
          <w:rStyle w:val="normaltextrun"/>
          <w:noProof/>
          <w:vertAlign w:val="subscript"/>
        </w:rPr>
        <w:t>2</w:t>
      </w:r>
      <w:r>
        <w:rPr>
          <w:rStyle w:val="normaltextrun"/>
          <w:noProof/>
          <w:vertAlign w:val="subscript"/>
        </w:rPr>
        <w:t xml:space="preserve"> </w:t>
      </w:r>
      <w:r w:rsidRPr="003D3BB3">
        <w:rPr>
          <w:noProof/>
        </w:rPr>
        <w:t>that is not designated for CCS or subject to the exemption for permanent CCU products, still requires the surrender of emission allowances, i.e. it is priced at the point of capture.  Captured carbon would then be utilised in the value chains of non-permanent CCU products, such as for the production and use of plastics or e-fuels</w:t>
      </w:r>
      <w:r>
        <w:rPr>
          <w:noProof/>
        </w:rPr>
        <w:t>.</w:t>
      </w:r>
      <w:r w:rsidRPr="003D3BB3">
        <w:rPr>
          <w:noProof/>
        </w:rPr>
        <w:t xml:space="preserve"> Upon combustion of </w:t>
      </w:r>
      <w:r>
        <w:rPr>
          <w:noProof/>
        </w:rPr>
        <w:t>e-fuels</w:t>
      </w:r>
      <w:r w:rsidRPr="003D3BB3">
        <w:rPr>
          <w:noProof/>
        </w:rPr>
        <w:t xml:space="preserve">, the priced carbon is emitted into the atmosphere. </w:t>
      </w:r>
    </w:p>
    <w:p w14:paraId="565DCE5B" w14:textId="77777777" w:rsidR="009010D9" w:rsidRPr="00CB441A" w:rsidRDefault="009010D9" w:rsidP="00C92FA9">
      <w:pPr>
        <w:pStyle w:val="Figuretitle"/>
        <w:rPr>
          <w:noProof/>
        </w:rPr>
      </w:pPr>
      <w:bookmarkStart w:id="843" w:name="_Toc222740779"/>
      <w:r>
        <w:rPr>
          <w:noProof/>
          <w:lang w:eastAsia="en-GB"/>
        </w:rPr>
        <w:drawing>
          <wp:anchor distT="0" distB="0" distL="114300" distR="114300" simplePos="0" relativeHeight="251658242" behindDoc="1" locked="0" layoutInCell="1" allowOverlap="1" wp14:anchorId="4AD553E2" wp14:editId="70902A68">
            <wp:simplePos x="0" y="0"/>
            <wp:positionH relativeFrom="margin">
              <wp:posOffset>76200</wp:posOffset>
            </wp:positionH>
            <wp:positionV relativeFrom="paragraph">
              <wp:posOffset>278130</wp:posOffset>
            </wp:positionV>
            <wp:extent cx="5457825" cy="2986405"/>
            <wp:effectExtent l="0" t="0" r="9525" b="4445"/>
            <wp:wrapTopAndBottom/>
            <wp:docPr id="719630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301" name=""/>
                    <pic:cNvPicPr/>
                  </pic:nvPicPr>
                  <pic:blipFill>
                    <a:blip r:embed="rId61">
                      <a:extLst>
                        <a:ext uri="{96DAC541-7B7A-43D3-8B79-37D633B846F1}">
                          <asvg:svgBlip xmlns:asvg="http://schemas.microsoft.com/office/drawing/2016/SVG/main" r:embed="rId62"/>
                        </a:ext>
                      </a:extLst>
                    </a:blip>
                    <a:srcRect/>
                    <a:stretch>
                      <a:fillRect/>
                    </a:stretch>
                  </pic:blipFill>
                  <pic:spPr>
                    <a:xfrm>
                      <a:off x="0" y="0"/>
                      <a:ext cx="5457825" cy="2986405"/>
                    </a:xfrm>
                    <a:prstGeom prst="rect">
                      <a:avLst/>
                    </a:prstGeom>
                  </pic:spPr>
                </pic:pic>
              </a:graphicData>
            </a:graphic>
            <wp14:sizeRelH relativeFrom="page">
              <wp14:pctWidth>0</wp14:pctWidth>
            </wp14:sizeRelH>
            <wp14:sizeRelV relativeFrom="page">
              <wp14:pctHeight>0</wp14:pctHeight>
            </wp14:sizeRelV>
          </wp:anchor>
        </w:drawing>
      </w:r>
      <w:r>
        <w:rPr>
          <w:noProof/>
        </w:rPr>
        <w:t>Simplified illustration of upstream accounting in ETS context</w:t>
      </w:r>
      <w:bookmarkEnd w:id="843"/>
    </w:p>
    <w:p w14:paraId="67C26D32" w14:textId="77777777" w:rsidR="009010D9" w:rsidRPr="00EA6688" w:rsidRDefault="009010D9">
      <w:pPr>
        <w:rPr>
          <w:i/>
          <w:iCs/>
          <w:noProof/>
          <w:sz w:val="20"/>
          <w:szCs w:val="20"/>
        </w:rPr>
      </w:pPr>
      <w:r w:rsidRPr="00EA6688">
        <w:rPr>
          <w:i/>
          <w:iCs/>
          <w:noProof/>
          <w:sz w:val="20"/>
          <w:szCs w:val="20"/>
        </w:rPr>
        <w:t xml:space="preserve">Source: </w:t>
      </w:r>
      <w:r>
        <w:rPr>
          <w:i/>
          <w:iCs/>
          <w:noProof/>
          <w:sz w:val="20"/>
          <w:szCs w:val="20"/>
        </w:rPr>
        <w:t>Own illustration</w:t>
      </w:r>
    </w:p>
    <w:p w14:paraId="28E405D6" w14:textId="77777777" w:rsidR="009010D9" w:rsidRDefault="009010D9">
      <w:pPr>
        <w:rPr>
          <w:rStyle w:val="normaltextrun"/>
          <w:noProof/>
          <w:vertAlign w:val="subscript"/>
        </w:rPr>
      </w:pPr>
      <w:r w:rsidRPr="003D3BB3">
        <w:rPr>
          <w:b/>
          <w:noProof/>
        </w:rPr>
        <w:t>‘Downstream accounting’</w:t>
      </w:r>
      <w:r w:rsidRPr="003D3BB3">
        <w:rPr>
          <w:noProof/>
        </w:rPr>
        <w:t xml:space="preserve"> refers to reporting of emissions at the point where the captured carbon is released back into the atmosphere, such as during product use or disposal. In this approach, the ‘final emitter’ pays, meaning the point of surrender obligation is shifted downstream in the CCU value chain. </w:t>
      </w:r>
      <w:r>
        <w:rPr>
          <w:noProof/>
        </w:rPr>
        <w:t xml:space="preserve">The EU ETS installation capturing its emissions and transferring the resulting </w:t>
      </w:r>
      <w:r w:rsidRPr="003D3BB3">
        <w:rPr>
          <w:rStyle w:val="normaltextrun"/>
          <w:noProof/>
        </w:rPr>
        <w:t>CO</w:t>
      </w:r>
      <w:r w:rsidRPr="000155D4">
        <w:rPr>
          <w:rStyle w:val="normaltextrun"/>
          <w:noProof/>
          <w:vertAlign w:val="subscript"/>
        </w:rPr>
        <w:t>2</w:t>
      </w:r>
      <w:r>
        <w:rPr>
          <w:rStyle w:val="normaltextrun"/>
          <w:noProof/>
          <w:vertAlign w:val="subscript"/>
        </w:rPr>
        <w:t xml:space="preserve"> </w:t>
      </w:r>
      <w:r>
        <w:rPr>
          <w:rStyle w:val="normaltextrun"/>
          <w:noProof/>
        </w:rPr>
        <w:t xml:space="preserve">to another EU ETS installation will not be required to surrender emission allowances for that </w:t>
      </w:r>
      <w:r w:rsidRPr="003D3BB3">
        <w:rPr>
          <w:rStyle w:val="normaltextrun"/>
          <w:noProof/>
        </w:rPr>
        <w:t>CO</w:t>
      </w:r>
      <w:r w:rsidRPr="000155D4">
        <w:rPr>
          <w:rStyle w:val="normaltextrun"/>
          <w:noProof/>
          <w:vertAlign w:val="subscript"/>
        </w:rPr>
        <w:t>2</w:t>
      </w:r>
      <w:r>
        <w:rPr>
          <w:rStyle w:val="normaltextrun"/>
          <w:noProof/>
          <w:vertAlign w:val="subscript"/>
        </w:rPr>
        <w:t xml:space="preserve">, </w:t>
      </w:r>
      <w:r>
        <w:rPr>
          <w:rStyle w:val="normaltextrun"/>
          <w:noProof/>
        </w:rPr>
        <w:t xml:space="preserve">regardless of if it intended for non-permanent CCU applications or permanent geological storage or any type of CCU application storage site. The emissions embedded in non-permanent CCU products are accounted and priced downstream at the end of life when combusted and the </w:t>
      </w:r>
      <w:r w:rsidRPr="003D3BB3">
        <w:rPr>
          <w:rStyle w:val="normaltextrun"/>
          <w:noProof/>
        </w:rPr>
        <w:t>CO</w:t>
      </w:r>
      <w:r w:rsidRPr="000155D4">
        <w:rPr>
          <w:rStyle w:val="normaltextrun"/>
          <w:noProof/>
          <w:vertAlign w:val="subscript"/>
        </w:rPr>
        <w:t>2</w:t>
      </w:r>
      <w:r>
        <w:rPr>
          <w:rStyle w:val="normaltextrun"/>
          <w:noProof/>
          <w:vertAlign w:val="subscript"/>
        </w:rPr>
        <w:t xml:space="preserve"> </w:t>
      </w:r>
      <w:r>
        <w:rPr>
          <w:rStyle w:val="normaltextrun"/>
          <w:noProof/>
        </w:rPr>
        <w:t xml:space="preserve">is released.  </w:t>
      </w:r>
      <w:r>
        <w:rPr>
          <w:rStyle w:val="normaltextrun"/>
          <w:noProof/>
          <w:vertAlign w:val="subscript"/>
        </w:rPr>
        <w:t xml:space="preserve"> </w:t>
      </w:r>
    </w:p>
    <w:p w14:paraId="4EC0A115" w14:textId="77777777" w:rsidR="009010D9" w:rsidRPr="0042624B" w:rsidRDefault="009010D9" w:rsidP="0085116B">
      <w:pPr>
        <w:pStyle w:val="Figuretitle"/>
        <w:rPr>
          <w:noProof/>
          <w:vertAlign w:val="subscript"/>
        </w:rPr>
      </w:pPr>
      <w:bookmarkStart w:id="844" w:name="_Toc222740780"/>
      <w:r w:rsidRPr="0085116B">
        <w:rPr>
          <w:noProof/>
          <w:lang w:eastAsia="en-GB"/>
        </w:rPr>
        <w:drawing>
          <wp:anchor distT="0" distB="0" distL="114300" distR="114300" simplePos="0" relativeHeight="251658243" behindDoc="1" locked="0" layoutInCell="1" allowOverlap="1" wp14:anchorId="16357F71" wp14:editId="76C63F29">
            <wp:simplePos x="0" y="0"/>
            <wp:positionH relativeFrom="margin">
              <wp:posOffset>-47625</wp:posOffset>
            </wp:positionH>
            <wp:positionV relativeFrom="paragraph">
              <wp:posOffset>228600</wp:posOffset>
            </wp:positionV>
            <wp:extent cx="5686425" cy="3033395"/>
            <wp:effectExtent l="0" t="0" r="9525" b="0"/>
            <wp:wrapTight wrapText="bothSides">
              <wp:wrapPolygon edited="0">
                <wp:start x="0" y="0"/>
                <wp:lineTo x="0" y="21433"/>
                <wp:lineTo x="21564" y="21433"/>
                <wp:lineTo x="21564" y="0"/>
                <wp:lineTo x="0" y="0"/>
              </wp:wrapPolygon>
            </wp:wrapTight>
            <wp:docPr id="20967850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85083" name=""/>
                    <pic:cNvPicPr/>
                  </pic:nvPicPr>
                  <pic:blipFill>
                    <a:blip r:embed="rId63">
                      <a:extLst>
                        <a:ext uri="{96DAC541-7B7A-43D3-8B79-37D633B846F1}">
                          <asvg:svgBlip xmlns:asvg="http://schemas.microsoft.com/office/drawing/2016/SVG/main" r:embed="rId64"/>
                        </a:ext>
                      </a:extLst>
                    </a:blip>
                    <a:srcRect/>
                    <a:stretch>
                      <a:fillRect/>
                    </a:stretch>
                  </pic:blipFill>
                  <pic:spPr>
                    <a:xfrm>
                      <a:off x="0" y="0"/>
                      <a:ext cx="5686425" cy="3033395"/>
                    </a:xfrm>
                    <a:prstGeom prst="rect">
                      <a:avLst/>
                    </a:prstGeom>
                  </pic:spPr>
                </pic:pic>
              </a:graphicData>
            </a:graphic>
            <wp14:sizeRelH relativeFrom="page">
              <wp14:pctWidth>0</wp14:pctWidth>
            </wp14:sizeRelH>
            <wp14:sizeRelV relativeFrom="page">
              <wp14:pctHeight>0</wp14:pctHeight>
            </wp14:sizeRelV>
          </wp:anchor>
        </w:drawing>
      </w:r>
      <w:r w:rsidRPr="0085116B">
        <w:rPr>
          <w:noProof/>
        </w:rPr>
        <w:t>Simplified</w:t>
      </w:r>
      <w:r>
        <w:rPr>
          <w:noProof/>
        </w:rPr>
        <w:t xml:space="preserve"> illustration of downstream accounting in ETS context</w:t>
      </w:r>
      <w:bookmarkEnd w:id="844"/>
    </w:p>
    <w:p w14:paraId="4EF08143" w14:textId="77777777" w:rsidR="009010D9" w:rsidRPr="0039005C" w:rsidRDefault="009010D9">
      <w:pPr>
        <w:rPr>
          <w:bCs/>
          <w:i/>
          <w:iCs/>
          <w:noProof/>
          <w:sz w:val="20"/>
          <w:szCs w:val="20"/>
        </w:rPr>
      </w:pPr>
      <w:r w:rsidRPr="0039005C">
        <w:rPr>
          <w:bCs/>
          <w:i/>
          <w:iCs/>
          <w:noProof/>
          <w:sz w:val="20"/>
          <w:szCs w:val="20"/>
        </w:rPr>
        <w:t xml:space="preserve">Source: </w:t>
      </w:r>
      <w:r>
        <w:rPr>
          <w:i/>
          <w:iCs/>
          <w:noProof/>
          <w:sz w:val="20"/>
          <w:szCs w:val="20"/>
        </w:rPr>
        <w:t>Own illustration</w:t>
      </w:r>
    </w:p>
    <w:p w14:paraId="7B9BD0FC" w14:textId="6989B2C7" w:rsidR="009010D9" w:rsidRDefault="009010D9">
      <w:pPr>
        <w:rPr>
          <w:noProof/>
        </w:rPr>
      </w:pPr>
      <w:r>
        <w:rPr>
          <w:b/>
          <w:noProof/>
        </w:rPr>
        <w:t>‘</w:t>
      </w:r>
      <w:r w:rsidRPr="2AFACDAF">
        <w:rPr>
          <w:b/>
          <w:noProof/>
        </w:rPr>
        <w:t>Hybrid downstream and midstream accounting’</w:t>
      </w:r>
      <w:r w:rsidRPr="2AFACDAF">
        <w:rPr>
          <w:noProof/>
        </w:rPr>
        <w:t xml:space="preserve"> represents a version of the downstream accounting, where the point of accounting can be enacted somewhere in the middle of the value chain for a particular CCU product. The hybrid midstream is particularly relevant for e-fuels, where the zero-rating for qualifying e-fuels can be maintained by moving the point of accounting and pricing </w:t>
      </w:r>
      <w:r w:rsidRPr="2117A579">
        <w:rPr>
          <w:noProof/>
        </w:rPr>
        <w:t>midstream.</w:t>
      </w:r>
      <w:r w:rsidRPr="2AFACDAF">
        <w:rPr>
          <w:noProof/>
        </w:rPr>
        <w:t xml:space="preserve"> </w:t>
      </w:r>
      <w:r>
        <w:rPr>
          <w:noProof/>
        </w:rPr>
        <w:t xml:space="preserve">In the case of e-fuels, the midstream accounting point as either the producer of e-fuel, similar to a refinery or organic chemicals producers, or as a distributor placing e-fuels on the EU market for final consumption. </w:t>
      </w:r>
      <w:r w:rsidRPr="2AFACDAF">
        <w:rPr>
          <w:noProof/>
        </w:rPr>
        <w:t>For the other CCU products, the downstream accounting is applied as described in the ‘downstream accounting’ measure, hence the ‘hybrid’ designation.</w:t>
      </w:r>
    </w:p>
    <w:p w14:paraId="4C1976FF" w14:textId="5C2EDAE7" w:rsidR="009010D9" w:rsidRDefault="00250E95" w:rsidP="00C92FA9">
      <w:pPr>
        <w:pStyle w:val="Figuretitle"/>
        <w:rPr>
          <w:noProof/>
        </w:rPr>
      </w:pPr>
      <w:bookmarkStart w:id="845" w:name="_Toc222740781"/>
      <w:r>
        <w:rPr>
          <w:noProof/>
          <w:lang w:eastAsia="en-GB"/>
        </w:rPr>
        <w:drawing>
          <wp:anchor distT="0" distB="0" distL="114300" distR="114300" simplePos="0" relativeHeight="251658241" behindDoc="1" locked="0" layoutInCell="1" allowOverlap="1" wp14:anchorId="0D71FE2A" wp14:editId="664FF511">
            <wp:simplePos x="0" y="0"/>
            <wp:positionH relativeFrom="page">
              <wp:posOffset>1200150</wp:posOffset>
            </wp:positionH>
            <wp:positionV relativeFrom="paragraph">
              <wp:posOffset>278130</wp:posOffset>
            </wp:positionV>
            <wp:extent cx="5031105" cy="2828925"/>
            <wp:effectExtent l="0" t="0" r="0" b="9525"/>
            <wp:wrapTopAndBottom/>
            <wp:docPr id="203852899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28992"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5031105" cy="2828925"/>
                    </a:xfrm>
                    <a:prstGeom prst="rect">
                      <a:avLst/>
                    </a:prstGeom>
                  </pic:spPr>
                </pic:pic>
              </a:graphicData>
            </a:graphic>
            <wp14:sizeRelH relativeFrom="page">
              <wp14:pctWidth>0</wp14:pctWidth>
            </wp14:sizeRelH>
            <wp14:sizeRelV relativeFrom="page">
              <wp14:pctHeight>0</wp14:pctHeight>
            </wp14:sizeRelV>
          </wp:anchor>
        </w:drawing>
      </w:r>
      <w:r w:rsidR="009010D9">
        <w:rPr>
          <w:noProof/>
        </w:rPr>
        <w:t>Simplified illustration of hybrid downstream and midstream accounting in ETS context</w:t>
      </w:r>
      <w:bookmarkEnd w:id="845"/>
    </w:p>
    <w:p w14:paraId="26CE7401" w14:textId="65AA954F" w:rsidR="009010D9" w:rsidRPr="005B24BE" w:rsidRDefault="009010D9">
      <w:pPr>
        <w:rPr>
          <w:bCs/>
          <w:i/>
          <w:iCs/>
          <w:noProof/>
          <w:sz w:val="20"/>
          <w:szCs w:val="20"/>
        </w:rPr>
      </w:pPr>
      <w:r w:rsidRPr="005B24BE">
        <w:rPr>
          <w:bCs/>
          <w:i/>
          <w:iCs/>
          <w:noProof/>
          <w:sz w:val="20"/>
          <w:szCs w:val="20"/>
        </w:rPr>
        <w:t xml:space="preserve"> </w:t>
      </w:r>
      <w:r w:rsidRPr="0039005C">
        <w:rPr>
          <w:bCs/>
          <w:i/>
          <w:iCs/>
          <w:noProof/>
          <w:sz w:val="20"/>
          <w:szCs w:val="20"/>
        </w:rPr>
        <w:t xml:space="preserve">Source: </w:t>
      </w:r>
      <w:r>
        <w:rPr>
          <w:i/>
          <w:iCs/>
          <w:noProof/>
          <w:sz w:val="20"/>
          <w:szCs w:val="20"/>
        </w:rPr>
        <w:t>Own illustration</w:t>
      </w:r>
    </w:p>
    <w:p w14:paraId="59450A0D" w14:textId="77777777" w:rsidR="009010D9" w:rsidRPr="003D3BB3" w:rsidRDefault="009010D9">
      <w:pPr>
        <w:rPr>
          <w:noProof/>
        </w:rPr>
      </w:pPr>
      <w:r w:rsidRPr="003D3BB3">
        <w:rPr>
          <w:noProof/>
        </w:rPr>
        <w:t xml:space="preserve">These concepts underpin the suggested policy measures articulated for the treatment of non-permanent CCU in the </w:t>
      </w:r>
      <w:r>
        <w:rPr>
          <w:noProof/>
        </w:rPr>
        <w:t xml:space="preserve">EU ETS </w:t>
      </w:r>
      <w:r w:rsidRPr="003D3BB3">
        <w:rPr>
          <w:noProof/>
        </w:rPr>
        <w:t>in the below chapter. </w:t>
      </w:r>
    </w:p>
    <w:p w14:paraId="489F7DB2" w14:textId="77777777" w:rsidR="009010D9" w:rsidRPr="003D3BB3" w:rsidRDefault="009010D9" w:rsidP="004F602F">
      <w:pPr>
        <w:pStyle w:val="Heading3COM"/>
        <w:outlineLvl w:val="3"/>
        <w:rPr>
          <w:noProof/>
        </w:rPr>
      </w:pPr>
      <w:bookmarkStart w:id="846" w:name="_Toc212426480"/>
      <w:bookmarkStart w:id="847" w:name="_Toc194276925"/>
      <w:bookmarkStart w:id="848" w:name="_Toc230861568"/>
      <w:bookmarkStart w:id="849" w:name="_Toc232751190"/>
      <w:r w:rsidRPr="003D3BB3">
        <w:rPr>
          <w:noProof/>
        </w:rPr>
        <w:t>Identification of potential non-permanent CCU products</w:t>
      </w:r>
      <w:bookmarkEnd w:id="846"/>
      <w:bookmarkEnd w:id="847"/>
      <w:r w:rsidRPr="003D3BB3">
        <w:rPr>
          <w:noProof/>
        </w:rPr>
        <w:t> </w:t>
      </w:r>
      <w:r>
        <w:rPr>
          <w:noProof/>
        </w:rPr>
        <w:t>and their normal use or end-of-life treatment</w:t>
      </w:r>
      <w:bookmarkEnd w:id="848"/>
      <w:bookmarkEnd w:id="849"/>
    </w:p>
    <w:p w14:paraId="29A601DD" w14:textId="77777777" w:rsidR="009010D9" w:rsidRPr="003E395D" w:rsidRDefault="009010D9">
      <w:pPr>
        <w:rPr>
          <w:noProof/>
        </w:rPr>
      </w:pPr>
      <w:r>
        <w:rPr>
          <w:noProof/>
        </w:rPr>
        <w:t>The main CCU products or applications outlined below, as well as their normal use or end-of-life treatment.</w:t>
      </w:r>
    </w:p>
    <w:p w14:paraId="60A239D9" w14:textId="77777777" w:rsidR="009010D9" w:rsidRPr="003D3BB3" w:rsidRDefault="009010D9" w:rsidP="00C92FA9">
      <w:pPr>
        <w:pStyle w:val="Tabletitle"/>
        <w:rPr>
          <w:noProof/>
        </w:rPr>
      </w:pPr>
      <w:bookmarkStart w:id="850" w:name="_Toc222740721"/>
      <w:bookmarkStart w:id="851" w:name="_Toc234435141"/>
      <w:r w:rsidRPr="003D3BB3">
        <w:rPr>
          <w:noProof/>
        </w:rPr>
        <w:t>Overview of product lists by normal use or end-of-life treatment</w:t>
      </w:r>
      <w:bookmarkEnd w:id="850"/>
      <w:bookmarkEnd w:id="851"/>
      <w:r>
        <w:rPr>
          <w:noProof/>
        </w:rPr>
        <w:tab/>
      </w:r>
      <w:r w:rsidRPr="003D3BB3">
        <w:rPr>
          <w:noProof/>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76"/>
        <w:gridCol w:w="3249"/>
        <w:gridCol w:w="1976"/>
        <w:gridCol w:w="1915"/>
      </w:tblGrid>
      <w:tr w:rsidR="009010D9" w:rsidRPr="005B24BE" w14:paraId="148121B0" w14:textId="77777777" w:rsidTr="0085116B">
        <w:trPr>
          <w:trHeight w:val="20"/>
        </w:trPr>
        <w:tc>
          <w:tcPr>
            <w:tcW w:w="1040" w:type="pct"/>
            <w:vAlign w:val="center"/>
            <w:hideMark/>
          </w:tcPr>
          <w:p w14:paraId="4A922D5F" w14:textId="77777777" w:rsidR="009010D9" w:rsidRPr="005B24BE" w:rsidRDefault="009010D9">
            <w:pPr>
              <w:spacing w:before="0" w:after="0"/>
              <w:jc w:val="left"/>
              <w:rPr>
                <w:b/>
                <w:bCs/>
                <w:noProof/>
                <w:sz w:val="22"/>
                <w:szCs w:val="22"/>
              </w:rPr>
            </w:pPr>
            <w:r w:rsidRPr="005B24BE">
              <w:rPr>
                <w:noProof/>
                <w:sz w:val="22"/>
                <w:szCs w:val="22"/>
              </w:rPr>
              <w:t> </w:t>
            </w:r>
            <w:r w:rsidRPr="005B24BE">
              <w:rPr>
                <w:b/>
                <w:bCs/>
                <w:noProof/>
                <w:sz w:val="22"/>
                <w:szCs w:val="22"/>
                <w:lang w:eastAsia="en-GB"/>
              </w:rPr>
              <w:t>Direct Utilization of CO2</w:t>
            </w:r>
          </w:p>
        </w:tc>
        <w:tc>
          <w:tcPr>
            <w:tcW w:w="1802" w:type="pct"/>
            <w:vAlign w:val="center"/>
            <w:hideMark/>
          </w:tcPr>
          <w:p w14:paraId="64E372CC" w14:textId="77777777" w:rsidR="009010D9" w:rsidRPr="005B24BE" w:rsidRDefault="009010D9">
            <w:pPr>
              <w:spacing w:before="0" w:after="0"/>
              <w:jc w:val="left"/>
              <w:rPr>
                <w:b/>
                <w:bCs/>
                <w:noProof/>
                <w:sz w:val="22"/>
                <w:szCs w:val="22"/>
              </w:rPr>
            </w:pPr>
            <w:r w:rsidRPr="005B24BE">
              <w:rPr>
                <w:b/>
                <w:bCs/>
                <w:noProof/>
                <w:sz w:val="22"/>
                <w:szCs w:val="22"/>
              </w:rPr>
              <w:t>Incineration during normal use or at the end-of-life</w:t>
            </w:r>
          </w:p>
        </w:tc>
        <w:tc>
          <w:tcPr>
            <w:tcW w:w="1096" w:type="pct"/>
            <w:vAlign w:val="center"/>
            <w:hideMark/>
          </w:tcPr>
          <w:p w14:paraId="04B7DB6C" w14:textId="77777777" w:rsidR="009010D9" w:rsidRPr="005B24BE" w:rsidRDefault="009010D9">
            <w:pPr>
              <w:spacing w:before="0" w:after="0"/>
              <w:jc w:val="left"/>
              <w:rPr>
                <w:b/>
                <w:bCs/>
                <w:noProof/>
                <w:sz w:val="22"/>
                <w:szCs w:val="22"/>
              </w:rPr>
            </w:pPr>
            <w:r w:rsidRPr="005B24BE">
              <w:rPr>
                <w:b/>
                <w:bCs/>
                <w:noProof/>
                <w:sz w:val="22"/>
                <w:szCs w:val="22"/>
              </w:rPr>
              <w:t>Recycling or landfilling</w:t>
            </w:r>
          </w:p>
        </w:tc>
        <w:tc>
          <w:tcPr>
            <w:tcW w:w="1062" w:type="pct"/>
            <w:vAlign w:val="center"/>
            <w:hideMark/>
          </w:tcPr>
          <w:p w14:paraId="1C697383" w14:textId="77777777" w:rsidR="009010D9" w:rsidRPr="005B24BE" w:rsidRDefault="009010D9">
            <w:pPr>
              <w:spacing w:before="0" w:after="0"/>
              <w:jc w:val="left"/>
              <w:rPr>
                <w:b/>
                <w:bCs/>
                <w:noProof/>
                <w:sz w:val="22"/>
                <w:szCs w:val="22"/>
              </w:rPr>
            </w:pPr>
            <w:r w:rsidRPr="005B24BE">
              <w:rPr>
                <w:b/>
                <w:bCs/>
                <w:noProof/>
                <w:sz w:val="22"/>
                <w:szCs w:val="22"/>
              </w:rPr>
              <w:t>Other</w:t>
            </w:r>
          </w:p>
        </w:tc>
      </w:tr>
      <w:tr w:rsidR="009010D9" w:rsidRPr="005B24BE" w14:paraId="440306E0" w14:textId="77777777" w:rsidTr="0085116B">
        <w:trPr>
          <w:trHeight w:val="20"/>
        </w:trPr>
        <w:tc>
          <w:tcPr>
            <w:tcW w:w="1040" w:type="pct"/>
            <w:vAlign w:val="center"/>
            <w:hideMark/>
          </w:tcPr>
          <w:p w14:paraId="38F62026" w14:textId="77777777" w:rsidR="009010D9" w:rsidRPr="005B24BE" w:rsidRDefault="009010D9">
            <w:pPr>
              <w:spacing w:before="0" w:after="0"/>
              <w:rPr>
                <w:noProof/>
                <w:sz w:val="22"/>
                <w:szCs w:val="22"/>
              </w:rPr>
            </w:pPr>
            <w:r w:rsidRPr="005B24BE">
              <w:rPr>
                <w:noProof/>
                <w:sz w:val="22"/>
                <w:szCs w:val="22"/>
              </w:rPr>
              <w:t>Dry Ice</w:t>
            </w:r>
          </w:p>
        </w:tc>
        <w:tc>
          <w:tcPr>
            <w:tcW w:w="1802" w:type="pct"/>
            <w:vAlign w:val="center"/>
            <w:hideMark/>
          </w:tcPr>
          <w:p w14:paraId="553C2905" w14:textId="77777777" w:rsidR="009010D9" w:rsidRPr="005B24BE" w:rsidRDefault="009010D9">
            <w:pPr>
              <w:spacing w:before="0" w:after="0"/>
              <w:rPr>
                <w:noProof/>
                <w:sz w:val="22"/>
                <w:szCs w:val="22"/>
              </w:rPr>
            </w:pPr>
            <w:r w:rsidRPr="005B24BE">
              <w:rPr>
                <w:noProof/>
                <w:sz w:val="22"/>
                <w:szCs w:val="22"/>
              </w:rPr>
              <w:t>PCC (except used as mineral fertiliser)</w:t>
            </w:r>
          </w:p>
        </w:tc>
        <w:tc>
          <w:tcPr>
            <w:tcW w:w="1096" w:type="pct"/>
            <w:vAlign w:val="center"/>
            <w:hideMark/>
          </w:tcPr>
          <w:p w14:paraId="7FFE8F23" w14:textId="77777777" w:rsidR="009010D9" w:rsidRPr="005B24BE" w:rsidRDefault="009010D9">
            <w:pPr>
              <w:spacing w:before="0" w:after="0"/>
              <w:rPr>
                <w:noProof/>
                <w:sz w:val="22"/>
                <w:szCs w:val="22"/>
              </w:rPr>
            </w:pPr>
            <w:r w:rsidRPr="005B24BE">
              <w:rPr>
                <w:noProof/>
                <w:sz w:val="22"/>
                <w:szCs w:val="22"/>
              </w:rPr>
              <w:t>Plastics</w:t>
            </w:r>
          </w:p>
        </w:tc>
        <w:tc>
          <w:tcPr>
            <w:tcW w:w="1062" w:type="pct"/>
            <w:vAlign w:val="center"/>
            <w:hideMark/>
          </w:tcPr>
          <w:p w14:paraId="63C62840" w14:textId="77777777" w:rsidR="009010D9" w:rsidRPr="005B24BE" w:rsidRDefault="009010D9">
            <w:pPr>
              <w:spacing w:before="0" w:after="0"/>
              <w:rPr>
                <w:noProof/>
                <w:sz w:val="22"/>
                <w:szCs w:val="22"/>
              </w:rPr>
            </w:pPr>
            <w:r w:rsidRPr="005B24BE">
              <w:rPr>
                <w:noProof/>
                <w:sz w:val="22"/>
                <w:szCs w:val="22"/>
              </w:rPr>
              <w:t>Solid Carbon</w:t>
            </w:r>
          </w:p>
        </w:tc>
      </w:tr>
      <w:tr w:rsidR="009010D9" w:rsidRPr="005B24BE" w14:paraId="312B8A15" w14:textId="77777777" w:rsidTr="0085116B">
        <w:trPr>
          <w:trHeight w:val="20"/>
        </w:trPr>
        <w:tc>
          <w:tcPr>
            <w:tcW w:w="1040" w:type="pct"/>
            <w:vAlign w:val="center"/>
            <w:hideMark/>
          </w:tcPr>
          <w:p w14:paraId="432BA13B" w14:textId="77777777" w:rsidR="009010D9" w:rsidRPr="005B24BE" w:rsidRDefault="009010D9">
            <w:pPr>
              <w:spacing w:before="0" w:after="0"/>
              <w:rPr>
                <w:noProof/>
                <w:sz w:val="22"/>
                <w:szCs w:val="22"/>
              </w:rPr>
            </w:pPr>
            <w:r w:rsidRPr="005B24BE">
              <w:rPr>
                <w:noProof/>
                <w:sz w:val="22"/>
                <w:szCs w:val="22"/>
              </w:rPr>
              <w:t>Greenhouses</w:t>
            </w:r>
          </w:p>
        </w:tc>
        <w:tc>
          <w:tcPr>
            <w:tcW w:w="1802" w:type="pct"/>
            <w:vAlign w:val="center"/>
            <w:hideMark/>
          </w:tcPr>
          <w:p w14:paraId="7BD536D0" w14:textId="77777777" w:rsidR="009010D9" w:rsidRPr="005B24BE" w:rsidRDefault="009010D9">
            <w:pPr>
              <w:spacing w:before="0" w:after="0"/>
              <w:rPr>
                <w:noProof/>
                <w:sz w:val="22"/>
                <w:szCs w:val="22"/>
              </w:rPr>
            </w:pPr>
            <w:r w:rsidRPr="005B24BE">
              <w:rPr>
                <w:noProof/>
                <w:sz w:val="22"/>
                <w:szCs w:val="22"/>
              </w:rPr>
              <w:t>Plastics</w:t>
            </w:r>
          </w:p>
        </w:tc>
        <w:tc>
          <w:tcPr>
            <w:tcW w:w="1096" w:type="pct"/>
            <w:vAlign w:val="center"/>
            <w:hideMark/>
          </w:tcPr>
          <w:p w14:paraId="3DA4B65C" w14:textId="77777777" w:rsidR="009010D9" w:rsidRPr="005B24BE" w:rsidRDefault="009010D9">
            <w:pPr>
              <w:spacing w:before="0" w:after="0"/>
              <w:rPr>
                <w:noProof/>
                <w:sz w:val="22"/>
                <w:szCs w:val="22"/>
              </w:rPr>
            </w:pPr>
            <w:r w:rsidRPr="005B24BE">
              <w:rPr>
                <w:noProof/>
                <w:sz w:val="22"/>
                <w:szCs w:val="22"/>
              </w:rPr>
              <w:t>Plasterboard</w:t>
            </w:r>
          </w:p>
        </w:tc>
        <w:tc>
          <w:tcPr>
            <w:tcW w:w="1062" w:type="pct"/>
            <w:vAlign w:val="center"/>
            <w:hideMark/>
          </w:tcPr>
          <w:p w14:paraId="72F4B75E" w14:textId="77777777" w:rsidR="009010D9" w:rsidRPr="005B24BE" w:rsidRDefault="009010D9">
            <w:pPr>
              <w:spacing w:before="0" w:after="0"/>
              <w:rPr>
                <w:noProof/>
                <w:sz w:val="22"/>
                <w:szCs w:val="22"/>
              </w:rPr>
            </w:pPr>
            <w:r w:rsidRPr="005B24BE">
              <w:rPr>
                <w:noProof/>
                <w:sz w:val="22"/>
                <w:szCs w:val="22"/>
              </w:rPr>
              <w:t>Other carbonates</w:t>
            </w:r>
          </w:p>
        </w:tc>
      </w:tr>
      <w:tr w:rsidR="009010D9" w:rsidRPr="005B24BE" w14:paraId="01AAC613" w14:textId="77777777" w:rsidTr="0085116B">
        <w:trPr>
          <w:trHeight w:val="20"/>
        </w:trPr>
        <w:tc>
          <w:tcPr>
            <w:tcW w:w="1040" w:type="pct"/>
            <w:vAlign w:val="center"/>
            <w:hideMark/>
          </w:tcPr>
          <w:p w14:paraId="6E5D280F" w14:textId="77777777" w:rsidR="009010D9" w:rsidRPr="005B24BE" w:rsidRDefault="009010D9">
            <w:pPr>
              <w:spacing w:before="0" w:after="0"/>
              <w:rPr>
                <w:noProof/>
                <w:sz w:val="22"/>
                <w:szCs w:val="22"/>
              </w:rPr>
            </w:pPr>
            <w:r w:rsidRPr="005B24BE">
              <w:rPr>
                <w:noProof/>
                <w:sz w:val="22"/>
                <w:szCs w:val="22"/>
              </w:rPr>
              <w:t>Food &amp; Drink</w:t>
            </w:r>
          </w:p>
        </w:tc>
        <w:tc>
          <w:tcPr>
            <w:tcW w:w="1802" w:type="pct"/>
            <w:vAlign w:val="center"/>
            <w:hideMark/>
          </w:tcPr>
          <w:p w14:paraId="06D6BEE4" w14:textId="77777777" w:rsidR="009010D9" w:rsidRPr="005B24BE" w:rsidRDefault="009010D9">
            <w:pPr>
              <w:spacing w:before="0" w:after="0"/>
              <w:rPr>
                <w:noProof/>
                <w:sz w:val="22"/>
                <w:szCs w:val="22"/>
              </w:rPr>
            </w:pPr>
            <w:r w:rsidRPr="005B24BE">
              <w:rPr>
                <w:noProof/>
                <w:sz w:val="22"/>
                <w:szCs w:val="22"/>
              </w:rPr>
              <w:t>Sodium Carbonate (soda ash)</w:t>
            </w:r>
          </w:p>
        </w:tc>
        <w:tc>
          <w:tcPr>
            <w:tcW w:w="1096" w:type="pct"/>
            <w:vAlign w:val="center"/>
            <w:hideMark/>
          </w:tcPr>
          <w:p w14:paraId="7765D29E" w14:textId="77777777" w:rsidR="009010D9" w:rsidRPr="005B24BE" w:rsidRDefault="009010D9">
            <w:pPr>
              <w:spacing w:before="0" w:after="0"/>
              <w:rPr>
                <w:noProof/>
                <w:sz w:val="22"/>
                <w:szCs w:val="22"/>
              </w:rPr>
            </w:pPr>
            <w:r w:rsidRPr="005B24BE">
              <w:rPr>
                <w:noProof/>
                <w:sz w:val="22"/>
                <w:szCs w:val="22"/>
              </w:rPr>
              <w:t>Refractory Products</w:t>
            </w:r>
          </w:p>
        </w:tc>
        <w:tc>
          <w:tcPr>
            <w:tcW w:w="1062" w:type="pct"/>
            <w:vAlign w:val="center"/>
            <w:hideMark/>
          </w:tcPr>
          <w:p w14:paraId="184DF488" w14:textId="77777777" w:rsidR="009010D9" w:rsidRPr="005B24BE" w:rsidRDefault="009010D9">
            <w:pPr>
              <w:spacing w:before="0" w:after="0"/>
              <w:rPr>
                <w:noProof/>
                <w:sz w:val="22"/>
                <w:szCs w:val="22"/>
              </w:rPr>
            </w:pPr>
            <w:r w:rsidRPr="005B24BE">
              <w:rPr>
                <w:noProof/>
                <w:sz w:val="22"/>
                <w:szCs w:val="22"/>
              </w:rPr>
              <w:t>PCC used as mineral fertiliser</w:t>
            </w:r>
          </w:p>
        </w:tc>
      </w:tr>
      <w:tr w:rsidR="009010D9" w:rsidRPr="005B24BE" w14:paraId="588A1259" w14:textId="77777777" w:rsidTr="0085116B">
        <w:trPr>
          <w:trHeight w:val="20"/>
        </w:trPr>
        <w:tc>
          <w:tcPr>
            <w:tcW w:w="1040" w:type="pct"/>
            <w:vAlign w:val="center"/>
            <w:hideMark/>
          </w:tcPr>
          <w:p w14:paraId="0F7D7104" w14:textId="77777777" w:rsidR="009010D9" w:rsidRPr="005B24BE" w:rsidRDefault="009010D9">
            <w:pPr>
              <w:spacing w:before="0" w:after="0"/>
              <w:rPr>
                <w:noProof/>
                <w:sz w:val="22"/>
                <w:szCs w:val="22"/>
              </w:rPr>
            </w:pPr>
          </w:p>
        </w:tc>
        <w:tc>
          <w:tcPr>
            <w:tcW w:w="1802" w:type="pct"/>
            <w:vAlign w:val="center"/>
            <w:hideMark/>
          </w:tcPr>
          <w:p w14:paraId="5A655D14" w14:textId="77777777" w:rsidR="009010D9" w:rsidRPr="005B24BE" w:rsidRDefault="009010D9">
            <w:pPr>
              <w:spacing w:before="0" w:after="0"/>
              <w:rPr>
                <w:noProof/>
                <w:sz w:val="22"/>
                <w:szCs w:val="22"/>
              </w:rPr>
            </w:pPr>
            <w:r w:rsidRPr="005B24BE">
              <w:rPr>
                <w:noProof/>
                <w:sz w:val="22"/>
                <w:szCs w:val="22"/>
              </w:rPr>
              <w:t>E-fuels</w:t>
            </w:r>
          </w:p>
        </w:tc>
        <w:tc>
          <w:tcPr>
            <w:tcW w:w="1096" w:type="pct"/>
            <w:vAlign w:val="center"/>
            <w:hideMark/>
          </w:tcPr>
          <w:p w14:paraId="7DB0A2B3" w14:textId="77777777" w:rsidR="009010D9" w:rsidRPr="005B24BE" w:rsidRDefault="009010D9">
            <w:pPr>
              <w:spacing w:before="0" w:after="0"/>
              <w:rPr>
                <w:noProof/>
                <w:sz w:val="22"/>
                <w:szCs w:val="22"/>
              </w:rPr>
            </w:pPr>
            <w:r w:rsidRPr="005B24BE">
              <w:rPr>
                <w:noProof/>
                <w:sz w:val="22"/>
                <w:szCs w:val="22"/>
              </w:rPr>
              <w:t>Caustic Calcinated Magnesite</w:t>
            </w:r>
          </w:p>
        </w:tc>
        <w:tc>
          <w:tcPr>
            <w:tcW w:w="1062" w:type="pct"/>
            <w:vAlign w:val="center"/>
            <w:hideMark/>
          </w:tcPr>
          <w:p w14:paraId="7C5EB671" w14:textId="77777777" w:rsidR="009010D9" w:rsidRPr="005B24BE" w:rsidRDefault="009010D9">
            <w:pPr>
              <w:spacing w:before="0" w:after="0"/>
              <w:rPr>
                <w:noProof/>
                <w:sz w:val="22"/>
                <w:szCs w:val="22"/>
              </w:rPr>
            </w:pPr>
            <w:r w:rsidRPr="005B24BE">
              <w:rPr>
                <w:noProof/>
                <w:sz w:val="22"/>
                <w:szCs w:val="22"/>
              </w:rPr>
              <w:t>Other organic chemicals</w:t>
            </w:r>
          </w:p>
        </w:tc>
      </w:tr>
    </w:tbl>
    <w:p w14:paraId="43EEBF91" w14:textId="77777777" w:rsidR="009010D9" w:rsidRPr="003D3BB3" w:rsidRDefault="009010D9" w:rsidP="004F602F">
      <w:pPr>
        <w:pStyle w:val="Heading3COM"/>
        <w:outlineLvl w:val="3"/>
        <w:rPr>
          <w:noProof/>
        </w:rPr>
      </w:pPr>
      <w:bookmarkStart w:id="852" w:name="_Toc212426481"/>
      <w:bookmarkStart w:id="853" w:name="_Toc875008618"/>
      <w:bookmarkStart w:id="854" w:name="_Toc230861569"/>
      <w:bookmarkStart w:id="855" w:name="_Toc232751191"/>
      <w:r w:rsidRPr="003D3BB3">
        <w:rPr>
          <w:noProof/>
        </w:rPr>
        <w:t>Identification of potential loopholes for downstream</w:t>
      </w:r>
      <w:bookmarkEnd w:id="852"/>
      <w:bookmarkEnd w:id="853"/>
      <w:r>
        <w:rPr>
          <w:noProof/>
        </w:rPr>
        <w:t xml:space="preserve"> accounting</w:t>
      </w:r>
      <w:bookmarkEnd w:id="854"/>
      <w:bookmarkEnd w:id="855"/>
      <w:r w:rsidRPr="003D3BB3">
        <w:rPr>
          <w:noProof/>
        </w:rPr>
        <w:t> </w:t>
      </w:r>
    </w:p>
    <w:p w14:paraId="3937F258" w14:textId="77777777" w:rsidR="009010D9" w:rsidRPr="003D3BB3" w:rsidRDefault="009010D9">
      <w:pPr>
        <w:rPr>
          <w:noProof/>
        </w:rPr>
      </w:pPr>
      <w:r w:rsidRPr="003D3BB3">
        <w:rPr>
          <w:noProof/>
        </w:rPr>
        <w:t>To understand the implications of the carbon accounting policy measures to be assessed, the end-of-life pathways and emissions profile for each non-permanent CCU product was examined.  The goal of this exercise was to determine which non-permanent CCU products are likely to be inert or to re-emit CO</w:t>
      </w:r>
      <w:r w:rsidRPr="003D3BB3">
        <w:rPr>
          <w:noProof/>
          <w:vertAlign w:val="subscript"/>
        </w:rPr>
        <w:t>2</w:t>
      </w:r>
      <w:r w:rsidRPr="003D3BB3">
        <w:rPr>
          <w:noProof/>
        </w:rPr>
        <w:t xml:space="preserve"> at their end of life based on their typical waste management process. Should a non-permanent CCU product meet its end of life outside of the </w:t>
      </w:r>
      <w:r>
        <w:rPr>
          <w:noProof/>
        </w:rPr>
        <w:t xml:space="preserve">  </w:t>
      </w:r>
      <w:r w:rsidRPr="003D3BB3">
        <w:rPr>
          <w:noProof/>
        </w:rPr>
        <w:t>and re-emit those captured of emissions, the product is considered to evade the accounting of ETS system and undermine its environmental effectiveness. This evasion is referred to as ‘loopholes’. </w:t>
      </w:r>
    </w:p>
    <w:p w14:paraId="3258FD8D" w14:textId="77777777" w:rsidR="009010D9" w:rsidRPr="003D3BB3" w:rsidRDefault="009010D9">
      <w:pPr>
        <w:rPr>
          <w:noProof/>
        </w:rPr>
      </w:pPr>
      <w:r>
        <w:rPr>
          <w:noProof/>
        </w:rPr>
        <w:t>An assessment of the risk loopholes was performed to determine which potential non-permanent CCU products are likely to be inert or to re-emit the embedded CO</w:t>
      </w:r>
      <w:r w:rsidRPr="3D859AE7">
        <w:rPr>
          <w:noProof/>
          <w:vertAlign w:val="subscript"/>
        </w:rPr>
        <w:t>2</w:t>
      </w:r>
      <w:r>
        <w:rPr>
          <w:noProof/>
        </w:rPr>
        <w:t xml:space="preserve"> at the end of life based on their typical waste management process. Furthermore, in-case of re-emission, it is important to assert whether that emission would occur within or outside the scope of the EU ETS, either currently or in the future, considering the possible extension to include waste incineration. This forms the basis of analysing the impacts of the different proposed CCU measures and whether the double- or under-counting of ETS emissions occurs.</w:t>
      </w:r>
    </w:p>
    <w:p w14:paraId="1B03CD10" w14:textId="77777777" w:rsidR="009010D9" w:rsidRPr="003D3BB3" w:rsidRDefault="009010D9">
      <w:pPr>
        <w:rPr>
          <w:noProof/>
        </w:rPr>
      </w:pPr>
      <w:r w:rsidRPr="003D3BB3">
        <w:rPr>
          <w:noProof/>
        </w:rPr>
        <w:t>Three waste management processes – recycling, incineration and landfill - were examined for several specific non-permanent CCU product, Direct CO</w:t>
      </w:r>
      <w:r w:rsidRPr="003D3BB3">
        <w:rPr>
          <w:noProof/>
          <w:vertAlign w:val="subscript"/>
        </w:rPr>
        <w:t>2</w:t>
      </w:r>
      <w:r w:rsidRPr="003D3BB3">
        <w:rPr>
          <w:noProof/>
        </w:rPr>
        <w:t xml:space="preserve"> use applications and e-fuels were also considered. The following conclusions were determined: </w:t>
      </w:r>
    </w:p>
    <w:p w14:paraId="7BDE932F" w14:textId="77777777" w:rsidR="009010D9" w:rsidRPr="003D3BB3" w:rsidRDefault="009010D9" w:rsidP="00FF38B3">
      <w:pPr>
        <w:pStyle w:val="ListParagraph"/>
        <w:numPr>
          <w:ilvl w:val="0"/>
          <w:numId w:val="43"/>
        </w:numPr>
        <w:spacing w:line="259" w:lineRule="auto"/>
        <w:rPr>
          <w:noProof/>
        </w:rPr>
      </w:pPr>
      <w:r w:rsidRPr="003D3BB3">
        <w:rPr>
          <w:b/>
          <w:noProof/>
        </w:rPr>
        <w:t>Direct utilisation of CO</w:t>
      </w:r>
      <w:r w:rsidRPr="003D3BB3">
        <w:rPr>
          <w:b/>
          <w:noProof/>
          <w:vertAlign w:val="subscript"/>
        </w:rPr>
        <w:t>2</w:t>
      </w:r>
      <w:r w:rsidRPr="003D3BB3">
        <w:rPr>
          <w:noProof/>
          <w:vertAlign w:val="subscript"/>
        </w:rPr>
        <w:t xml:space="preserve"> </w:t>
      </w:r>
      <w:r w:rsidRPr="003D3BB3">
        <w:rPr>
          <w:noProof/>
        </w:rPr>
        <w:t xml:space="preserve">in sectors such as horticulture, food and drinks or refrigeration, will result in direct, and in most cases </w:t>
      </w:r>
      <w:r w:rsidRPr="0084426B">
        <w:rPr>
          <w:noProof/>
        </w:rPr>
        <w:t>immediate</w:t>
      </w:r>
      <w:r w:rsidRPr="003D3BB3">
        <w:rPr>
          <w:noProof/>
        </w:rPr>
        <w:t>, emission in the atmosphere of the utilised CO</w:t>
      </w:r>
      <w:r w:rsidRPr="003D3BB3">
        <w:rPr>
          <w:noProof/>
          <w:vertAlign w:val="subscript"/>
        </w:rPr>
        <w:t>2</w:t>
      </w:r>
      <w:r w:rsidRPr="003D3BB3">
        <w:rPr>
          <w:noProof/>
        </w:rPr>
        <w:t xml:space="preserve">. As these sectors fall outside the scope of the EU ETS, this </w:t>
      </w:r>
      <w:r w:rsidRPr="003D3BB3">
        <w:rPr>
          <w:b/>
          <w:noProof/>
        </w:rPr>
        <w:t>re-emission of the CO</w:t>
      </w:r>
      <w:r w:rsidRPr="003D3BB3">
        <w:rPr>
          <w:b/>
          <w:noProof/>
          <w:vertAlign w:val="subscript"/>
        </w:rPr>
        <w:t xml:space="preserve">2 </w:t>
      </w:r>
      <w:r w:rsidRPr="003D3BB3">
        <w:rPr>
          <w:b/>
          <w:noProof/>
        </w:rPr>
        <w:t>would not be covered by the EU ETS</w:t>
      </w:r>
      <w:r w:rsidRPr="003D3BB3">
        <w:rPr>
          <w:noProof/>
        </w:rPr>
        <w:t>.  </w:t>
      </w:r>
    </w:p>
    <w:p w14:paraId="24C17101" w14:textId="77777777" w:rsidR="009010D9" w:rsidRPr="003D3BB3" w:rsidRDefault="009010D9" w:rsidP="00FF38B3">
      <w:pPr>
        <w:pStyle w:val="ListParagraph"/>
        <w:numPr>
          <w:ilvl w:val="0"/>
          <w:numId w:val="43"/>
        </w:numPr>
        <w:spacing w:line="259" w:lineRule="auto"/>
        <w:rPr>
          <w:noProof/>
        </w:rPr>
      </w:pPr>
      <w:r w:rsidRPr="003D3BB3">
        <w:rPr>
          <w:b/>
          <w:noProof/>
        </w:rPr>
        <w:t>E-fuels</w:t>
      </w:r>
      <w:r w:rsidRPr="003D3BB3">
        <w:rPr>
          <w:noProof/>
        </w:rPr>
        <w:t>, which are produced from hydrogen and CO</w:t>
      </w:r>
      <w:r w:rsidRPr="003D3BB3">
        <w:rPr>
          <w:noProof/>
          <w:vertAlign w:val="subscript"/>
        </w:rPr>
        <w:t>2</w:t>
      </w:r>
      <w:r w:rsidRPr="003D3BB3">
        <w:rPr>
          <w:noProof/>
        </w:rPr>
        <w:t xml:space="preserve">, will results in the </w:t>
      </w:r>
      <w:r w:rsidRPr="003D3BB3">
        <w:rPr>
          <w:b/>
          <w:noProof/>
        </w:rPr>
        <w:t>CO</w:t>
      </w:r>
      <w:r w:rsidRPr="003D3BB3">
        <w:rPr>
          <w:b/>
          <w:noProof/>
          <w:vertAlign w:val="subscript"/>
        </w:rPr>
        <w:t>2</w:t>
      </w:r>
      <w:r w:rsidRPr="003D3BB3">
        <w:rPr>
          <w:b/>
          <w:noProof/>
        </w:rPr>
        <w:t xml:space="preserve"> being emitted during fuel usage (combustion)</w:t>
      </w:r>
      <w:r w:rsidRPr="003D3BB3">
        <w:rPr>
          <w:noProof/>
        </w:rPr>
        <w:t>. The amount of CO</w:t>
      </w:r>
      <w:r w:rsidRPr="003D3BB3">
        <w:rPr>
          <w:noProof/>
          <w:vertAlign w:val="subscript"/>
        </w:rPr>
        <w:t xml:space="preserve">2 </w:t>
      </w:r>
      <w:r w:rsidRPr="003D3BB3">
        <w:rPr>
          <w:noProof/>
        </w:rPr>
        <w:t>released during combustion can be considered equal to the amount of CO</w:t>
      </w:r>
      <w:r w:rsidRPr="003D3BB3">
        <w:rPr>
          <w:noProof/>
          <w:vertAlign w:val="subscript"/>
        </w:rPr>
        <w:t>2</w:t>
      </w:r>
      <w:r w:rsidRPr="003D3BB3">
        <w:rPr>
          <w:noProof/>
        </w:rPr>
        <w:t xml:space="preserve"> used to create the fuel (excluding any emissions associated with the energy required for the production, which are not considered here). The use of fuels, including e-fuels, already falls largely </w:t>
      </w:r>
      <w:r w:rsidRPr="003D3BB3">
        <w:rPr>
          <w:b/>
          <w:noProof/>
        </w:rPr>
        <w:t xml:space="preserve">within to scope of the </w:t>
      </w:r>
      <w:r>
        <w:rPr>
          <w:b/>
          <w:noProof/>
        </w:rPr>
        <w:t>EU ETS</w:t>
      </w:r>
      <w:r w:rsidRPr="003D3BB3">
        <w:rPr>
          <w:b/>
          <w:noProof/>
        </w:rPr>
        <w:t xml:space="preserve"> and ETS 2</w:t>
      </w:r>
      <w:r w:rsidRPr="003D3BB3">
        <w:rPr>
          <w:noProof/>
        </w:rPr>
        <w:t xml:space="preserve">. </w:t>
      </w:r>
    </w:p>
    <w:p w14:paraId="2C1901D1" w14:textId="77777777" w:rsidR="009010D9" w:rsidRPr="003D3BB3" w:rsidRDefault="009010D9" w:rsidP="00FF38B3">
      <w:pPr>
        <w:pStyle w:val="ListParagraph"/>
        <w:numPr>
          <w:ilvl w:val="0"/>
          <w:numId w:val="43"/>
        </w:numPr>
        <w:spacing w:line="259" w:lineRule="auto"/>
        <w:rPr>
          <w:noProof/>
        </w:rPr>
      </w:pPr>
      <w:r w:rsidRPr="003D3BB3">
        <w:rPr>
          <w:noProof/>
        </w:rPr>
        <w:t xml:space="preserve">The potential </w:t>
      </w:r>
      <w:r w:rsidRPr="003D3BB3">
        <w:rPr>
          <w:b/>
          <w:noProof/>
        </w:rPr>
        <w:t>CCU products</w:t>
      </w:r>
      <w:r w:rsidRPr="003D3BB3">
        <w:rPr>
          <w:noProof/>
        </w:rPr>
        <w:t xml:space="preserve"> analysed that have a </w:t>
      </w:r>
      <w:r w:rsidRPr="003D3BB3">
        <w:rPr>
          <w:b/>
          <w:noProof/>
        </w:rPr>
        <w:t xml:space="preserve">high incineration rate </w:t>
      </w:r>
      <w:r w:rsidRPr="003D3BB3">
        <w:rPr>
          <w:noProof/>
        </w:rPr>
        <w:t>(either from the outset or at the end of several recycling cycles) are assumed t</w:t>
      </w:r>
      <w:r>
        <w:rPr>
          <w:noProof/>
        </w:rPr>
        <w:t>o</w:t>
      </w:r>
      <w:r w:rsidRPr="003D3BB3">
        <w:rPr>
          <w:noProof/>
        </w:rPr>
        <w:t xml:space="preserve"> </w:t>
      </w:r>
      <w:r w:rsidRPr="003D3BB3">
        <w:rPr>
          <w:b/>
          <w:noProof/>
        </w:rPr>
        <w:t>re-emit</w:t>
      </w:r>
      <w:r w:rsidRPr="003D3BB3">
        <w:rPr>
          <w:noProof/>
        </w:rPr>
        <w:t xml:space="preserve"> any embedded CO</w:t>
      </w:r>
      <w:r w:rsidRPr="003D3BB3">
        <w:rPr>
          <w:noProof/>
          <w:vertAlign w:val="subscript"/>
        </w:rPr>
        <w:t>2</w:t>
      </w:r>
      <w:r w:rsidRPr="003D3BB3">
        <w:rPr>
          <w:noProof/>
        </w:rPr>
        <w:t xml:space="preserve">. However, some industrial wastes are co-incinerated as fuel for some ETS activities, and therefore these emissions are covered by the </w:t>
      </w:r>
      <w:r>
        <w:rPr>
          <w:noProof/>
        </w:rPr>
        <w:t>EU ETS</w:t>
      </w:r>
      <w:r w:rsidRPr="003D3BB3">
        <w:rPr>
          <w:noProof/>
        </w:rPr>
        <w:t xml:space="preserve">. Furthermore, for the purpose of this assessment, it is assumed that the scope of the </w:t>
      </w:r>
      <w:r>
        <w:rPr>
          <w:noProof/>
        </w:rPr>
        <w:t xml:space="preserve">EU ETS </w:t>
      </w:r>
      <w:r w:rsidRPr="003D3BB3">
        <w:rPr>
          <w:noProof/>
        </w:rPr>
        <w:t>is expanded to include waste incineration</w:t>
      </w:r>
      <w:r>
        <w:rPr>
          <w:noProof/>
        </w:rPr>
        <w:t>,</w:t>
      </w:r>
      <w:r w:rsidRPr="003D3BB3">
        <w:rPr>
          <w:noProof/>
        </w:rPr>
        <w:t xml:space="preserve"> in which case it can be </w:t>
      </w:r>
      <w:r w:rsidRPr="003D3BB3">
        <w:rPr>
          <w:b/>
          <w:noProof/>
        </w:rPr>
        <w:t xml:space="preserve">assumed that most emissions from the incineration of waste will fall within the scope of the </w:t>
      </w:r>
      <w:r>
        <w:rPr>
          <w:b/>
          <w:noProof/>
        </w:rPr>
        <w:t>EU ETS</w:t>
      </w:r>
      <w:r w:rsidRPr="003D3BB3">
        <w:rPr>
          <w:noProof/>
        </w:rPr>
        <w:t>.  </w:t>
      </w:r>
    </w:p>
    <w:p w14:paraId="56676938" w14:textId="2F6F8497" w:rsidR="009010D9" w:rsidRPr="003D3BB3" w:rsidRDefault="009010D9" w:rsidP="00FF38B3">
      <w:pPr>
        <w:pStyle w:val="ListParagraph"/>
        <w:numPr>
          <w:ilvl w:val="0"/>
          <w:numId w:val="43"/>
        </w:numPr>
        <w:spacing w:line="259" w:lineRule="auto"/>
        <w:rPr>
          <w:noProof/>
        </w:rPr>
      </w:pPr>
      <w:r w:rsidRPr="003D3BB3">
        <w:rPr>
          <w:noProof/>
        </w:rPr>
        <w:t xml:space="preserve">The potential </w:t>
      </w:r>
      <w:r w:rsidRPr="402EF34D">
        <w:rPr>
          <w:b/>
          <w:bCs/>
          <w:noProof/>
        </w:rPr>
        <w:t>CCU products that are landfilled</w:t>
      </w:r>
      <w:r w:rsidRPr="003D3BB3">
        <w:rPr>
          <w:noProof/>
        </w:rPr>
        <w:t xml:space="preserve"> are considered </w:t>
      </w:r>
      <w:r w:rsidRPr="402EF34D">
        <w:rPr>
          <w:b/>
          <w:bCs/>
          <w:noProof/>
        </w:rPr>
        <w:t>generally inert</w:t>
      </w:r>
      <w:r w:rsidRPr="003D3BB3">
        <w:rPr>
          <w:noProof/>
        </w:rPr>
        <w:t xml:space="preserve">. </w:t>
      </w:r>
      <w:r>
        <w:rPr>
          <w:noProof/>
        </w:rPr>
        <w:t>Emissions from landfill result from the digestion (aerobic or anaerobic) of biodegradable waste. Synthetic organic materials, unless specifically designed to be bio-degradable, breakdown very slowly in landfill conditions with half-lives estimated ranging in hundreds to thousands of years.</w:t>
      </w:r>
      <w:r>
        <w:rPr>
          <w:rStyle w:val="FootnoteReference"/>
          <w:noProof/>
        </w:rPr>
        <w:footnoteReference w:id="183"/>
      </w:r>
      <w:r>
        <w:rPr>
          <w:noProof/>
        </w:rPr>
        <w:t xml:space="preserve"> </w:t>
      </w:r>
      <w:r w:rsidRPr="003D3BB3">
        <w:rPr>
          <w:noProof/>
        </w:rPr>
        <w:t xml:space="preserve">However, </w:t>
      </w:r>
      <w:r>
        <w:rPr>
          <w:noProof/>
        </w:rPr>
        <w:t>the current IPCC guidance on emissions from solid waste disposal sites includes only the reporting of CH</w:t>
      </w:r>
      <w:r>
        <w:rPr>
          <w:noProof/>
          <w:vertAlign w:val="subscript"/>
        </w:rPr>
        <w:t xml:space="preserve">4 </w:t>
      </w:r>
      <w:r>
        <w:rPr>
          <w:noProof/>
        </w:rPr>
        <w:t>(methane) emissions from landfills</w:t>
      </w:r>
      <w:r w:rsidRPr="2117A579">
        <w:rPr>
          <w:noProof/>
        </w:rPr>
        <w:t>,</w:t>
      </w:r>
      <w:r>
        <w:rPr>
          <w:noProof/>
        </w:rPr>
        <w:t xml:space="preserve"> as the CO</w:t>
      </w:r>
      <w:r>
        <w:rPr>
          <w:noProof/>
          <w:vertAlign w:val="subscript"/>
        </w:rPr>
        <w:t xml:space="preserve">2 </w:t>
      </w:r>
      <w:r>
        <w:rPr>
          <w:noProof/>
        </w:rPr>
        <w:t>released from landfills is considered of biogenic origin</w:t>
      </w:r>
      <w:r w:rsidRPr="003D3BB3">
        <w:rPr>
          <w:noProof/>
        </w:rPr>
        <w:t xml:space="preserve">. Some emissions </w:t>
      </w:r>
      <w:r>
        <w:rPr>
          <w:noProof/>
        </w:rPr>
        <w:t>could</w:t>
      </w:r>
      <w:r w:rsidRPr="003D3BB3">
        <w:rPr>
          <w:noProof/>
        </w:rPr>
        <w:t xml:space="preserve"> occur if landfill conditions become very acidic</w:t>
      </w:r>
      <w:r>
        <w:rPr>
          <w:noProof/>
        </w:rPr>
        <w:t>, landfill fires</w:t>
      </w:r>
      <w:r w:rsidRPr="003D3BB3">
        <w:rPr>
          <w:noProof/>
        </w:rPr>
        <w:t xml:space="preserve"> or </w:t>
      </w:r>
      <w:r>
        <w:rPr>
          <w:noProof/>
        </w:rPr>
        <w:t>in case of illegal dumping, which may not be accounted in inventories</w:t>
      </w:r>
    </w:p>
    <w:p w14:paraId="583C6F52" w14:textId="77777777" w:rsidR="009010D9" w:rsidRPr="003D3BB3" w:rsidRDefault="009010D9" w:rsidP="00FF38B3">
      <w:pPr>
        <w:pStyle w:val="ListParagraph"/>
        <w:numPr>
          <w:ilvl w:val="0"/>
          <w:numId w:val="43"/>
        </w:numPr>
        <w:spacing w:line="259" w:lineRule="auto"/>
        <w:rPr>
          <w:noProof/>
        </w:rPr>
      </w:pPr>
      <w:r w:rsidRPr="003D3BB3">
        <w:rPr>
          <w:noProof/>
        </w:rPr>
        <w:t xml:space="preserve">For potential </w:t>
      </w:r>
      <w:r w:rsidRPr="003D3BB3">
        <w:rPr>
          <w:b/>
          <w:noProof/>
        </w:rPr>
        <w:t xml:space="preserve">CCU products </w:t>
      </w:r>
      <w:r w:rsidRPr="003D3BB3">
        <w:rPr>
          <w:noProof/>
        </w:rPr>
        <w:t xml:space="preserve">that have a </w:t>
      </w:r>
      <w:r w:rsidRPr="003D3BB3">
        <w:rPr>
          <w:b/>
          <w:noProof/>
        </w:rPr>
        <w:t xml:space="preserve">high recycling </w:t>
      </w:r>
      <w:r w:rsidRPr="003D3BB3">
        <w:rPr>
          <w:noProof/>
        </w:rPr>
        <w:t xml:space="preserve">rate, </w:t>
      </w:r>
      <w:r w:rsidRPr="003D3BB3">
        <w:rPr>
          <w:b/>
          <w:noProof/>
        </w:rPr>
        <w:t>the fate of the embedded CO</w:t>
      </w:r>
      <w:r w:rsidRPr="003D3BB3">
        <w:rPr>
          <w:b/>
          <w:noProof/>
          <w:vertAlign w:val="subscript"/>
        </w:rPr>
        <w:t>2</w:t>
      </w:r>
      <w:r w:rsidRPr="003D3BB3">
        <w:rPr>
          <w:b/>
          <w:noProof/>
        </w:rPr>
        <w:t xml:space="preserve"> depends on the recycling process</w:t>
      </w:r>
      <w:r w:rsidRPr="003D3BB3">
        <w:rPr>
          <w:noProof/>
        </w:rPr>
        <w:t>. Mechanical recycling process do not alter the chemical composition of the material and therefore, from the CO</w:t>
      </w:r>
      <w:r w:rsidRPr="003D3BB3">
        <w:rPr>
          <w:noProof/>
          <w:vertAlign w:val="subscript"/>
        </w:rPr>
        <w:t>2</w:t>
      </w:r>
      <w:r w:rsidRPr="003D3BB3">
        <w:rPr>
          <w:noProof/>
        </w:rPr>
        <w:t xml:space="preserve"> re-emission point of view, they can be considered inert. In some cases, such as plasterboard, the recycling process requires high enough temperatures that result in the release of the CO</w:t>
      </w:r>
      <w:r w:rsidRPr="003D3BB3">
        <w:rPr>
          <w:noProof/>
          <w:vertAlign w:val="subscript"/>
        </w:rPr>
        <w:t>2</w:t>
      </w:r>
      <w:r w:rsidRPr="003D3BB3">
        <w:rPr>
          <w:noProof/>
        </w:rPr>
        <w:t xml:space="preserve">. In other cases, where novel recycling </w:t>
      </w:r>
      <w:r w:rsidRPr="00B07DC1">
        <w:rPr>
          <w:noProof/>
        </w:rPr>
        <w:t>processes</w:t>
      </w:r>
      <w:r w:rsidRPr="003D3BB3">
        <w:rPr>
          <w:noProof/>
        </w:rPr>
        <w:t xml:space="preserve"> are applied, the fate of the embedded CO</w:t>
      </w:r>
      <w:r w:rsidRPr="003D3BB3">
        <w:rPr>
          <w:noProof/>
          <w:vertAlign w:val="subscript"/>
        </w:rPr>
        <w:t>2</w:t>
      </w:r>
      <w:r w:rsidRPr="003D3BB3">
        <w:rPr>
          <w:noProof/>
        </w:rPr>
        <w:t xml:space="preserve"> will depend on the nature of the product and of the recycling process and it cannot be determined in advance with precision. Products that after the recycling process, due to degradation or contamination, are not recyclable anymore are assumed to be either landfilled or incinerated, and therefore the likely emission fate outlined for those two end-of-life treatments.</w:t>
      </w:r>
    </w:p>
    <w:p w14:paraId="21877ECC" w14:textId="77777777" w:rsidR="009010D9" w:rsidRPr="003D3BB3" w:rsidRDefault="009010D9" w:rsidP="00FF38B3">
      <w:pPr>
        <w:pStyle w:val="ListParagraph"/>
        <w:numPr>
          <w:ilvl w:val="0"/>
          <w:numId w:val="43"/>
        </w:numPr>
        <w:spacing w:line="259" w:lineRule="auto"/>
        <w:rPr>
          <w:noProof/>
        </w:rPr>
      </w:pPr>
      <w:r w:rsidRPr="003D3BB3">
        <w:rPr>
          <w:noProof/>
        </w:rPr>
        <w:t xml:space="preserve">There are </w:t>
      </w:r>
      <w:r w:rsidRPr="402EF34D">
        <w:rPr>
          <w:b/>
          <w:bCs/>
          <w:noProof/>
        </w:rPr>
        <w:t>some CCU applications</w:t>
      </w:r>
      <w:r w:rsidRPr="003D3BB3">
        <w:rPr>
          <w:noProof/>
        </w:rPr>
        <w:t xml:space="preserve"> that, like the direct CO</w:t>
      </w:r>
      <w:r w:rsidRPr="003D3BB3">
        <w:rPr>
          <w:noProof/>
          <w:vertAlign w:val="subscript"/>
        </w:rPr>
        <w:t>2</w:t>
      </w:r>
      <w:r w:rsidRPr="003D3BB3">
        <w:rPr>
          <w:noProof/>
        </w:rPr>
        <w:t xml:space="preserve"> utilisation, will result in the </w:t>
      </w:r>
      <w:r w:rsidRPr="402EF34D">
        <w:rPr>
          <w:b/>
          <w:bCs/>
          <w:noProof/>
        </w:rPr>
        <w:t>re-emission of at least some the embedded CO</w:t>
      </w:r>
      <w:r w:rsidRPr="402EF34D">
        <w:rPr>
          <w:b/>
          <w:bCs/>
          <w:noProof/>
          <w:vertAlign w:val="subscript"/>
        </w:rPr>
        <w:t>2</w:t>
      </w:r>
      <w:r w:rsidRPr="402EF34D">
        <w:rPr>
          <w:b/>
          <w:bCs/>
          <w:noProof/>
        </w:rPr>
        <w:t xml:space="preserve"> outside of the scope of the EU ETS</w:t>
      </w:r>
      <w:r w:rsidRPr="003D3BB3">
        <w:rPr>
          <w:noProof/>
        </w:rPr>
        <w:t xml:space="preserve">. This category includes primarily the products such as urea or PCC used as fertilisers or soil additives, where they break down and get dissolved in the water stream or re-emitted in the atmosphere. </w:t>
      </w:r>
      <w:r>
        <w:rPr>
          <w:noProof/>
        </w:rPr>
        <w:t xml:space="preserve">IPCC guidance on agricultural liming considers in its the default method that all embedded </w:t>
      </w:r>
      <w:r w:rsidRPr="003D3BB3">
        <w:rPr>
          <w:noProof/>
        </w:rPr>
        <w:t>CO</w:t>
      </w:r>
      <w:r w:rsidRPr="003D3BB3">
        <w:rPr>
          <w:noProof/>
          <w:vertAlign w:val="subscript"/>
        </w:rPr>
        <w:t>2</w:t>
      </w:r>
      <w:r w:rsidRPr="0829F498">
        <w:rPr>
          <w:i/>
          <w:iCs/>
          <w:noProof/>
          <w:vertAlign w:val="subscript"/>
        </w:rPr>
        <w:t xml:space="preserve"> </w:t>
      </w:r>
      <w:r>
        <w:rPr>
          <w:noProof/>
        </w:rPr>
        <w:t>in fertilisers is released</w:t>
      </w:r>
      <w:r>
        <w:rPr>
          <w:rStyle w:val="FootnoteReference"/>
          <w:noProof/>
        </w:rPr>
        <w:footnoteReference w:id="184"/>
      </w:r>
      <w:r>
        <w:rPr>
          <w:noProof/>
        </w:rPr>
        <w:t>. However, it does acknowledge a high uncertainty level as high as 50% and t</w:t>
      </w:r>
      <w:r w:rsidRPr="003D3BB3">
        <w:rPr>
          <w:noProof/>
        </w:rPr>
        <w:t>he exact rate of re-emission is</w:t>
      </w:r>
      <w:r w:rsidRPr="003D3BB3" w:rsidDel="003621F1">
        <w:rPr>
          <w:noProof/>
        </w:rPr>
        <w:t xml:space="preserve"> </w:t>
      </w:r>
      <w:r w:rsidRPr="003D3BB3">
        <w:rPr>
          <w:noProof/>
        </w:rPr>
        <w:t xml:space="preserve">influenced by local conditions, in particular soil acidity. </w:t>
      </w:r>
    </w:p>
    <w:p w14:paraId="66182210" w14:textId="77777777" w:rsidR="009010D9" w:rsidRPr="003D3BB3" w:rsidRDefault="009010D9">
      <w:pPr>
        <w:rPr>
          <w:noProof/>
        </w:rPr>
      </w:pPr>
      <w:r w:rsidRPr="003D3BB3">
        <w:rPr>
          <w:noProof/>
        </w:rPr>
        <w:t>This assessment shows the possible non-permanent CCU product categories that will eventually result in the release of the embedded CO</w:t>
      </w:r>
      <w:r w:rsidRPr="003D3BB3">
        <w:rPr>
          <w:noProof/>
          <w:vertAlign w:val="subscript"/>
        </w:rPr>
        <w:t>2</w:t>
      </w:r>
      <w:r w:rsidRPr="003D3BB3">
        <w:rPr>
          <w:noProof/>
        </w:rPr>
        <w:t xml:space="preserve">, where that emission would occur and whether it would fall within or outside of the scope of the EU ETS, assuming also its extension to include waste incineration. </w:t>
      </w:r>
    </w:p>
    <w:p w14:paraId="46DFA45E" w14:textId="77777777" w:rsidR="009010D9" w:rsidRPr="003D3BB3" w:rsidRDefault="009010D9">
      <w:pPr>
        <w:rPr>
          <w:noProof/>
        </w:rPr>
      </w:pPr>
      <w:r w:rsidRPr="003D3BB3">
        <w:rPr>
          <w:noProof/>
        </w:rPr>
        <w:t>It is important to note that to date, apart from PCC, urea and some applications making direct use of CO</w:t>
      </w:r>
      <w:r w:rsidRPr="003D3BB3">
        <w:rPr>
          <w:noProof/>
          <w:vertAlign w:val="subscript"/>
        </w:rPr>
        <w:t xml:space="preserve">2, </w:t>
      </w:r>
      <w:r w:rsidRPr="003D3BB3">
        <w:rPr>
          <w:noProof/>
        </w:rPr>
        <w:t xml:space="preserve">CCU technologies are largely at the research or piloting stage. The products researched in this section represent </w:t>
      </w:r>
      <w:r w:rsidRPr="003D3BB3">
        <w:rPr>
          <w:i/>
          <w:noProof/>
        </w:rPr>
        <w:t xml:space="preserve">potential or possible </w:t>
      </w:r>
      <w:r w:rsidRPr="003D3BB3">
        <w:rPr>
          <w:noProof/>
        </w:rPr>
        <w:t>products that could be produced via</w:t>
      </w:r>
      <w:r w:rsidRPr="003D3BB3">
        <w:rPr>
          <w:i/>
          <w:noProof/>
        </w:rPr>
        <w:t xml:space="preserve"> </w:t>
      </w:r>
      <w:r w:rsidRPr="003D3BB3">
        <w:rPr>
          <w:noProof/>
        </w:rPr>
        <w:t xml:space="preserve">CCU. However, it is not possible to say which of those products will likely be produced at scale, which will depend on specific technological, financial and commercial considerations for each product. Therefore, the risks identified for the CCU products in this section are theoretical, as currently there are no or very few CCU products commercialised. </w:t>
      </w:r>
    </w:p>
    <w:p w14:paraId="0CB17ADA" w14:textId="77777777" w:rsidR="009010D9" w:rsidRPr="003D3BB3" w:rsidRDefault="009010D9" w:rsidP="004F602F">
      <w:pPr>
        <w:pStyle w:val="Heading2COM"/>
        <w:outlineLvl w:val="2"/>
        <w15:collapsed w:val="0"/>
        <w:rPr>
          <w:noProof/>
        </w:rPr>
      </w:pPr>
      <w:r w:rsidRPr="003D3BB3">
        <w:rPr>
          <w:noProof/>
        </w:rPr>
        <w:t> </w:t>
      </w:r>
      <w:bookmarkStart w:id="856" w:name="_Toc212025451"/>
      <w:bookmarkStart w:id="857" w:name="_Toc212426487"/>
      <w:bookmarkStart w:id="858" w:name="_Toc2100928340"/>
      <w:bookmarkStart w:id="859" w:name="_Toc230861570"/>
      <w:bookmarkStart w:id="860" w:name="_Toc232751192"/>
      <w:r w:rsidRPr="003D3BB3">
        <w:rPr>
          <w:noProof/>
        </w:rPr>
        <w:t>Policy measures</w:t>
      </w:r>
      <w:bookmarkEnd w:id="856"/>
      <w:bookmarkEnd w:id="857"/>
      <w:bookmarkEnd w:id="858"/>
      <w:bookmarkEnd w:id="859"/>
      <w:bookmarkEnd w:id="860"/>
    </w:p>
    <w:p w14:paraId="0FC2A25D" w14:textId="77777777" w:rsidR="009010D9" w:rsidRPr="003D3BB3" w:rsidRDefault="009010D9" w:rsidP="004F602F">
      <w:pPr>
        <w:pStyle w:val="Heading3COM"/>
        <w:outlineLvl w:val="3"/>
        <w:rPr>
          <w:noProof/>
        </w:rPr>
      </w:pPr>
      <w:bookmarkStart w:id="861" w:name="_Toc212426488"/>
      <w:bookmarkStart w:id="862" w:name="_Toc382305881"/>
      <w:bookmarkStart w:id="863" w:name="_Toc230861571"/>
      <w:bookmarkStart w:id="864" w:name="_Toc232751193"/>
      <w:r>
        <w:rPr>
          <w:noProof/>
        </w:rPr>
        <w:t>Description of the policy measures</w:t>
      </w:r>
      <w:bookmarkEnd w:id="861"/>
      <w:bookmarkEnd w:id="862"/>
      <w:bookmarkEnd w:id="863"/>
      <w:bookmarkEnd w:id="864"/>
    </w:p>
    <w:p w14:paraId="38DB80DC" w14:textId="77777777" w:rsidR="009010D9" w:rsidRPr="003D3BB3" w:rsidRDefault="009010D9">
      <w:pPr>
        <w:rPr>
          <w:noProof/>
        </w:rPr>
      </w:pPr>
      <w:r>
        <w:rPr>
          <w:noProof/>
        </w:rPr>
        <w:t>The following policy measures to be considered for non-permanent CCU in the impact assessment include:</w:t>
      </w:r>
    </w:p>
    <w:p w14:paraId="57EB3ECE" w14:textId="77777777" w:rsidR="009010D9" w:rsidRDefault="009010D9" w:rsidP="009010D9">
      <w:pPr>
        <w:pStyle w:val="ListParagraph"/>
        <w:spacing w:line="259" w:lineRule="auto"/>
        <w:rPr>
          <w:noProof/>
        </w:rPr>
      </w:pPr>
      <w:r w:rsidRPr="51A24B12">
        <w:rPr>
          <w:b/>
          <w:bCs/>
          <w:noProof/>
        </w:rPr>
        <w:t xml:space="preserve">CCU0: </w:t>
      </w:r>
      <w:r>
        <w:rPr>
          <w:noProof/>
        </w:rPr>
        <w:t>Represents no change compared to the baseline based on upstream accounting and the current scope of the EU ETS as regards waste incineration.</w:t>
      </w:r>
    </w:p>
    <w:p w14:paraId="76D5383A" w14:textId="77777777" w:rsidR="009010D9" w:rsidRPr="003D3BB3" w:rsidRDefault="009010D9" w:rsidP="009010D9">
      <w:pPr>
        <w:pStyle w:val="ListParagraph"/>
        <w:spacing w:line="259" w:lineRule="auto"/>
        <w:rPr>
          <w:noProof/>
        </w:rPr>
      </w:pPr>
      <w:r w:rsidRPr="51A24B12">
        <w:rPr>
          <w:b/>
          <w:bCs/>
          <w:noProof/>
        </w:rPr>
        <w:t>CCU1</w:t>
      </w:r>
      <w:r>
        <w:rPr>
          <w:noProof/>
        </w:rPr>
        <w:t xml:space="preserve">: Maintain upstream accounting/pricing after integration of waste incineration </w:t>
      </w:r>
    </w:p>
    <w:p w14:paraId="6CDB0FA4" w14:textId="77777777" w:rsidR="009010D9" w:rsidRPr="003D3BB3" w:rsidRDefault="009010D9">
      <w:pPr>
        <w:rPr>
          <w:noProof/>
        </w:rPr>
      </w:pPr>
      <w:r w:rsidRPr="003D3BB3">
        <w:rPr>
          <w:noProof/>
        </w:rPr>
        <w:t xml:space="preserve">Upstream accounting is the status-quo accounting mechanism of the </w:t>
      </w:r>
      <w:r>
        <w:rPr>
          <w:noProof/>
        </w:rPr>
        <w:t xml:space="preserve">EU ETS </w:t>
      </w:r>
      <w:r w:rsidRPr="003D3BB3">
        <w:rPr>
          <w:noProof/>
        </w:rPr>
        <w:t xml:space="preserve">premised upon the “emitter pays” principle, where carbon is accounted for at the point of </w:t>
      </w:r>
      <w:r>
        <w:rPr>
          <w:noProof/>
        </w:rPr>
        <w:t>the initial activity generating emissions.</w:t>
      </w:r>
      <w:r w:rsidRPr="003D3BB3">
        <w:rPr>
          <w:noProof/>
        </w:rPr>
        <w:t xml:space="preserve"> Upstream accounting was the most frequently identified accounting approach (44%) by respondents in the OPC when asked what accounting approach should be applied to non-permanent CCU technologies in the ETS to ensure the integrity and effectiveness of the EU ETS. </w:t>
      </w:r>
    </w:p>
    <w:p w14:paraId="2AF3E91C" w14:textId="77777777" w:rsidR="009010D9" w:rsidRPr="003D3BB3" w:rsidRDefault="009010D9" w:rsidP="0018561F">
      <w:pPr>
        <w:pStyle w:val="ListParagraph"/>
        <w:numPr>
          <w:ilvl w:val="0"/>
          <w:numId w:val="40"/>
        </w:numPr>
        <w:spacing w:line="259" w:lineRule="auto"/>
        <w:rPr>
          <w:noProof/>
        </w:rPr>
      </w:pPr>
      <w:r w:rsidRPr="003D3BB3">
        <w:rPr>
          <w:b/>
          <w:noProof/>
        </w:rPr>
        <w:t>CCU2</w:t>
      </w:r>
      <w:r w:rsidRPr="003D3BB3">
        <w:rPr>
          <w:noProof/>
        </w:rPr>
        <w:t>: Downstream accounting (final emitter pays), conditional on integration of waste incineration:</w:t>
      </w:r>
    </w:p>
    <w:p w14:paraId="6A42AB9D" w14:textId="77777777" w:rsidR="009010D9" w:rsidRPr="003D3BB3" w:rsidRDefault="009010D9">
      <w:pPr>
        <w:rPr>
          <w:noProof/>
        </w:rPr>
      </w:pPr>
      <w:r w:rsidRPr="003D3BB3">
        <w:rPr>
          <w:noProof/>
        </w:rPr>
        <w:t>Downstream accounting moves the point of accounting/pricing downstream to where the emission occurs. The capture operator (e.g. cement plant) is not required to surrender allowances for any CO</w:t>
      </w:r>
      <w:r w:rsidRPr="003D3BB3">
        <w:rPr>
          <w:noProof/>
          <w:vertAlign w:val="subscript"/>
        </w:rPr>
        <w:t>2</w:t>
      </w:r>
      <w:r w:rsidRPr="003D3BB3">
        <w:rPr>
          <w:noProof/>
        </w:rPr>
        <w:t xml:space="preserve"> captured, as the final emitter, the user of synthetic fuels or the waste incinerator that incinerates non-permanent CCU products, would have to surrender allowances for these emissions. Downstream accounting, in various forms (with or without a ‘chain of custody’ approach) was the second most frequently identified approach (38%) by respondents in the OPC, mainly from companies and business associations from the manufacturing industry. </w:t>
      </w:r>
    </w:p>
    <w:p w14:paraId="1ABE9B13" w14:textId="77777777" w:rsidR="009010D9" w:rsidRPr="003D3BB3" w:rsidRDefault="009010D9" w:rsidP="0018561F">
      <w:pPr>
        <w:pStyle w:val="ListParagraph"/>
        <w:numPr>
          <w:ilvl w:val="0"/>
          <w:numId w:val="40"/>
        </w:numPr>
        <w:spacing w:line="259" w:lineRule="auto"/>
        <w:rPr>
          <w:noProof/>
        </w:rPr>
      </w:pPr>
      <w:r w:rsidRPr="003D3BB3">
        <w:rPr>
          <w:b/>
          <w:noProof/>
        </w:rPr>
        <w:t>CCU3</w:t>
      </w:r>
      <w:r w:rsidRPr="003D3BB3">
        <w:rPr>
          <w:noProof/>
        </w:rPr>
        <w:t xml:space="preserve">: Hybrid downstream &amp; midstream accounting, conditional on integration of waste incineration: </w:t>
      </w:r>
    </w:p>
    <w:p w14:paraId="1D4FF71B" w14:textId="77777777" w:rsidR="009010D9" w:rsidRPr="003D3BB3" w:rsidRDefault="009010D9">
      <w:pPr>
        <w:rPr>
          <w:noProof/>
        </w:rPr>
      </w:pPr>
      <w:r w:rsidRPr="003D3BB3">
        <w:rPr>
          <w:noProof/>
        </w:rPr>
        <w:t xml:space="preserve">This approach is a variation to the previous downstream accounting option that seeks to offer an accounting approach that can accommodate the emissions profiles of e-fuels. In this approach, downstream accounting on waste incineration would take place to ensure that the emissions resulting from </w:t>
      </w:r>
      <w:r>
        <w:rPr>
          <w:noProof/>
        </w:rPr>
        <w:t>most</w:t>
      </w:r>
      <w:r w:rsidRPr="003D3BB3">
        <w:rPr>
          <w:noProof/>
        </w:rPr>
        <w:t xml:space="preserve"> non-permanent CCU products that meet their end-of-life downstream are accounted for. Additionally, a zero-rating for qualifying e-fuels would be maintained, and to ensure emissions from e-fuel production are accounted for, the point of accounting/pricing would move </w:t>
      </w:r>
      <w:r>
        <w:rPr>
          <w:noProof/>
        </w:rPr>
        <w:t>midstream</w:t>
      </w:r>
      <w:r w:rsidRPr="003D3BB3">
        <w:rPr>
          <w:noProof/>
        </w:rPr>
        <w:t xml:space="preserve"> and placed on either the producer or distributor of e-fuels. </w:t>
      </w:r>
      <w:r>
        <w:rPr>
          <w:noProof/>
        </w:rPr>
        <w:t xml:space="preserve">The difference between the two options as the midstream point of accounting is that midstream accounting at the point of production would cover only e-fuels produced in the EU, while midstream accounting at the point of distribution would cover both domestic and imported e-fuels. </w:t>
      </w:r>
      <w:r w:rsidRPr="003D3BB3" w:rsidDel="00C13592">
        <w:rPr>
          <w:noProof/>
        </w:rPr>
        <w:t>The</w:t>
      </w:r>
      <w:r w:rsidRPr="003D3BB3">
        <w:rPr>
          <w:noProof/>
        </w:rPr>
        <w:t xml:space="preserve"> producer</w:t>
      </w:r>
      <w:r>
        <w:rPr>
          <w:noProof/>
        </w:rPr>
        <w:t xml:space="preserve"> or </w:t>
      </w:r>
      <w:r w:rsidRPr="003D3BB3">
        <w:rPr>
          <w:noProof/>
        </w:rPr>
        <w:t xml:space="preserve">distributor of e-fuels would be included in the </w:t>
      </w:r>
      <w:r>
        <w:rPr>
          <w:noProof/>
        </w:rPr>
        <w:t xml:space="preserve">EU ETS </w:t>
      </w:r>
      <w:r w:rsidRPr="003D3BB3">
        <w:rPr>
          <w:noProof/>
        </w:rPr>
        <w:t>as an operator and would be required to surrender allowances for the fossil CO</w:t>
      </w:r>
      <w:r w:rsidRPr="003D3BB3">
        <w:rPr>
          <w:noProof/>
          <w:vertAlign w:val="subscript"/>
        </w:rPr>
        <w:t>2</w:t>
      </w:r>
      <w:r w:rsidRPr="003D3BB3">
        <w:rPr>
          <w:noProof/>
        </w:rPr>
        <w:t xml:space="preserve"> used in e-fuels, which would enable to continue zero-rating these fuels when used in the ETS. </w:t>
      </w:r>
    </w:p>
    <w:p w14:paraId="1FC77A10" w14:textId="77777777" w:rsidR="009010D9" w:rsidRPr="003D3BB3" w:rsidRDefault="009010D9" w:rsidP="004F602F">
      <w:pPr>
        <w:pStyle w:val="Heading3COM"/>
        <w:outlineLvl w:val="3"/>
        <w:rPr>
          <w:noProof/>
        </w:rPr>
      </w:pPr>
      <w:bookmarkStart w:id="865" w:name="_Toc204154702"/>
      <w:bookmarkStart w:id="866" w:name="_Toc212426489"/>
      <w:bookmarkStart w:id="867" w:name="_Toc721019429"/>
      <w:bookmarkStart w:id="868" w:name="_Toc230861572"/>
      <w:bookmarkStart w:id="869" w:name="_Toc232751194"/>
      <w:r w:rsidRPr="003D3BB3">
        <w:rPr>
          <w:noProof/>
        </w:rPr>
        <w:t>Description of discarded measures</w:t>
      </w:r>
      <w:bookmarkEnd w:id="865"/>
      <w:bookmarkEnd w:id="866"/>
      <w:bookmarkEnd w:id="867"/>
      <w:bookmarkEnd w:id="868"/>
      <w:bookmarkEnd w:id="869"/>
    </w:p>
    <w:p w14:paraId="42A27494" w14:textId="77777777" w:rsidR="009010D9" w:rsidRPr="003D3BB3" w:rsidRDefault="009010D9" w:rsidP="0018561F">
      <w:pPr>
        <w:pStyle w:val="ListParagraph"/>
        <w:numPr>
          <w:ilvl w:val="0"/>
          <w:numId w:val="40"/>
        </w:numPr>
        <w:spacing w:line="259" w:lineRule="auto"/>
        <w:rPr>
          <w:noProof/>
        </w:rPr>
      </w:pPr>
      <w:r w:rsidRPr="003D3BB3">
        <w:rPr>
          <w:noProof/>
        </w:rPr>
        <w:t xml:space="preserve">Life Cycle Assessment (LCA) based partial non-surrender obligation or carbon tracking: </w:t>
      </w:r>
    </w:p>
    <w:p w14:paraId="6D5F3784" w14:textId="77777777" w:rsidR="009010D9" w:rsidRDefault="009010D9">
      <w:pPr>
        <w:rPr>
          <w:noProof/>
        </w:rPr>
      </w:pPr>
      <w:r w:rsidRPr="003D3BB3">
        <w:rPr>
          <w:noProof/>
        </w:rPr>
        <w:t>LCA approaches fundamentally concern the evaluation of a non-permanent CCU product’s life-cycle emissions through life-cycle analysis. LCA approaches and associated partial surrender obligations could be conceived as a sub-option for both upstream and downstream accounting, where instead of altering the point of an allowance surrender obligation, the extent of the surrender obligation is altered instead with emission factors based on life-cycle assessments that identify the climate benefit of non-permanent CCU products</w:t>
      </w:r>
      <w:r w:rsidRPr="003D3BB3">
        <w:rPr>
          <w:noProof/>
          <w:vertAlign w:val="superscript"/>
        </w:rPr>
        <w:footnoteReference w:id="185"/>
      </w:r>
      <w:r w:rsidRPr="003D3BB3">
        <w:rPr>
          <w:noProof/>
        </w:rPr>
        <w:t xml:space="preserve">. In other words, partial emission factors would be applied instead of full pricing or full exemption. A life-cycle assessment approach to non-permanent CCU technologies in the ETS was supported by only a small share of OPC respondents (11%), mainly on the grounds that this would provide for the most accurate accounting method, LCA can represent an “outside of the box” solution for some, moving beyond the upstream-downstream paradigm, forgoing the need to assess as well whether a non-CCU product will be incinerated at its end of life or not. Additionally, LCA measures represent alternatives to the approach of addressing CCU through the avoidance of double counting, particularly in case of a decision not to integrate waste incineration into the EU ETS. More so, LCA approaches may provide incentive for CCU over the use of virgin fossil feedstock if the non-permanent CCU application is recognised to have, and </w:t>
      </w:r>
      <w:r>
        <w:rPr>
          <w:noProof/>
        </w:rPr>
        <w:t>is</w:t>
      </w:r>
      <w:r w:rsidRPr="003D3BB3">
        <w:rPr>
          <w:noProof/>
        </w:rPr>
        <w:t xml:space="preserve"> rewarded for, lower life-cycle emissions. LCAs in principle could be done, requiring clear and favourable rules for carbon footprint accounting to create incentives for CCU-based products.</w:t>
      </w:r>
    </w:p>
    <w:p w14:paraId="78E1B66A" w14:textId="77777777" w:rsidR="009010D9" w:rsidRPr="003D3BB3" w:rsidRDefault="009010D9">
      <w:pPr>
        <w:rPr>
          <w:noProof/>
        </w:rPr>
      </w:pPr>
      <w:r w:rsidRPr="003D3BB3">
        <w:rPr>
          <w:noProof/>
        </w:rPr>
        <w:t>However, there is no consensus on an appropriate methodology for conducting LCA for non-permanent CCU applications</w:t>
      </w:r>
      <w:r w:rsidRPr="003D3BB3">
        <w:rPr>
          <w:noProof/>
          <w:vertAlign w:val="superscript"/>
        </w:rPr>
        <w:footnoteReference w:id="186"/>
      </w:r>
      <w:r w:rsidRPr="003D3BB3">
        <w:rPr>
          <w:noProof/>
        </w:rPr>
        <w:t>. In essence, the comparison of non-permanent CCU applications with a fossil fuel baseline may sound simple in principle, but in practice, can also involve a range of uncertainties and assumptions, being highly dependent on chosen baseline scenarios and associated assumptions</w:t>
      </w:r>
      <w:r w:rsidRPr="003D3BB3">
        <w:rPr>
          <w:noProof/>
          <w:vertAlign w:val="superscript"/>
        </w:rPr>
        <w:footnoteReference w:id="187"/>
      </w:r>
      <w:r w:rsidRPr="003D3BB3">
        <w:rPr>
          <w:noProof/>
        </w:rPr>
        <w:t xml:space="preserve">. More so, it may not even be the case that a non-permanent CCU product displaces a fossil fuel baseline. A wide range of outcomes can be achieved when applying substitution with credits to deal with allocation in LCA approaches. </w:t>
      </w:r>
    </w:p>
    <w:p w14:paraId="061FFD44" w14:textId="77777777" w:rsidR="009010D9" w:rsidRDefault="009010D9">
      <w:pPr>
        <w:rPr>
          <w:noProof/>
        </w:rPr>
      </w:pPr>
      <w:r w:rsidRPr="003D3BB3">
        <w:rPr>
          <w:noProof/>
        </w:rPr>
        <w:t xml:space="preserve">Fundamentally, LCA measures would require putting in place a certification infrastructure to be able to make such assessments, which would be complex and create a disproportionate administrative burden for uncertain benefits.  The overall lack of consensus on methodological approach inherently raises a degree of uncertainty with regards to exactly how the associated monitoring, reporting, verification and accreditation (MRVA) would function in the first place. </w:t>
      </w:r>
    </w:p>
    <w:p w14:paraId="1443DDD1" w14:textId="77777777" w:rsidR="009010D9" w:rsidRDefault="009010D9">
      <w:pPr>
        <w:rPr>
          <w:noProof/>
        </w:rPr>
      </w:pPr>
      <w:r>
        <w:rPr>
          <w:noProof/>
        </w:rPr>
        <w:t xml:space="preserve">Furthermore, </w:t>
      </w:r>
      <w:r w:rsidRPr="003D3BB3">
        <w:rPr>
          <w:noProof/>
        </w:rPr>
        <w:t xml:space="preserve">LCA approaches are </w:t>
      </w:r>
      <w:r>
        <w:rPr>
          <w:noProof/>
        </w:rPr>
        <w:t>generally</w:t>
      </w:r>
      <w:r w:rsidRPr="003D3BB3">
        <w:rPr>
          <w:noProof/>
        </w:rPr>
        <w:t xml:space="preserve"> not compatible with the existing ETS MRVA framework, which was not designed to incorporate life-cycle assessments. </w:t>
      </w:r>
      <w:r>
        <w:rPr>
          <w:noProof/>
        </w:rPr>
        <w:t xml:space="preserve">Introducing LCA based approaches for CCU would introduce an unlevel playing field for CCS, which is based on incorporating the entire CCS chain in the scope of the ETS Directive (capture, transport and storage) and monitoring and reporting any emissions associated with each step. </w:t>
      </w:r>
    </w:p>
    <w:p w14:paraId="0AA152AD" w14:textId="77777777" w:rsidR="009010D9" w:rsidRPr="003D3BB3" w:rsidRDefault="009010D9">
      <w:pPr>
        <w:rPr>
          <w:noProof/>
        </w:rPr>
      </w:pPr>
      <w:r w:rsidRPr="003D3BB3">
        <w:rPr>
          <w:noProof/>
        </w:rPr>
        <w:t>In the context of CCU fuels, a “strict LCA approach is not seen as implementable for the ETS MRVA” according to FuelsEurope</w:t>
      </w:r>
      <w:r>
        <w:rPr>
          <w:noProof/>
        </w:rPr>
        <w:t>.</w:t>
      </w:r>
      <w:r w:rsidRPr="003D3BB3">
        <w:rPr>
          <w:noProof/>
        </w:rPr>
        <w:t xml:space="preserve"> For the chemical sector as well, there can be a wide range of LCA approaches that can lead to different results, and no clear way to harmonise LCAs for different chemicals and their products in what is inherently a complex industry</w:t>
      </w:r>
      <w:r>
        <w:rPr>
          <w:noProof/>
        </w:rPr>
        <w:t>.</w:t>
      </w:r>
      <w:r w:rsidRPr="003D3BB3">
        <w:rPr>
          <w:noProof/>
        </w:rPr>
        <w:t xml:space="preserve"> Practically, the tracking of the carbon molecules across the value may be unfeasible. Chemicals could be processed through many different stages and intermediaries and used as a feedstock for various end-use products. </w:t>
      </w:r>
      <w:r>
        <w:rPr>
          <w:noProof/>
        </w:rPr>
        <w:t xml:space="preserve">In practice, both upstream and downstream actors would have difficulties in compiling LCAs for their products due to uncertainties of the value chains. </w:t>
      </w:r>
    </w:p>
    <w:p w14:paraId="69ED6FB7" w14:textId="77777777" w:rsidR="009010D9" w:rsidRPr="003D3BB3" w:rsidRDefault="009010D9">
      <w:pPr>
        <w:rPr>
          <w:noProof/>
        </w:rPr>
      </w:pPr>
      <w:r w:rsidRPr="003D3BB3">
        <w:rPr>
          <w:noProof/>
        </w:rPr>
        <w:t>Even though LCA has been standardised by the European Committee for Standardisation in ISO 14040/14044, the standard does not prescribe the exact methodological choices to be made regarding factors such as: selection of the functional unit, system boundaries (i.e., different “cradles” in a “cradle-to-gate” system), background processes, or environmental impact assessment methods. The lack of consensus on LCA for non-permanent CCU applications could also lead to sub-optimal decisions</w:t>
      </w:r>
      <w:r w:rsidRPr="003D3BB3">
        <w:rPr>
          <w:noProof/>
          <w:vertAlign w:val="superscript"/>
        </w:rPr>
        <w:footnoteReference w:id="188"/>
      </w:r>
      <w:r w:rsidRPr="003D3BB3">
        <w:rPr>
          <w:noProof/>
        </w:rPr>
        <w:t>. As discussed above, with LCA approaches there is an inherent trade-off between the accuracy of an LCA approach versus the costs and administrative burdens of the associated MRV; the greater the accuracy the more costly the MRV system. Every LCA approach heavily depends on adequate data, the provision of which from stakeholders can incur additional costs.</w:t>
      </w:r>
    </w:p>
    <w:p w14:paraId="54E3BA83" w14:textId="77777777" w:rsidR="009010D9" w:rsidRPr="003D3BB3" w:rsidRDefault="009010D9">
      <w:pPr>
        <w:rPr>
          <w:noProof/>
        </w:rPr>
      </w:pPr>
      <w:r w:rsidRPr="003D3BB3">
        <w:rPr>
          <w:noProof/>
        </w:rPr>
        <w:t xml:space="preserve">Finally, the established approach of the </w:t>
      </w:r>
      <w:r>
        <w:rPr>
          <w:noProof/>
        </w:rPr>
        <w:t xml:space="preserve">EU ETS </w:t>
      </w:r>
      <w:r w:rsidRPr="003D3BB3">
        <w:rPr>
          <w:noProof/>
        </w:rPr>
        <w:t>is based on Scope 1 direct emissions. Integrating an LCA approach that revolves around Scope 3 logic would increase the risk of double counting. Under the downstream accounting scenario, if again there is no comprehensive coverage of all end-of-life pathways for non-permanent CCU, then the same concerns about loopholes can arise again. More so, LCA has also been criticised for not being able to account for emission timing, i.e. the time interval between the capture of CO</w:t>
      </w:r>
      <w:r w:rsidRPr="003D3BB3">
        <w:rPr>
          <w:noProof/>
          <w:vertAlign w:val="subscript"/>
        </w:rPr>
        <w:t>2</w:t>
      </w:r>
      <w:r w:rsidRPr="003D3BB3">
        <w:rPr>
          <w:noProof/>
        </w:rPr>
        <w:t xml:space="preserve"> and its subsequent emission</w:t>
      </w:r>
      <w:r w:rsidRPr="003D3BB3">
        <w:rPr>
          <w:noProof/>
          <w:vertAlign w:val="superscript"/>
        </w:rPr>
        <w:footnoteReference w:id="189"/>
      </w:r>
      <w:r w:rsidRPr="003D3BB3">
        <w:rPr>
          <w:noProof/>
        </w:rPr>
        <w:t>. To this end, some stakeholders have suggested adding “timeframes”, where different blocks of time are used to denote the emissions from different components (Cembureau, stakeholder interview, July 28, 2025), although how exactly this would work was not detailed.</w:t>
      </w:r>
    </w:p>
    <w:p w14:paraId="3F77172B" w14:textId="77777777" w:rsidR="009010D9" w:rsidRPr="003D3BB3" w:rsidRDefault="009010D9">
      <w:pPr>
        <w:rPr>
          <w:noProof/>
        </w:rPr>
      </w:pPr>
      <w:r w:rsidRPr="003D3BB3">
        <w:rPr>
          <w:noProof/>
        </w:rPr>
        <w:t xml:space="preserve">Given the limited feasibility and technical complexity, specifically the lack of consensus on methodological approach for applying an LCA to non-permanent CCU activities, the lack of certification structure and ease of integrating an LCA approach in the existing </w:t>
      </w:r>
      <w:r>
        <w:rPr>
          <w:noProof/>
        </w:rPr>
        <w:t xml:space="preserve">EU ETS </w:t>
      </w:r>
      <w:r w:rsidRPr="003D3BB3">
        <w:rPr>
          <w:noProof/>
        </w:rPr>
        <w:t>MRVA framework, this measure is not assessed in detail as a policy measure in the impact assessment.</w:t>
      </w:r>
    </w:p>
    <w:p w14:paraId="56C0B5D2" w14:textId="77777777" w:rsidR="009010D9" w:rsidRDefault="009010D9" w:rsidP="004F602F">
      <w:pPr>
        <w:pStyle w:val="Heading2COM"/>
        <w:outlineLvl w:val="2"/>
        <w15:collapsed w:val="0"/>
        <w:rPr>
          <w:noProof/>
        </w:rPr>
      </w:pPr>
      <w:bookmarkStart w:id="874" w:name="_Toc212426490"/>
      <w:bookmarkStart w:id="875" w:name="_Toc588187374"/>
      <w:bookmarkStart w:id="876" w:name="_Toc230861573"/>
      <w:bookmarkStart w:id="877" w:name="_Toc232751195"/>
      <w:r w:rsidRPr="003D3BB3">
        <w:rPr>
          <w:noProof/>
        </w:rPr>
        <w:t>Assessment of the measures</w:t>
      </w:r>
      <w:bookmarkEnd w:id="874"/>
      <w:bookmarkEnd w:id="875"/>
      <w:bookmarkEnd w:id="876"/>
      <w:bookmarkEnd w:id="877"/>
    </w:p>
    <w:p w14:paraId="3A0C1407" w14:textId="77777777" w:rsidR="009010D9" w:rsidRPr="003D3BB3" w:rsidRDefault="009010D9">
      <w:pPr>
        <w:rPr>
          <w:noProof/>
        </w:rPr>
      </w:pPr>
      <w:r w:rsidRPr="003D3BB3">
        <w:rPr>
          <w:noProof/>
        </w:rPr>
        <w:t>This section assesses each of the three policy measures proposed for accounting non-permanent CCU in the ETS, as outlined in the previous section</w:t>
      </w:r>
      <w:r>
        <w:rPr>
          <w:noProof/>
        </w:rPr>
        <w:t>.</w:t>
      </w:r>
      <w:r w:rsidRPr="003D3BB3">
        <w:rPr>
          <w:noProof/>
        </w:rPr>
        <w:t xml:space="preserve"> These alternatives are considered regarding their economic, social and environmental impacts, drawing on the findings of the scoping exercises and stakeholder feedback. </w:t>
      </w:r>
    </w:p>
    <w:p w14:paraId="7C69291B" w14:textId="77777777" w:rsidR="009010D9" w:rsidRPr="003D3BB3" w:rsidRDefault="009010D9" w:rsidP="004F602F">
      <w:pPr>
        <w:pStyle w:val="Heading3COM"/>
        <w:outlineLvl w:val="3"/>
        <w:rPr>
          <w:noProof/>
        </w:rPr>
      </w:pPr>
      <w:bookmarkStart w:id="878" w:name="_Toc230861574"/>
      <w:bookmarkStart w:id="879" w:name="_Toc232751196"/>
      <w:r>
        <w:rPr>
          <w:noProof/>
        </w:rPr>
        <w:t>Quantitative assessment</w:t>
      </w:r>
      <w:bookmarkEnd w:id="878"/>
      <w:bookmarkEnd w:id="879"/>
    </w:p>
    <w:p w14:paraId="695AE578" w14:textId="77777777" w:rsidR="009010D9" w:rsidRDefault="009010D9">
      <w:pPr>
        <w:rPr>
          <w:noProof/>
          <w:sz w:val="20"/>
          <w:szCs w:val="20"/>
        </w:rPr>
      </w:pPr>
      <w:bookmarkStart w:id="880" w:name="_Toc1373565764"/>
      <w:r>
        <w:rPr>
          <w:noProof/>
        </w:rPr>
        <w:t>The modelling foresees that all industrial and power installations pay ETS price, disregarding whether emissions are captured and used for CCU later, that is equivalent to the upstream accounting.  The options included in the assessment are:</w:t>
      </w:r>
    </w:p>
    <w:p w14:paraId="5F2225C0" w14:textId="77777777" w:rsidR="009010D9" w:rsidRDefault="009010D9" w:rsidP="0018561F">
      <w:pPr>
        <w:pStyle w:val="ListParagraph"/>
        <w:numPr>
          <w:ilvl w:val="0"/>
          <w:numId w:val="51"/>
        </w:numPr>
        <w:spacing w:before="0" w:after="160" w:line="276" w:lineRule="auto"/>
        <w:contextualSpacing/>
        <w:rPr>
          <w:noProof/>
        </w:rPr>
      </w:pPr>
      <w:r>
        <w:rPr>
          <w:noProof/>
        </w:rPr>
        <w:t>The current CCU (CCU0) accounting in EU ETS follows the rule: the EU ETS installation capturing the CO</w:t>
      </w:r>
      <w:r>
        <w:rPr>
          <w:noProof/>
          <w:vertAlign w:val="subscript"/>
        </w:rPr>
        <w:t>2</w:t>
      </w:r>
      <w:r>
        <w:rPr>
          <w:noProof/>
        </w:rPr>
        <w:t xml:space="preserve"> is required to surrender an allowance if the captured carbon is subsequently used to produce RFNBOs or other CCU in non-permanent goods. This is equivalent to the upstream accounting. </w:t>
      </w:r>
    </w:p>
    <w:p w14:paraId="3C0F2BF0" w14:textId="77777777" w:rsidR="009010D9" w:rsidRDefault="009010D9" w:rsidP="0018561F">
      <w:pPr>
        <w:pStyle w:val="ListParagraph"/>
        <w:numPr>
          <w:ilvl w:val="0"/>
          <w:numId w:val="51"/>
        </w:numPr>
        <w:spacing w:before="0" w:after="0" w:line="276" w:lineRule="auto"/>
        <w:contextualSpacing/>
        <w:rPr>
          <w:noProof/>
        </w:rPr>
      </w:pPr>
      <w:r>
        <w:rPr>
          <w:noProof/>
        </w:rPr>
        <w:t>Midstream accounting (CCU3): The point of accounting/pricing is moved mid-stream. In the context production or distribution of e-fuels, this captures producers/distributors of e-fuels. They will be required to surrender allowances for the fossil CO</w:t>
      </w:r>
      <w:r>
        <w:rPr>
          <w:noProof/>
          <w:vertAlign w:val="subscript"/>
        </w:rPr>
        <w:t>2</w:t>
      </w:r>
      <w:r>
        <w:rPr>
          <w:noProof/>
        </w:rPr>
        <w:t xml:space="preserve"> used in e-fuels.</w:t>
      </w:r>
    </w:p>
    <w:p w14:paraId="2D157353" w14:textId="77777777" w:rsidR="009010D9" w:rsidRDefault="009010D9">
      <w:pPr>
        <w:rPr>
          <w:noProof/>
        </w:rPr>
      </w:pPr>
      <w:r>
        <w:rPr>
          <w:noProof/>
        </w:rPr>
        <w:t xml:space="preserve">The scope of CCU analysis in the current assessment is focused on two categories: </w:t>
      </w:r>
    </w:p>
    <w:p w14:paraId="2AF60887" w14:textId="77777777" w:rsidR="009010D9" w:rsidRDefault="009010D9" w:rsidP="0018561F">
      <w:pPr>
        <w:pStyle w:val="ListParagraph"/>
        <w:numPr>
          <w:ilvl w:val="0"/>
          <w:numId w:val="52"/>
        </w:numPr>
        <w:spacing w:before="0" w:after="160" w:line="276" w:lineRule="auto"/>
        <w:contextualSpacing/>
        <w:rPr>
          <w:noProof/>
        </w:rPr>
      </w:pPr>
      <w:r>
        <w:rPr>
          <w:noProof/>
        </w:rPr>
        <w:t>on CCU in non-permanent materials + waste incineration</w:t>
      </w:r>
    </w:p>
    <w:p w14:paraId="3BB1E08F" w14:textId="77777777" w:rsidR="009010D9" w:rsidRDefault="009010D9" w:rsidP="0018561F">
      <w:pPr>
        <w:pStyle w:val="ListParagraph"/>
        <w:numPr>
          <w:ilvl w:val="0"/>
          <w:numId w:val="52"/>
        </w:numPr>
        <w:spacing w:before="0" w:after="0" w:line="276" w:lineRule="auto"/>
        <w:contextualSpacing/>
        <w:rPr>
          <w:noProof/>
        </w:rPr>
      </w:pPr>
      <w:r>
        <w:rPr>
          <w:noProof/>
        </w:rPr>
        <w:t>on CCU for synthetic fuels production</w:t>
      </w:r>
    </w:p>
    <w:p w14:paraId="3200ACA9" w14:textId="77777777" w:rsidR="009010D9" w:rsidRDefault="009010D9">
      <w:pPr>
        <w:spacing w:before="240"/>
        <w:rPr>
          <w:noProof/>
        </w:rPr>
      </w:pPr>
      <w:r>
        <w:rPr>
          <w:noProof/>
        </w:rPr>
        <w:t>The implementation of CCU in non-permanent materials proved challenging due to the limited availability of detailed statistics on the end-of-life treatment of products in Eurostat balances, as well as the scarcity of product-specific data on the potential share of recycled CO</w:t>
      </w:r>
      <w:r>
        <w:rPr>
          <w:rFonts w:ascii="Cambria Math" w:hAnsi="Cambria Math" w:cs="Cambria Math"/>
          <w:noProof/>
        </w:rPr>
        <w:t>₂</w:t>
      </w:r>
      <w:r>
        <w:rPr>
          <w:noProof/>
        </w:rPr>
        <w:t xml:space="preserve"> content. Furthermore, the analysis was constrained by the lack of national-level data from ETS installations in the waste incineration sector. In agreement with the client, this route was therefore excluded from the assessment.</w:t>
      </w:r>
    </w:p>
    <w:p w14:paraId="5EEC99A6" w14:textId="77777777" w:rsidR="009010D9" w:rsidRDefault="009010D9">
      <w:pPr>
        <w:rPr>
          <w:noProof/>
        </w:rPr>
      </w:pPr>
      <w:r>
        <w:rPr>
          <w:noProof/>
        </w:rPr>
        <w:t>The EU ETS impact assessment scenarios align with the regulatory requirements for renewable fuels of non-biological origin (RFNBOs) and recycled carbon fuels</w:t>
      </w:r>
      <w:r>
        <w:rPr>
          <w:rStyle w:val="FootnoteReference"/>
          <w:noProof/>
        </w:rPr>
        <w:footnoteReference w:id="190"/>
      </w:r>
      <w:r>
        <w:rPr>
          <w:noProof/>
        </w:rPr>
        <w:t>, which determine the eligible sources of carbon feedstock for synthetic fuel production. In line with the Delegated Act</w:t>
      </w:r>
      <w:r>
        <w:rPr>
          <w:rStyle w:val="FootnoteReference"/>
          <w:noProof/>
        </w:rPr>
        <w:footnoteReference w:id="191"/>
      </w:r>
      <w:r>
        <w:rPr>
          <w:noProof/>
        </w:rPr>
        <w:t>, and Directive (EU) 2018/2001</w:t>
      </w:r>
      <w:r>
        <w:rPr>
          <w:rStyle w:val="FootnoteReference"/>
          <w:noProof/>
        </w:rPr>
        <w:footnoteReference w:id="192"/>
      </w:r>
      <w:r>
        <w:rPr>
          <w:noProof/>
        </w:rPr>
        <w:t>, recycled carbon fuels must achieve at least 70% greenhouse gas savings and use fully renewable electricity.</w:t>
      </w:r>
    </w:p>
    <w:p w14:paraId="35CF4F5F" w14:textId="12686480" w:rsidR="000A7729" w:rsidRDefault="009010D9">
      <w:pPr>
        <w:rPr>
          <w:noProof/>
        </w:rPr>
      </w:pPr>
      <w:r>
        <w:rPr>
          <w:noProof/>
        </w:rPr>
        <w:t>To reflect these provisions, the analysis assumes that CO</w:t>
      </w:r>
      <w:r>
        <w:rPr>
          <w:rFonts w:ascii="Cambria Math" w:hAnsi="Cambria Math" w:cs="Cambria Math"/>
          <w:noProof/>
        </w:rPr>
        <w:t>₂</w:t>
      </w:r>
      <w:r>
        <w:rPr>
          <w:noProof/>
        </w:rPr>
        <w:t xml:space="preserve"> from electricity generation can be used only until 2035, and CO</w:t>
      </w:r>
      <w:r>
        <w:rPr>
          <w:rFonts w:ascii="Cambria Math" w:hAnsi="Cambria Math" w:cs="Cambria Math"/>
          <w:noProof/>
        </w:rPr>
        <w:t>₂</w:t>
      </w:r>
      <w:r>
        <w:rPr>
          <w:noProof/>
        </w:rPr>
        <w:t xml:space="preserve"> from industrial processes only until 2040. Over time, the supply of capturable fossil CO</w:t>
      </w:r>
      <w:r>
        <w:rPr>
          <w:rFonts w:ascii="Cambria Math" w:hAnsi="Cambria Math" w:cs="Cambria Math"/>
          <w:noProof/>
        </w:rPr>
        <w:t>₂</w:t>
      </w:r>
      <w:r>
        <w:rPr>
          <w:noProof/>
        </w:rPr>
        <w:t xml:space="preserve"> is expected to decline, with eligible sources increasingly limited to residual emissions from hard-to-abate sectors. Consequently, the model does not invest in infrastructure for fossil CO</w:t>
      </w:r>
      <w:r>
        <w:rPr>
          <w:rFonts w:ascii="Cambria Math" w:hAnsi="Cambria Math" w:cs="Cambria Math"/>
          <w:noProof/>
        </w:rPr>
        <w:t>₂</w:t>
      </w:r>
      <w:r>
        <w:rPr>
          <w:noProof/>
        </w:rPr>
        <w:t xml:space="preserve"> use but instead prioritises CO</w:t>
      </w:r>
      <w:r>
        <w:rPr>
          <w:rFonts w:ascii="Cambria Math" w:hAnsi="Cambria Math" w:cs="Cambria Math"/>
          <w:noProof/>
        </w:rPr>
        <w:t>₂</w:t>
      </w:r>
      <w:r>
        <w:rPr>
          <w:noProof/>
        </w:rPr>
        <w:t xml:space="preserve"> captured from biomass processing, particularly from biofuel production, refer to </w:t>
      </w:r>
      <w:r>
        <w:rPr>
          <w:noProof/>
        </w:rPr>
        <w:fldChar w:fldCharType="begin"/>
      </w:r>
      <w:r>
        <w:rPr>
          <w:noProof/>
        </w:rPr>
        <w:instrText xml:space="preserve"> REF _Ref212826335 \h  \* MERGEFORMAT </w:instrText>
      </w:r>
      <w:r>
        <w:rPr>
          <w:noProof/>
        </w:rPr>
      </w:r>
      <w:r>
        <w:rPr>
          <w:noProof/>
        </w:rPr>
        <w:fldChar w:fldCharType="separate"/>
      </w:r>
      <w:r>
        <w:rPr>
          <w:noProof/>
        </w:rPr>
        <w:t xml:space="preserve">Figure </w:t>
      </w:r>
      <w:r>
        <w:rPr>
          <w:noProof/>
        </w:rPr>
        <w:fldChar w:fldCharType="end"/>
      </w:r>
      <w:r>
        <w:rPr>
          <w:noProof/>
        </w:rPr>
        <w:t>12.</w:t>
      </w:r>
    </w:p>
    <w:p w14:paraId="49E44749" w14:textId="77777777" w:rsidR="000A7729" w:rsidRDefault="000A7729">
      <w:pPr>
        <w:spacing w:before="0" w:line="259" w:lineRule="auto"/>
        <w:rPr>
          <w:noProof/>
        </w:rPr>
      </w:pPr>
      <w:r>
        <w:rPr>
          <w:noProof/>
        </w:rPr>
        <w:br w:type="page"/>
      </w:r>
    </w:p>
    <w:p w14:paraId="6D24AFB9" w14:textId="77777777" w:rsidR="009010D9" w:rsidRDefault="009010D9" w:rsidP="00C92FA9">
      <w:pPr>
        <w:pStyle w:val="Figuretitle"/>
        <w:rPr>
          <w:noProof/>
        </w:rPr>
      </w:pPr>
      <w:bookmarkStart w:id="881" w:name="_Toc222740782"/>
      <w:r>
        <w:rPr>
          <w:noProof/>
        </w:rPr>
        <w:t>CO</w:t>
      </w:r>
      <w:r w:rsidRPr="00EC69EA">
        <w:rPr>
          <w:noProof/>
        </w:rPr>
        <w:t>2</w:t>
      </w:r>
      <w:r>
        <w:rPr>
          <w:noProof/>
        </w:rPr>
        <w:t xml:space="preserve"> flows in PO2 scenario for 2040</w:t>
      </w:r>
      <w:bookmarkEnd w:id="881"/>
    </w:p>
    <w:p w14:paraId="33763F99" w14:textId="77777777" w:rsidR="009010D9" w:rsidRDefault="009010D9" w:rsidP="00FF38B3">
      <w:pPr>
        <w:jc w:val="center"/>
        <w:rPr>
          <w:noProof/>
        </w:rPr>
      </w:pPr>
      <w:r>
        <w:rPr>
          <w:noProof/>
          <w:lang w:eastAsia="en-GB"/>
        </w:rPr>
        <w:drawing>
          <wp:inline distT="0" distB="0" distL="0" distR="0" wp14:anchorId="7A8200B5" wp14:editId="618D3946">
            <wp:extent cx="5305425" cy="4052414"/>
            <wp:effectExtent l="0" t="0" r="0" b="5715"/>
            <wp:docPr id="1461734499" name="Picture 3" descr="A close-up of a colorful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colorful background&#10;&#10;AI-generated content may be incorrec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44882" cy="4082553"/>
                    </a:xfrm>
                    <a:prstGeom prst="rect">
                      <a:avLst/>
                    </a:prstGeom>
                    <a:noFill/>
                    <a:ln>
                      <a:noFill/>
                    </a:ln>
                  </pic:spPr>
                </pic:pic>
              </a:graphicData>
            </a:graphic>
          </wp:inline>
        </w:drawing>
      </w:r>
    </w:p>
    <w:p w14:paraId="5A729FEE" w14:textId="77777777" w:rsidR="009010D9" w:rsidRPr="00EF7895" w:rsidRDefault="009010D9">
      <w:pPr>
        <w:spacing w:after="240"/>
        <w:rPr>
          <w:i/>
          <w:iCs/>
          <w:noProof/>
          <w:sz w:val="20"/>
          <w:szCs w:val="20"/>
        </w:rPr>
      </w:pPr>
      <w:r w:rsidRPr="00EF7895">
        <w:rPr>
          <w:i/>
          <w:iCs/>
          <w:noProof/>
          <w:sz w:val="20"/>
          <w:szCs w:val="20"/>
        </w:rPr>
        <w:t>Source: PRIMES</w:t>
      </w:r>
    </w:p>
    <w:p w14:paraId="7A6E5502" w14:textId="77777777" w:rsidR="009010D9" w:rsidRPr="00D807BD" w:rsidRDefault="009010D9">
      <w:pPr>
        <w:spacing w:after="240"/>
        <w:rPr>
          <w:noProof/>
        </w:rPr>
      </w:pPr>
      <w:r>
        <w:rPr>
          <w:noProof/>
        </w:rPr>
        <w:t>Additionally, a recent JRC study</w:t>
      </w:r>
      <w:r>
        <w:rPr>
          <w:rStyle w:val="FootnoteReference"/>
          <w:noProof/>
        </w:rPr>
        <w:footnoteReference w:id="193"/>
      </w:r>
      <w:r>
        <w:rPr>
          <w:noProof/>
        </w:rPr>
        <w:t xml:space="preserve"> computed the technical feasibility of capturing CO2 in the EU industrial sectors, suggesting that a total of 210-290 Mtpa are available for capture in the iron and steel, cement and petrochemicals sectors together depending on the capture technology deployed, while in waste-to-energy plants the capturable amount would lie between 60 and 120 Mtpa. </w:t>
      </w:r>
    </w:p>
    <w:p w14:paraId="75C02EFA" w14:textId="77777777" w:rsidR="009010D9" w:rsidRPr="003D3BB3" w:rsidRDefault="009010D9" w:rsidP="004F602F">
      <w:pPr>
        <w:pStyle w:val="Heading3COM"/>
        <w:outlineLvl w:val="3"/>
        <w:rPr>
          <w:noProof/>
        </w:rPr>
      </w:pPr>
      <w:bookmarkStart w:id="882" w:name="_Toc230861575"/>
      <w:bookmarkStart w:id="883" w:name="_Toc232751197"/>
      <w:r w:rsidRPr="003D3BB3">
        <w:rPr>
          <w:noProof/>
        </w:rPr>
        <w:t>Environmental impacts</w:t>
      </w:r>
      <w:bookmarkEnd w:id="882"/>
      <w:bookmarkEnd w:id="883"/>
    </w:p>
    <w:p w14:paraId="68D71365" w14:textId="77777777" w:rsidR="009010D9" w:rsidRPr="003D3BB3" w:rsidRDefault="009010D9">
      <w:pPr>
        <w:rPr>
          <w:noProof/>
        </w:rPr>
      </w:pPr>
      <w:r w:rsidRPr="003D3BB3">
        <w:rPr>
          <w:noProof/>
        </w:rPr>
        <w:t>The creation of a non-permanent CCU product prevents the immediate release of CO</w:t>
      </w:r>
      <w:r w:rsidRPr="003D3BB3">
        <w:rPr>
          <w:noProof/>
          <w:vertAlign w:val="subscript"/>
        </w:rPr>
        <w:t xml:space="preserve">2 </w:t>
      </w:r>
      <w:r w:rsidRPr="003D3BB3">
        <w:rPr>
          <w:noProof/>
        </w:rPr>
        <w:t>into the atmosphere but results only in a delay of days to years when that emission is eventually released into the atmosphere, compared to permanent storage which stores the CO</w:t>
      </w:r>
      <w:r w:rsidRPr="003D3BB3">
        <w:rPr>
          <w:noProof/>
          <w:vertAlign w:val="subscript"/>
        </w:rPr>
        <w:t xml:space="preserve">2 </w:t>
      </w:r>
      <w:r w:rsidRPr="003D3BB3">
        <w:rPr>
          <w:noProof/>
        </w:rPr>
        <w:t xml:space="preserve">for hundreds to thousands of years. </w:t>
      </w:r>
    </w:p>
    <w:p w14:paraId="1E0FFD29" w14:textId="77777777" w:rsidR="009010D9" w:rsidRPr="003D3BB3" w:rsidRDefault="009010D9">
      <w:pPr>
        <w:rPr>
          <w:noProof/>
        </w:rPr>
      </w:pPr>
      <w:r w:rsidRPr="003D3BB3">
        <w:rPr>
          <w:noProof/>
        </w:rPr>
        <w:t xml:space="preserve">The </w:t>
      </w:r>
      <w:r>
        <w:rPr>
          <w:noProof/>
        </w:rPr>
        <w:t xml:space="preserve">EU ETS </w:t>
      </w:r>
      <w:r w:rsidRPr="003D3BB3">
        <w:rPr>
          <w:noProof/>
        </w:rPr>
        <w:t xml:space="preserve">is fundamentally an emission accounting system that monitors and reports as accurately as possible the emissions resulting from the activities within its scope, which then leads to a corresponding compliance obligation for the respective ETS regulated entities. Therefore, the accurate accounting of emissions is essential for the </w:t>
      </w:r>
      <w:r>
        <w:rPr>
          <w:noProof/>
        </w:rPr>
        <w:t xml:space="preserve">EU ETS </w:t>
      </w:r>
      <w:r w:rsidRPr="003D3BB3">
        <w:rPr>
          <w:noProof/>
        </w:rPr>
        <w:t xml:space="preserve">meeting its objectives. </w:t>
      </w:r>
    </w:p>
    <w:p w14:paraId="666FBDD9" w14:textId="77777777" w:rsidR="009010D9" w:rsidRPr="003D3BB3" w:rsidRDefault="009010D9">
      <w:pPr>
        <w:rPr>
          <w:noProof/>
        </w:rPr>
      </w:pPr>
      <w:r w:rsidRPr="003D3BB3">
        <w:rPr>
          <w:noProof/>
        </w:rPr>
        <w:t xml:space="preserve">Non-permanent CCU poses an accounting challenge for the EU ETS, as captured emissions by an ETS installation and used for non-permanent CCU products will eventually be released in the atmosphere at a relatively short period of time somewhere down the value chain. As these delayed emissions are still relevant on climate change timescales, they cannot be treated the same as emissions that are permanently stored and will need to be reported as emitted sooner or later. </w:t>
      </w:r>
    </w:p>
    <w:p w14:paraId="67D31143" w14:textId="77777777" w:rsidR="009010D9" w:rsidRDefault="009010D9">
      <w:pPr>
        <w:rPr>
          <w:noProof/>
        </w:rPr>
      </w:pPr>
      <w:r w:rsidRPr="003D3BB3">
        <w:rPr>
          <w:noProof/>
        </w:rPr>
        <w:t xml:space="preserve">Therefore, the effective accounting of emissions is the principal criterion to determine the environmental impacts of recognising non-permanent CCU in the EU ETS. Effective accounting means that emissions should be counted at least once (no undercounting), but also no more than once (no double counting). Effective accounting also ensures accurate pricing of emissions, which </w:t>
      </w:r>
      <w:r>
        <w:rPr>
          <w:noProof/>
        </w:rPr>
        <w:t>is essential for the EU ETS achieving its objectives.</w:t>
      </w:r>
      <w:r w:rsidRPr="003D3BB3">
        <w:rPr>
          <w:noProof/>
        </w:rPr>
        <w:t xml:space="preserve"> </w:t>
      </w:r>
    </w:p>
    <w:p w14:paraId="274A129B" w14:textId="77777777" w:rsidR="009010D9" w:rsidRDefault="009010D9">
      <w:pPr>
        <w:rPr>
          <w:noProof/>
        </w:rPr>
      </w:pPr>
      <w:r w:rsidRPr="003D3BB3">
        <w:rPr>
          <w:noProof/>
        </w:rPr>
        <w:t>It is important to also note that non-permanent CCU products</w:t>
      </w:r>
      <w:r>
        <w:rPr>
          <w:noProof/>
        </w:rPr>
        <w:t xml:space="preserve"> enables the substitution of fossil carbon in sectors that require a carbon feedstock, supporting the reduction of scope 3 emissions for the chemical industry. </w:t>
      </w:r>
      <w:r w:rsidRPr="003D3BB3">
        <w:rPr>
          <w:noProof/>
        </w:rPr>
        <w:t xml:space="preserve"> </w:t>
      </w:r>
      <w:r>
        <w:rPr>
          <w:noProof/>
        </w:rPr>
        <w:t xml:space="preserve">However, </w:t>
      </w:r>
      <w:r w:rsidRPr="003D3BB3">
        <w:rPr>
          <w:noProof/>
        </w:rPr>
        <w:t>CCU applications are very energy intensive</w:t>
      </w:r>
      <w:r>
        <w:rPr>
          <w:noProof/>
        </w:rPr>
        <w:t xml:space="preserve"> and they provide LCA GHG emissions reduction only if the energy used for the capture of the CO</w:t>
      </w:r>
      <w:r w:rsidRPr="005F561C">
        <w:rPr>
          <w:noProof/>
          <w:vertAlign w:val="subscript"/>
        </w:rPr>
        <w:t>2</w:t>
      </w:r>
      <w:r>
        <w:rPr>
          <w:noProof/>
        </w:rPr>
        <w:t xml:space="preserve"> comes from renewable sources and the utilisation process is done with green H</w:t>
      </w:r>
      <w:r w:rsidRPr="0081BEF5">
        <w:rPr>
          <w:noProof/>
          <w:vertAlign w:val="subscript"/>
        </w:rPr>
        <w:t>2</w:t>
      </w:r>
      <w:r>
        <w:rPr>
          <w:noProof/>
        </w:rPr>
        <w:t>The ETS is feedstock agnostic and does not provide any restrictions on the type of energy used for a particular process, but it requires that all emissions associated with the production process are monitored, reported and surrender the corresponding number of allowances. This ensures that although no specific renewable energy requirements are set, any development of CCU applications will be done within the constraints set by the ETS cap and the carbon price signal, prompting ETS installations to make use of CCU applications only when it results in overall emissions reductions.</w:t>
      </w:r>
      <w:r w:rsidRPr="003D3BB3">
        <w:rPr>
          <w:noProof/>
        </w:rPr>
        <w:t xml:space="preserve"> Some academic stakeholders emphasized the importance of ensuring permanence if surrender obligations are adjusted to accommodate for non-permanent CCU, emphasizing the risk of mitigation deterrence and noting that potential changes to the ETS accounting framework should be carefully weighed against the avoid adverse effects on the environmental integrity of the current ETS￼</w:t>
      </w:r>
      <w:r>
        <w:rPr>
          <w:noProof/>
        </w:rPr>
        <w:t>.</w:t>
      </w:r>
      <w:r w:rsidRPr="003D3BB3">
        <w:rPr>
          <w:noProof/>
        </w:rPr>
        <w:t xml:space="preserve"> Comparatively, business associations and individual businesses emphasized the importance of recognizing the role that non-permanent CCU plays in the EU’s climate-neutrality pathway, particularly to address residual emissions. </w:t>
      </w:r>
    </w:p>
    <w:p w14:paraId="5FB880ED" w14:textId="77777777" w:rsidR="009010D9" w:rsidRPr="003D3BB3" w:rsidRDefault="009010D9" w:rsidP="004F602F">
      <w:pPr>
        <w:pStyle w:val="Heading4COM"/>
        <w:outlineLvl w:val="4"/>
        <w:rPr>
          <w:i/>
          <w:noProof/>
        </w:rPr>
      </w:pPr>
      <w:bookmarkStart w:id="884" w:name="_Toc230861576"/>
      <w:bookmarkStart w:id="885" w:name="_Toc232751198"/>
      <w:r w:rsidRPr="003D3BB3">
        <w:rPr>
          <w:noProof/>
        </w:rPr>
        <w:t>CCU1 – ‘Upstream accounting’:</w:t>
      </w:r>
      <w:bookmarkEnd w:id="884"/>
      <w:bookmarkEnd w:id="885"/>
    </w:p>
    <w:p w14:paraId="4436DBEA" w14:textId="77777777" w:rsidR="009010D9" w:rsidRPr="003D3BB3" w:rsidRDefault="009010D9">
      <w:pPr>
        <w:rPr>
          <w:noProof/>
        </w:rPr>
      </w:pPr>
      <w:r w:rsidRPr="003D3BB3">
        <w:rPr>
          <w:noProof/>
        </w:rPr>
        <w:t>Upstream accounting provides</w:t>
      </w:r>
      <w:r w:rsidRPr="00450330">
        <w:rPr>
          <w:noProof/>
        </w:rPr>
        <w:t xml:space="preserve"> the highest assurance in terms of integrity of the ETS system</w:t>
      </w:r>
      <w:r w:rsidRPr="003D3BB3">
        <w:rPr>
          <w:noProof/>
        </w:rPr>
        <w:t xml:space="preserve">, as all captured emissions </w:t>
      </w:r>
      <w:r>
        <w:rPr>
          <w:noProof/>
        </w:rPr>
        <w:t>are</w:t>
      </w:r>
      <w:r w:rsidRPr="003D3BB3">
        <w:rPr>
          <w:noProof/>
        </w:rPr>
        <w:t xml:space="preserve"> considered as emitted unless proven that they are stored permanently. It is virtually guaranteed that all </w:t>
      </w:r>
      <w:r>
        <w:rPr>
          <w:noProof/>
        </w:rPr>
        <w:t xml:space="preserve">captured </w:t>
      </w:r>
      <w:r w:rsidRPr="003D3BB3">
        <w:rPr>
          <w:noProof/>
        </w:rPr>
        <w:t xml:space="preserve">emissions </w:t>
      </w:r>
      <w:r>
        <w:rPr>
          <w:noProof/>
        </w:rPr>
        <w:t>resulting from ETS activities</w:t>
      </w:r>
      <w:r w:rsidRPr="003D3BB3">
        <w:rPr>
          <w:noProof/>
        </w:rPr>
        <w:t xml:space="preserve"> would be accounted for at least once, e.g. by the operator of a cement plant with a carbon capture facility, but possibly also by the waste incinerator (if any). Therefore, under the upstream accounting there is </w:t>
      </w:r>
      <w:r w:rsidRPr="003D3BB3">
        <w:rPr>
          <w:b/>
          <w:noProof/>
        </w:rPr>
        <w:t>no risk of undercounting of emissions</w:t>
      </w:r>
      <w:r w:rsidRPr="003D3BB3">
        <w:rPr>
          <w:noProof/>
        </w:rPr>
        <w:t xml:space="preserve">. This was also corroborated by OPC responses, with one of the main justifications for those supporting upstream accounting being the high environmental integrity by providing for a full coverage of emissions without risk of undercounting.   </w:t>
      </w:r>
    </w:p>
    <w:p w14:paraId="079F755B" w14:textId="77777777" w:rsidR="009010D9" w:rsidRPr="003D3BB3" w:rsidRDefault="009010D9">
      <w:pPr>
        <w:rPr>
          <w:noProof/>
        </w:rPr>
      </w:pPr>
      <w:r w:rsidRPr="003D3BB3">
        <w:rPr>
          <w:noProof/>
        </w:rPr>
        <w:t>The upstream accounting is the approach that is currently in force in the EU ETS. It was included to avoid emission leakage out of the ETS when carbon is transferred to non-ETS installations</w:t>
      </w:r>
      <w:r w:rsidRPr="003D3BB3">
        <w:rPr>
          <w:noProof/>
          <w:vertAlign w:val="superscript"/>
        </w:rPr>
        <w:footnoteReference w:id="194"/>
      </w:r>
      <w:r w:rsidRPr="003D3BB3">
        <w:rPr>
          <w:noProof/>
        </w:rPr>
        <w:t xml:space="preserve">, as a significant share of potential downstream emissions would occur outside the scope of the EU ETS. Therefore, without an upstream accounting system, these emissions resulting from ETS activities would bypass the ETS carbon price. </w:t>
      </w:r>
    </w:p>
    <w:p w14:paraId="0B65D344" w14:textId="77777777" w:rsidR="009010D9" w:rsidRDefault="009010D9" w:rsidP="004F602F">
      <w:pPr>
        <w:pStyle w:val="Heading4COM"/>
        <w:outlineLvl w:val="4"/>
        <w:rPr>
          <w:noProof/>
        </w:rPr>
      </w:pPr>
      <w:bookmarkStart w:id="886" w:name="_Toc230861577"/>
      <w:bookmarkStart w:id="887" w:name="_Toc232751199"/>
      <w:r w:rsidRPr="003D3BB3">
        <w:rPr>
          <w:noProof/>
        </w:rPr>
        <w:t>CCU2</w:t>
      </w:r>
      <w:r>
        <w:rPr>
          <w:noProof/>
        </w:rPr>
        <w:t xml:space="preserve"> and </w:t>
      </w:r>
      <w:r w:rsidRPr="003D3BB3">
        <w:rPr>
          <w:noProof/>
        </w:rPr>
        <w:t xml:space="preserve">CCU3 – </w:t>
      </w:r>
      <w:r>
        <w:rPr>
          <w:noProof/>
        </w:rPr>
        <w:t xml:space="preserve">‘Downstream’ and </w:t>
      </w:r>
      <w:r w:rsidRPr="003D3BB3">
        <w:rPr>
          <w:noProof/>
        </w:rPr>
        <w:t>‘Hybrid downstream and midstream accounting’</w:t>
      </w:r>
      <w:bookmarkEnd w:id="886"/>
      <w:bookmarkEnd w:id="887"/>
    </w:p>
    <w:p w14:paraId="5C669BD0" w14:textId="77777777" w:rsidR="009010D9" w:rsidRPr="003D3BB3" w:rsidRDefault="009010D9">
      <w:pPr>
        <w:rPr>
          <w:noProof/>
        </w:rPr>
      </w:pPr>
      <w:r w:rsidRPr="003D3BB3">
        <w:rPr>
          <w:noProof/>
        </w:rPr>
        <w:t xml:space="preserve">The most frequently cited concern in the OPC responses in relation to moving the surrender obligation downstream, both by proponents and opponents, was the risk of emission leakage associated with this accounting approach, for example in the event that CCU products such as plastics may avoid incineration, assuming that the waste sector is included within the scope of the EU ETS. </w:t>
      </w:r>
    </w:p>
    <w:p w14:paraId="677458AC" w14:textId="77777777" w:rsidR="009010D9" w:rsidRDefault="009010D9">
      <w:pPr>
        <w:rPr>
          <w:noProof/>
        </w:rPr>
      </w:pPr>
      <w:r>
        <w:rPr>
          <w:noProof/>
        </w:rPr>
        <w:t xml:space="preserve">Firstly, in order to ensure the integrity of the EU ETS, the downstream and midstream accounting options require the extension of the scope of the ETS Directive to include the CCU value chain from the point of capture to the point of utilisation. </w:t>
      </w:r>
    </w:p>
    <w:p w14:paraId="757A9DB7" w14:textId="77777777" w:rsidR="009010D9" w:rsidRDefault="009010D9">
      <w:pPr>
        <w:rPr>
          <w:noProof/>
        </w:rPr>
      </w:pPr>
      <w:r>
        <w:rPr>
          <w:noProof/>
        </w:rPr>
        <w:t>Currently, the scope of the EU ETS includes only the activities of CO</w:t>
      </w:r>
      <w:r>
        <w:rPr>
          <w:noProof/>
          <w:vertAlign w:val="subscript"/>
        </w:rPr>
        <w:t>2</w:t>
      </w:r>
      <w:r>
        <w:rPr>
          <w:noProof/>
        </w:rPr>
        <w:t xml:space="preserve"> capture and CO</w:t>
      </w:r>
      <w:r>
        <w:rPr>
          <w:noProof/>
          <w:vertAlign w:val="subscript"/>
        </w:rPr>
        <w:t>2</w:t>
      </w:r>
      <w:r>
        <w:rPr>
          <w:noProof/>
        </w:rPr>
        <w:t xml:space="preserve"> transport for the purpose of geological storage. Therefore, CO</w:t>
      </w:r>
      <w:r>
        <w:rPr>
          <w:noProof/>
          <w:vertAlign w:val="subscript"/>
        </w:rPr>
        <w:t>2</w:t>
      </w:r>
      <w:r>
        <w:rPr>
          <w:noProof/>
        </w:rPr>
        <w:t xml:space="preserve"> capture and CO</w:t>
      </w:r>
      <w:r>
        <w:rPr>
          <w:noProof/>
          <w:vertAlign w:val="subscript"/>
        </w:rPr>
        <w:t>2</w:t>
      </w:r>
      <w:r>
        <w:rPr>
          <w:noProof/>
        </w:rPr>
        <w:t xml:space="preserve"> transport for CCU purposes would also need to be included in the scope of the ETS Directive. </w:t>
      </w:r>
    </w:p>
    <w:p w14:paraId="7C017082" w14:textId="77777777" w:rsidR="009010D9" w:rsidRPr="00DE0891" w:rsidRDefault="009010D9">
      <w:pPr>
        <w:rPr>
          <w:noProof/>
        </w:rPr>
      </w:pPr>
      <w:r>
        <w:rPr>
          <w:noProof/>
        </w:rPr>
        <w:t>Furthermore, similarly to the inclusion in the EU ETS of geological storage sites permitted under the CCS Directive, CCU installations would also need to be included in the scope of the ETS Directive. This ensure that CO</w:t>
      </w:r>
      <w:r>
        <w:rPr>
          <w:noProof/>
          <w:vertAlign w:val="subscript"/>
        </w:rPr>
        <w:t>2</w:t>
      </w:r>
      <w:r>
        <w:rPr>
          <w:noProof/>
        </w:rPr>
        <w:t xml:space="preserve"> does not need to be transferred outside the boundaries of EU ETS to be utilised in a product, keeping therefore intact the CO</w:t>
      </w:r>
      <w:r>
        <w:rPr>
          <w:noProof/>
          <w:vertAlign w:val="subscript"/>
        </w:rPr>
        <w:t>2</w:t>
      </w:r>
      <w:r>
        <w:rPr>
          <w:noProof/>
        </w:rPr>
        <w:t xml:space="preserve"> chain of custody from the point of capture until the CCU product is placed on the market. In addition, any emissions associated with the CCU process (energy related or process emissions) will also be covered by the EU ETS, ensuring that any CCU processes are less emission intensive than traditional manufacturing processes.</w:t>
      </w:r>
    </w:p>
    <w:p w14:paraId="5E463551" w14:textId="77777777" w:rsidR="009010D9" w:rsidRPr="003D3BB3" w:rsidRDefault="009010D9">
      <w:pPr>
        <w:rPr>
          <w:noProof/>
        </w:rPr>
      </w:pPr>
      <w:r>
        <w:rPr>
          <w:noProof/>
        </w:rPr>
        <w:t>Secondly, implementing</w:t>
      </w:r>
      <w:r w:rsidRPr="003D3BB3">
        <w:rPr>
          <w:noProof/>
        </w:rPr>
        <w:t xml:space="preserve"> downstream accounting in a manner that provides assurance of the integrity of the </w:t>
      </w:r>
      <w:r>
        <w:rPr>
          <w:noProof/>
        </w:rPr>
        <w:t xml:space="preserve">EU ETS </w:t>
      </w:r>
      <w:r w:rsidRPr="003D3BB3">
        <w:rPr>
          <w:noProof/>
        </w:rPr>
        <w:t xml:space="preserve">would require identifying potential gaps or loopholes, specifically cases in which the end-of-life of non-permanent CCU products is met by end-of-life treatments other than municipal waste incineration, such recycling and landfill. </w:t>
      </w:r>
    </w:p>
    <w:p w14:paraId="46785BA3" w14:textId="77777777" w:rsidR="009010D9" w:rsidRPr="003D3BB3" w:rsidRDefault="009010D9">
      <w:pPr>
        <w:rPr>
          <w:noProof/>
        </w:rPr>
      </w:pPr>
      <w:r w:rsidRPr="003D3BB3">
        <w:rPr>
          <w:noProof/>
        </w:rPr>
        <w:t>To determine the extent of potential loopholes, an analysis was conducted for a set of potential non-permanent CCU products to assess whether the CO</w:t>
      </w:r>
      <w:r w:rsidRPr="003D3BB3">
        <w:rPr>
          <w:noProof/>
          <w:vertAlign w:val="subscript"/>
        </w:rPr>
        <w:t>2</w:t>
      </w:r>
      <w:r w:rsidRPr="003D3BB3">
        <w:rPr>
          <w:noProof/>
        </w:rPr>
        <w:t xml:space="preserve"> is re-emitted or remains inert when that product meets its end of life via recycling, landfill or incineration and, in case of re-emission, whether that emission would occur within or outside the scope of the </w:t>
      </w:r>
      <w:r>
        <w:rPr>
          <w:noProof/>
        </w:rPr>
        <w:t xml:space="preserve">EU ETS </w:t>
      </w:r>
      <w:r w:rsidRPr="003D3BB3">
        <w:rPr>
          <w:noProof/>
        </w:rPr>
        <w:t xml:space="preserve">– see </w:t>
      </w:r>
      <w:r w:rsidRPr="00A67CCC">
        <w:rPr>
          <w:noProof/>
        </w:rPr>
        <w:t xml:space="preserve">section </w:t>
      </w:r>
      <w:r>
        <w:rPr>
          <w:noProof/>
        </w:rPr>
        <w:t>2.2.4</w:t>
      </w:r>
      <w:r w:rsidRPr="003D3BB3">
        <w:rPr>
          <w:noProof/>
        </w:rPr>
        <w:t xml:space="preserve">. </w:t>
      </w:r>
    </w:p>
    <w:p w14:paraId="126055AF" w14:textId="77777777" w:rsidR="009010D9" w:rsidRPr="003D3BB3" w:rsidRDefault="009010D9">
      <w:pPr>
        <w:rPr>
          <w:noProof/>
        </w:rPr>
      </w:pPr>
      <w:r w:rsidRPr="003D3BB3">
        <w:rPr>
          <w:noProof/>
        </w:rPr>
        <w:t xml:space="preserve">The results of the analysis found that </w:t>
      </w:r>
      <w:r>
        <w:rPr>
          <w:noProof/>
        </w:rPr>
        <w:t xml:space="preserve">most of the </w:t>
      </w:r>
      <w:r w:rsidRPr="003D3BB3">
        <w:rPr>
          <w:noProof/>
        </w:rPr>
        <w:t xml:space="preserve">potential CCU products </w:t>
      </w:r>
      <w:r>
        <w:rPr>
          <w:noProof/>
        </w:rPr>
        <w:t>are</w:t>
      </w:r>
      <w:r w:rsidRPr="003D3BB3">
        <w:rPr>
          <w:noProof/>
        </w:rPr>
        <w:t xml:space="preserve"> not likely to lead to any significant loopholes as regards the integrity of the EU ETS.</w:t>
      </w:r>
      <w:r>
        <w:rPr>
          <w:noProof/>
        </w:rPr>
        <w:t xml:space="preserve"> Non-permanent</w:t>
      </w:r>
      <w:r w:rsidRPr="003D3BB3">
        <w:rPr>
          <w:noProof/>
        </w:rPr>
        <w:t xml:space="preserve"> </w:t>
      </w:r>
      <w:r>
        <w:rPr>
          <w:noProof/>
        </w:rPr>
        <w:t>CCU</w:t>
      </w:r>
      <w:r w:rsidRPr="003D3BB3">
        <w:rPr>
          <w:noProof/>
        </w:rPr>
        <w:t xml:space="preserve"> products </w:t>
      </w:r>
      <w:r>
        <w:rPr>
          <w:noProof/>
        </w:rPr>
        <w:t>that</w:t>
      </w:r>
      <w:r w:rsidRPr="003D3BB3">
        <w:rPr>
          <w:noProof/>
        </w:rPr>
        <w:t xml:space="preserve"> are</w:t>
      </w:r>
      <w:r>
        <w:rPr>
          <w:noProof/>
        </w:rPr>
        <w:t xml:space="preserve"> either</w:t>
      </w:r>
      <w:r w:rsidRPr="003D3BB3">
        <w:rPr>
          <w:noProof/>
        </w:rPr>
        <w:t xml:space="preserve"> incinerated via waste incinerators, and </w:t>
      </w:r>
      <w:r>
        <w:rPr>
          <w:noProof/>
        </w:rPr>
        <w:t xml:space="preserve">the resulting emissions </w:t>
      </w:r>
      <w:r w:rsidRPr="003D3BB3">
        <w:rPr>
          <w:noProof/>
        </w:rPr>
        <w:t xml:space="preserve">fall within the scope of the </w:t>
      </w:r>
      <w:r>
        <w:rPr>
          <w:noProof/>
        </w:rPr>
        <w:t>EU ETS</w:t>
      </w:r>
      <w:r w:rsidRPr="003D3BB3">
        <w:rPr>
          <w:noProof/>
        </w:rPr>
        <w:t xml:space="preserve"> or the CO</w:t>
      </w:r>
      <w:r w:rsidRPr="003D3BB3">
        <w:rPr>
          <w:noProof/>
          <w:vertAlign w:val="subscript"/>
        </w:rPr>
        <w:t>2</w:t>
      </w:r>
      <w:r w:rsidRPr="003D3BB3">
        <w:rPr>
          <w:noProof/>
        </w:rPr>
        <w:t xml:space="preserve"> embedded in the product remains inert throughout the products waste management process (recycling or landfilling). </w:t>
      </w:r>
      <w:r>
        <w:rPr>
          <w:noProof/>
        </w:rPr>
        <w:t xml:space="preserve">In addition, </w:t>
      </w:r>
      <w:r w:rsidRPr="003D3BB3">
        <w:rPr>
          <w:noProof/>
        </w:rPr>
        <w:t>CO</w:t>
      </w:r>
      <w:r w:rsidRPr="003D3BB3">
        <w:rPr>
          <w:noProof/>
          <w:vertAlign w:val="subscript"/>
        </w:rPr>
        <w:t>2</w:t>
      </w:r>
      <w:r w:rsidRPr="003D3BB3">
        <w:rPr>
          <w:noProof/>
        </w:rPr>
        <w:t xml:space="preserve"> used to produce e-fuels will also not represent a loophole risk, as their combustion will mostly occur within the scope of the EU ETS, in sectors such as maritime</w:t>
      </w:r>
      <w:r>
        <w:rPr>
          <w:noProof/>
        </w:rPr>
        <w:t xml:space="preserve"> and</w:t>
      </w:r>
      <w:r w:rsidRPr="003D3BB3">
        <w:rPr>
          <w:noProof/>
        </w:rPr>
        <w:t xml:space="preserve"> aviation. Furthermore, e-fuels are subject to specific certification requirements and are easily tracked across the value chain. However, to avoid undercounting of emissions used to produce e-fuels would necessarily mean that it is not possible anymore to zero-rate the emissions from the combustion of these fuels. </w:t>
      </w:r>
    </w:p>
    <w:p w14:paraId="14C3C968" w14:textId="77777777" w:rsidR="009010D9" w:rsidRPr="003D3BB3" w:rsidRDefault="009010D9">
      <w:pPr>
        <w:rPr>
          <w:noProof/>
        </w:rPr>
      </w:pPr>
      <w:r w:rsidRPr="003D3BB3">
        <w:rPr>
          <w:noProof/>
        </w:rPr>
        <w:t xml:space="preserve">However, a small number of potential CCU products present a clear potential risk of loopholes to </w:t>
      </w:r>
      <w:r>
        <w:rPr>
          <w:noProof/>
        </w:rPr>
        <w:t xml:space="preserve">EU ETS </w:t>
      </w:r>
      <w:r w:rsidRPr="003D3BB3">
        <w:rPr>
          <w:noProof/>
        </w:rPr>
        <w:t>accounting. They include:</w:t>
      </w:r>
    </w:p>
    <w:p w14:paraId="3612626A" w14:textId="77777777" w:rsidR="009010D9" w:rsidRPr="003D3BB3" w:rsidRDefault="009010D9" w:rsidP="0018561F">
      <w:pPr>
        <w:pStyle w:val="ListParagraph"/>
        <w:numPr>
          <w:ilvl w:val="0"/>
          <w:numId w:val="40"/>
        </w:numPr>
        <w:spacing w:line="259" w:lineRule="auto"/>
        <w:rPr>
          <w:noProof/>
        </w:rPr>
      </w:pPr>
      <w:r w:rsidRPr="003D3BB3">
        <w:rPr>
          <w:noProof/>
        </w:rPr>
        <w:t>The direct use of CO</w:t>
      </w:r>
      <w:r w:rsidRPr="003D3BB3">
        <w:rPr>
          <w:noProof/>
          <w:vertAlign w:val="subscript"/>
        </w:rPr>
        <w:t>2</w:t>
      </w:r>
      <w:r w:rsidRPr="003D3BB3">
        <w:rPr>
          <w:noProof/>
        </w:rPr>
        <w:t xml:space="preserve"> in applications such as greenhouses, food and drinks or refrigeration. </w:t>
      </w:r>
    </w:p>
    <w:p w14:paraId="7A5648DB" w14:textId="77777777" w:rsidR="009010D9" w:rsidRPr="003D3BB3" w:rsidRDefault="009010D9">
      <w:pPr>
        <w:rPr>
          <w:noProof/>
        </w:rPr>
      </w:pPr>
      <w:r w:rsidRPr="003D3BB3">
        <w:rPr>
          <w:noProof/>
        </w:rPr>
        <w:t>As the CO</w:t>
      </w:r>
      <w:r w:rsidRPr="003D3BB3">
        <w:rPr>
          <w:noProof/>
          <w:vertAlign w:val="subscript"/>
        </w:rPr>
        <w:t>2</w:t>
      </w:r>
      <w:r w:rsidRPr="003D3BB3">
        <w:rPr>
          <w:noProof/>
        </w:rPr>
        <w:t xml:space="preserve"> is not chemically converted it will immediately be released as a greenhouse gas without the need of special conditions such as high temperature or acidic environments. Furthermore, the use of CO</w:t>
      </w:r>
      <w:r w:rsidRPr="003D3BB3">
        <w:rPr>
          <w:noProof/>
          <w:vertAlign w:val="subscript"/>
        </w:rPr>
        <w:t>2</w:t>
      </w:r>
      <w:r w:rsidRPr="003D3BB3">
        <w:rPr>
          <w:noProof/>
        </w:rPr>
        <w:t xml:space="preserve"> in such applications will happen outside of the scope of the </w:t>
      </w:r>
      <w:r>
        <w:rPr>
          <w:noProof/>
        </w:rPr>
        <w:t xml:space="preserve">EU ETS </w:t>
      </w:r>
      <w:r w:rsidRPr="003D3BB3">
        <w:rPr>
          <w:noProof/>
        </w:rPr>
        <w:t xml:space="preserve">and will not be subject its monitoring, reporting and compliance obligations. </w:t>
      </w:r>
    </w:p>
    <w:p w14:paraId="5B35FD48" w14:textId="77777777" w:rsidR="009010D9" w:rsidRPr="003D3BB3" w:rsidRDefault="009010D9" w:rsidP="0018561F">
      <w:pPr>
        <w:pStyle w:val="ListParagraph"/>
        <w:numPr>
          <w:ilvl w:val="0"/>
          <w:numId w:val="40"/>
        </w:numPr>
        <w:spacing w:line="259" w:lineRule="auto"/>
        <w:rPr>
          <w:noProof/>
        </w:rPr>
      </w:pPr>
      <w:r w:rsidRPr="003D3BB3">
        <w:rPr>
          <w:noProof/>
        </w:rPr>
        <w:t>CCU products used as fertilisers (PCC as mineral fertiliser or urea)</w:t>
      </w:r>
    </w:p>
    <w:p w14:paraId="41429995" w14:textId="77777777" w:rsidR="009010D9" w:rsidRPr="003D3BB3" w:rsidRDefault="009010D9">
      <w:pPr>
        <w:rPr>
          <w:noProof/>
        </w:rPr>
      </w:pPr>
      <w:r w:rsidRPr="003D3BB3">
        <w:rPr>
          <w:noProof/>
        </w:rPr>
        <w:t>As these products are used in agricultural applications and when the embedded CO</w:t>
      </w:r>
      <w:r w:rsidRPr="003D3BB3">
        <w:rPr>
          <w:noProof/>
          <w:vertAlign w:val="subscript"/>
        </w:rPr>
        <w:t>2</w:t>
      </w:r>
      <w:r w:rsidRPr="003D3BB3">
        <w:rPr>
          <w:noProof/>
        </w:rPr>
        <w:t xml:space="preserve"> will eventually be released it will happen outside of the scope of the EU ETS. </w:t>
      </w:r>
    </w:p>
    <w:p w14:paraId="330ACE95" w14:textId="77777777" w:rsidR="009010D9" w:rsidRPr="003D3BB3" w:rsidRDefault="009010D9">
      <w:pPr>
        <w:rPr>
          <w:noProof/>
        </w:rPr>
      </w:pPr>
      <w:r w:rsidRPr="003D3BB3">
        <w:rPr>
          <w:noProof/>
        </w:rPr>
        <w:t>There are additional loophole risks in some cases, but they are however not well defined and influenced by many variables:</w:t>
      </w:r>
    </w:p>
    <w:p w14:paraId="40A401B8" w14:textId="77777777" w:rsidR="009010D9" w:rsidRPr="003D3BB3" w:rsidRDefault="009010D9" w:rsidP="0018561F">
      <w:pPr>
        <w:pStyle w:val="ListParagraph"/>
        <w:numPr>
          <w:ilvl w:val="0"/>
          <w:numId w:val="40"/>
        </w:numPr>
        <w:spacing w:line="259" w:lineRule="auto"/>
        <w:rPr>
          <w:noProof/>
        </w:rPr>
      </w:pPr>
      <w:r>
        <w:rPr>
          <w:noProof/>
        </w:rPr>
        <w:t xml:space="preserve">CCU products that risk emitting during the recycling </w:t>
      </w:r>
      <w:r w:rsidRPr="003D3BB3">
        <w:rPr>
          <w:noProof/>
        </w:rPr>
        <w:t xml:space="preserve"> </w:t>
      </w:r>
    </w:p>
    <w:p w14:paraId="6EE2D6A5" w14:textId="77777777" w:rsidR="009010D9" w:rsidRDefault="009010D9">
      <w:pPr>
        <w:rPr>
          <w:noProof/>
        </w:rPr>
      </w:pPr>
      <w:r w:rsidRPr="003D3BB3">
        <w:rPr>
          <w:noProof/>
        </w:rPr>
        <w:t>Some products (plasterboards, used oils, some organic chemicals) there may be a risk of loopholes depending on the type of recycling process used and whether that recycling is or not part of the EU ETS. Some forms of recycling may involve sufficiently high temperatures to release the embedded CO</w:t>
      </w:r>
      <w:r w:rsidRPr="003D3BB3">
        <w:rPr>
          <w:noProof/>
          <w:vertAlign w:val="subscript"/>
        </w:rPr>
        <w:t xml:space="preserve">2. </w:t>
      </w:r>
      <w:r w:rsidRPr="003D3BB3">
        <w:rPr>
          <w:noProof/>
        </w:rPr>
        <w:t xml:space="preserve">However, it is also possible that such processes would be covered anyway by the EU ETS. </w:t>
      </w:r>
    </w:p>
    <w:p w14:paraId="0F5159E0" w14:textId="77777777" w:rsidR="009010D9" w:rsidRDefault="009010D9" w:rsidP="0018561F">
      <w:pPr>
        <w:pStyle w:val="ListParagraph"/>
        <w:numPr>
          <w:ilvl w:val="0"/>
          <w:numId w:val="40"/>
        </w:numPr>
        <w:spacing w:line="259" w:lineRule="auto"/>
        <w:rPr>
          <w:noProof/>
        </w:rPr>
      </w:pPr>
      <w:r>
        <w:rPr>
          <w:noProof/>
        </w:rPr>
        <w:t>In addition, it is possible that some emissions from the end-of-life treatment of non-permanent that would normally fall within the scope of the EU ETS may nevertheless be emitted outside the scope of the system. This can happen in the following cases:</w:t>
      </w:r>
    </w:p>
    <w:p w14:paraId="3EF1A970" w14:textId="77777777" w:rsidR="009010D9" w:rsidRDefault="009010D9" w:rsidP="0018561F">
      <w:pPr>
        <w:pStyle w:val="ListParagraph"/>
        <w:numPr>
          <w:ilvl w:val="1"/>
          <w:numId w:val="40"/>
        </w:numPr>
        <w:spacing w:line="259" w:lineRule="auto"/>
        <w:rPr>
          <w:noProof/>
        </w:rPr>
      </w:pPr>
      <w:r>
        <w:rPr>
          <w:noProof/>
        </w:rPr>
        <w:t>Waste incineration in installations that are excluded from the scope of the EU ETS due to small size and or the specific nature of waste they treated (hazardous, medical, etc)</w:t>
      </w:r>
    </w:p>
    <w:p w14:paraId="57FDF6F7" w14:textId="77777777" w:rsidR="009010D9" w:rsidRDefault="009010D9" w:rsidP="0018561F">
      <w:pPr>
        <w:pStyle w:val="ListParagraph"/>
        <w:numPr>
          <w:ilvl w:val="1"/>
          <w:numId w:val="40"/>
        </w:numPr>
        <w:spacing w:line="259" w:lineRule="auto"/>
        <w:rPr>
          <w:noProof/>
        </w:rPr>
      </w:pPr>
      <w:r>
        <w:rPr>
          <w:noProof/>
        </w:rPr>
        <w:t>Export of waste for treatment outside of the EEA</w:t>
      </w:r>
    </w:p>
    <w:p w14:paraId="44F8544C" w14:textId="77777777" w:rsidR="009010D9" w:rsidRDefault="009010D9" w:rsidP="0018561F">
      <w:pPr>
        <w:pStyle w:val="ListParagraph"/>
        <w:numPr>
          <w:ilvl w:val="1"/>
          <w:numId w:val="40"/>
        </w:numPr>
        <w:spacing w:line="259" w:lineRule="auto"/>
        <w:rPr>
          <w:noProof/>
        </w:rPr>
      </w:pPr>
      <w:r w:rsidRPr="00DD55B5">
        <w:rPr>
          <w:noProof/>
        </w:rPr>
        <w:t>Illegal dumping of waste</w:t>
      </w:r>
    </w:p>
    <w:p w14:paraId="05C6B70A" w14:textId="77777777" w:rsidR="009010D9" w:rsidRPr="00DD55B5" w:rsidDel="00C95CFF" w:rsidRDefault="009010D9" w:rsidP="0018561F">
      <w:pPr>
        <w:pStyle w:val="ListParagraph"/>
        <w:numPr>
          <w:ilvl w:val="1"/>
          <w:numId w:val="40"/>
        </w:numPr>
        <w:spacing w:line="259" w:lineRule="auto"/>
        <w:rPr>
          <w:noProof/>
        </w:rPr>
      </w:pPr>
      <w:r>
        <w:rPr>
          <w:noProof/>
        </w:rPr>
        <w:t>Exports of non-permanent CCU products, which would also result in waste to be treated outside of the EEA.</w:t>
      </w:r>
    </w:p>
    <w:p w14:paraId="33689C6D" w14:textId="77777777" w:rsidR="009010D9" w:rsidRPr="003D3BB3" w:rsidRDefault="009010D9">
      <w:pPr>
        <w:rPr>
          <w:noProof/>
        </w:rPr>
      </w:pPr>
      <w:r>
        <w:rPr>
          <w:noProof/>
        </w:rPr>
        <w:t xml:space="preserve">While these are potentially important risks, there are already measures in place that limit the export of waste outside of the EEA or that address the problem illegal dumping. In addition, as novel non-permanent CCU products are not yet produced at any significant volumes, these risks represent only a potential for future loopholes. </w:t>
      </w:r>
    </w:p>
    <w:p w14:paraId="4F45D85D" w14:textId="77777777" w:rsidR="009010D9" w:rsidRPr="001867C2" w:rsidRDefault="009010D9">
      <w:pPr>
        <w:rPr>
          <w:noProof/>
        </w:rPr>
      </w:pPr>
      <w:r>
        <w:rPr>
          <w:noProof/>
        </w:rPr>
        <w:t xml:space="preserve">Therefore, it will be necessary to provide for a regular assessment of on-going of the risks of loopholes based on the actual scale-up of non-permanent CCU products, as well as the development of environmental and waste management legislation. Based on this assessment it would be possible to </w:t>
      </w:r>
      <w:r w:rsidRPr="00327FB0">
        <w:rPr>
          <w:noProof/>
        </w:rPr>
        <w:t>exclude</w:t>
      </w:r>
      <w:r>
        <w:rPr>
          <w:noProof/>
        </w:rPr>
        <w:t xml:space="preserve"> specific products that have a high risk of creating loopholes, introduce additional safeguards or requirements, or add correction factors to account for the risk of loopholes. </w:t>
      </w:r>
    </w:p>
    <w:p w14:paraId="458A4EA9" w14:textId="77777777" w:rsidR="009010D9" w:rsidRPr="003D3BB3" w:rsidRDefault="009010D9" w:rsidP="004F602F">
      <w:pPr>
        <w:pStyle w:val="Heading3COM"/>
        <w:outlineLvl w:val="3"/>
        <w:rPr>
          <w:noProof/>
        </w:rPr>
      </w:pPr>
      <w:bookmarkStart w:id="888" w:name="_Toc230861578"/>
      <w:bookmarkStart w:id="889" w:name="_Toc232751200"/>
      <w:r w:rsidRPr="003D3BB3">
        <w:rPr>
          <w:noProof/>
        </w:rPr>
        <w:t>Economic impacts</w:t>
      </w:r>
      <w:bookmarkEnd w:id="880"/>
      <w:bookmarkEnd w:id="888"/>
      <w:bookmarkEnd w:id="889"/>
    </w:p>
    <w:p w14:paraId="65F8924B" w14:textId="77777777" w:rsidR="009010D9" w:rsidRPr="003D3BB3" w:rsidRDefault="009010D9" w:rsidP="004F602F">
      <w:pPr>
        <w:pStyle w:val="Heading4COM"/>
        <w:outlineLvl w:val="4"/>
        <w:rPr>
          <w:noProof/>
        </w:rPr>
      </w:pPr>
      <w:bookmarkStart w:id="890" w:name="_Toc212426491"/>
      <w:bookmarkStart w:id="891" w:name="_Toc1550486068"/>
      <w:bookmarkStart w:id="892" w:name="_Toc230861579"/>
      <w:bookmarkStart w:id="893" w:name="_Toc232751201"/>
      <w:r w:rsidRPr="003D3BB3">
        <w:rPr>
          <w:noProof/>
        </w:rPr>
        <w:t>Conduct of business</w:t>
      </w:r>
      <w:bookmarkEnd w:id="890"/>
      <w:bookmarkEnd w:id="891"/>
      <w:bookmarkEnd w:id="892"/>
      <w:bookmarkEnd w:id="893"/>
    </w:p>
    <w:p w14:paraId="0C112C7A" w14:textId="77777777" w:rsidR="009010D9" w:rsidRDefault="009010D9">
      <w:pPr>
        <w:rPr>
          <w:noProof/>
        </w:rPr>
      </w:pPr>
      <w:r>
        <w:rPr>
          <w:noProof/>
        </w:rPr>
        <w:t>The CCUS sector has for the moment a small economic weight, and it is not yet possible to separately identify value chains linked only to CCU. JRC analysis</w:t>
      </w:r>
      <w:r>
        <w:rPr>
          <w:rStyle w:val="FootnoteReference"/>
          <w:noProof/>
        </w:rPr>
        <w:footnoteReference w:id="195"/>
      </w:r>
      <w:r>
        <w:rPr>
          <w:noProof/>
        </w:rPr>
        <w:t xml:space="preserve"> </w:t>
      </w:r>
      <w:r w:rsidRPr="00AA05CC">
        <w:rPr>
          <w:noProof/>
        </w:rPr>
        <w:t>identified 186 key companies worldwide with activity in CCUS</w:t>
      </w:r>
      <w:r>
        <w:rPr>
          <w:noProof/>
        </w:rPr>
        <w:t xml:space="preserve">, out of which </w:t>
      </w:r>
      <w:r w:rsidRPr="00767400">
        <w:rPr>
          <w:noProof/>
        </w:rPr>
        <w:t>45 (24%) are European or are active in the field through their European subsidiaries</w:t>
      </w:r>
      <w:r>
        <w:rPr>
          <w:noProof/>
        </w:rPr>
        <w:t xml:space="preserve"> and that overall revenue recorded for the CCUS value chain amounted to only 95 million EUR in 2021.</w:t>
      </w:r>
    </w:p>
    <w:p w14:paraId="09E40703" w14:textId="77777777" w:rsidR="009010D9" w:rsidRDefault="009010D9">
      <w:pPr>
        <w:rPr>
          <w:noProof/>
        </w:rPr>
      </w:pPr>
      <w:r>
        <w:rPr>
          <w:noProof/>
        </w:rPr>
        <w:t xml:space="preserve">Despite the limited economic role played by the CCUS sectors, it is important to consider the potential for its development and to role it can play in a low carbon, net-zero economic. Therefore, the economic impacts of the proposed measures are relevant mostly in terms of the incentives it sets for the development of this sector. </w:t>
      </w:r>
    </w:p>
    <w:p w14:paraId="0BEDA488" w14:textId="77777777" w:rsidR="009010D9" w:rsidRPr="003D3BB3" w:rsidRDefault="009010D9" w:rsidP="004F602F">
      <w:pPr>
        <w:pStyle w:val="Heading5COM"/>
        <w:ind w:left="2232"/>
        <w:outlineLvl w:val="5"/>
        <w:rPr>
          <w:noProof/>
        </w:rPr>
      </w:pPr>
      <w:bookmarkStart w:id="894" w:name="_Toc230861580"/>
      <w:bookmarkStart w:id="895" w:name="_Toc232751202"/>
      <w:r w:rsidRPr="003D3BB3">
        <w:rPr>
          <w:noProof/>
        </w:rPr>
        <w:t>CCU1 – ‘Upstream Accounting’:</w:t>
      </w:r>
      <w:bookmarkEnd w:id="894"/>
      <w:bookmarkEnd w:id="895"/>
    </w:p>
    <w:p w14:paraId="36CDAFDA" w14:textId="77777777" w:rsidR="009010D9" w:rsidRPr="003D3BB3" w:rsidRDefault="009010D9">
      <w:pPr>
        <w:rPr>
          <w:noProof/>
        </w:rPr>
      </w:pPr>
      <w:r w:rsidRPr="003D3BB3">
        <w:rPr>
          <w:noProof/>
        </w:rPr>
        <w:t>As regards CCU1, accounting for emissions upstream places the ETS burden on the emitter/capture operator, meaning they would have to consider as emitted and surrender allowances for any captured emissions, unless stored permanently</w:t>
      </w:r>
      <w:r w:rsidRPr="003D3BB3">
        <w:rPr>
          <w:noProof/>
          <w:vertAlign w:val="superscript"/>
        </w:rPr>
        <w:footnoteReference w:id="196"/>
      </w:r>
      <w:r w:rsidRPr="003D3BB3">
        <w:rPr>
          <w:noProof/>
        </w:rPr>
        <w:t>. As a result, this measure will have the following impact on the conduct of businesses:</w:t>
      </w:r>
    </w:p>
    <w:p w14:paraId="0BE00BC0" w14:textId="77777777" w:rsidR="009010D9" w:rsidRPr="003D3BB3" w:rsidRDefault="009010D9" w:rsidP="0018561F">
      <w:pPr>
        <w:pStyle w:val="ListParagraph"/>
        <w:numPr>
          <w:ilvl w:val="0"/>
          <w:numId w:val="40"/>
        </w:numPr>
        <w:spacing w:line="259" w:lineRule="auto"/>
        <w:rPr>
          <w:noProof/>
        </w:rPr>
      </w:pPr>
      <w:r w:rsidRPr="003D3BB3">
        <w:rPr>
          <w:noProof/>
        </w:rPr>
        <w:t>It</w:t>
      </w:r>
      <w:r w:rsidRPr="003D3BB3" w:rsidDel="003C259D">
        <w:rPr>
          <w:noProof/>
        </w:rPr>
        <w:t xml:space="preserve"> </w:t>
      </w:r>
      <w:r>
        <w:rPr>
          <w:noProof/>
        </w:rPr>
        <w:t>does not incentivise</w:t>
      </w:r>
      <w:r w:rsidRPr="003D3BB3">
        <w:rPr>
          <w:noProof/>
        </w:rPr>
        <w:t xml:space="preserve"> ETS emitters to invest in carbon capture</w:t>
      </w:r>
      <w:r>
        <w:rPr>
          <w:noProof/>
        </w:rPr>
        <w:t xml:space="preserve"> for CCU</w:t>
      </w:r>
    </w:p>
    <w:p w14:paraId="2D2F7827" w14:textId="77777777" w:rsidR="009010D9" w:rsidRDefault="009010D9">
      <w:pPr>
        <w:rPr>
          <w:noProof/>
        </w:rPr>
      </w:pPr>
      <w:r w:rsidRPr="003D3BB3">
        <w:rPr>
          <w:noProof/>
        </w:rPr>
        <w:t>Installing carbon capture capacity on existing industrial installations represents a significant investment, both in terms of capital investments and operating costs</w:t>
      </w:r>
      <w:r w:rsidRPr="003D3BB3">
        <w:rPr>
          <w:rStyle w:val="FootnoteReference"/>
          <w:noProof/>
        </w:rPr>
        <w:footnoteReference w:id="197"/>
      </w:r>
      <w:r w:rsidRPr="003D3BB3">
        <w:rPr>
          <w:noProof/>
        </w:rPr>
        <w:t xml:space="preserve">. </w:t>
      </w:r>
      <w:r>
        <w:rPr>
          <w:noProof/>
        </w:rPr>
        <w:t xml:space="preserve">The JRC estimates that, according to the literature review, the capture costs for hard-to-abate sectors lie between 40-90 EUR per tonne of </w:t>
      </w:r>
      <w:r w:rsidRPr="003D3BB3">
        <w:rPr>
          <w:noProof/>
        </w:rPr>
        <w:t>CO</w:t>
      </w:r>
      <w:r w:rsidRPr="003D3BB3">
        <w:rPr>
          <w:noProof/>
          <w:vertAlign w:val="subscript"/>
        </w:rPr>
        <w:t>2</w:t>
      </w:r>
      <w:r>
        <w:rPr>
          <w:noProof/>
          <w:vertAlign w:val="subscript"/>
        </w:rPr>
        <w:t xml:space="preserve">, </w:t>
      </w:r>
      <w:r>
        <w:rPr>
          <w:noProof/>
        </w:rPr>
        <w:t xml:space="preserve">varying based on the concentration and purity of the </w:t>
      </w:r>
      <w:r w:rsidRPr="003D3BB3">
        <w:rPr>
          <w:noProof/>
        </w:rPr>
        <w:t>CO</w:t>
      </w:r>
      <w:r w:rsidRPr="003D3BB3">
        <w:rPr>
          <w:noProof/>
          <w:vertAlign w:val="subscript"/>
        </w:rPr>
        <w:t>2</w:t>
      </w:r>
      <w:r w:rsidRPr="008801EC">
        <w:rPr>
          <w:noProof/>
        </w:rPr>
        <w:t>.</w:t>
      </w:r>
      <w:r>
        <w:rPr>
          <w:noProof/>
        </w:rPr>
        <w:t xml:space="preserve"> In addition, the JRC’s own capture cost estimate</w:t>
      </w:r>
      <w:r>
        <w:rPr>
          <w:rStyle w:val="FootnoteReference"/>
          <w:noProof/>
        </w:rPr>
        <w:footnoteReference w:id="198"/>
      </w:r>
      <w:r>
        <w:rPr>
          <w:noProof/>
        </w:rPr>
        <w:t xml:space="preserve"> suggests that around 200 Mtpa of CO2 can be captured at a cost lower than 100 EUR per tonne mostly from cement, waste-to-energy and certain petrochemical facilities.</w:t>
      </w:r>
    </w:p>
    <w:p w14:paraId="11213AE0" w14:textId="77777777" w:rsidR="009010D9" w:rsidRDefault="009010D9">
      <w:pPr>
        <w:rPr>
          <w:noProof/>
        </w:rPr>
      </w:pPr>
      <w:r w:rsidRPr="003D3BB3">
        <w:rPr>
          <w:noProof/>
        </w:rPr>
        <w:t>Under upstream accounting, ETS installations that do carbon capture will be able to reduce their compliance obligations only if the captured emissions are permanently stored (either in geological storage or permanently chemically bound in products), while any CO</w:t>
      </w:r>
      <w:r w:rsidRPr="003D3BB3">
        <w:rPr>
          <w:noProof/>
          <w:vertAlign w:val="subscript"/>
        </w:rPr>
        <w:t>2</w:t>
      </w:r>
      <w:r w:rsidRPr="003D3BB3">
        <w:rPr>
          <w:noProof/>
        </w:rPr>
        <w:t xml:space="preserve"> captured for other </w:t>
      </w:r>
      <w:r>
        <w:rPr>
          <w:noProof/>
        </w:rPr>
        <w:t xml:space="preserve">use </w:t>
      </w:r>
      <w:r w:rsidRPr="003D3BB3">
        <w:rPr>
          <w:noProof/>
        </w:rPr>
        <w:t xml:space="preserve">purposes will have to </w:t>
      </w:r>
      <w:r>
        <w:rPr>
          <w:noProof/>
        </w:rPr>
        <w:t xml:space="preserve">be </w:t>
      </w:r>
      <w:r w:rsidRPr="003D3BB3">
        <w:rPr>
          <w:noProof/>
        </w:rPr>
        <w:t>reported as emitted</w:t>
      </w:r>
      <w:r>
        <w:rPr>
          <w:noProof/>
        </w:rPr>
        <w:t xml:space="preserve"> and thus caused an additional cost</w:t>
      </w:r>
      <w:r w:rsidRPr="003D3BB3">
        <w:rPr>
          <w:noProof/>
        </w:rPr>
        <w:t xml:space="preserve">. </w:t>
      </w:r>
      <w:r>
        <w:rPr>
          <w:noProof/>
        </w:rPr>
        <w:t>Capture only for geological storage may be not an economical or practical option available to all installations that might benefit from carbon capture to reduce their emissions. This can be due limited number of operational storage sites, lack of proximity to those storage sites or limited CO</w:t>
      </w:r>
      <w:r w:rsidRPr="00A137BC">
        <w:rPr>
          <w:noProof/>
          <w:vertAlign w:val="subscript"/>
        </w:rPr>
        <w:t>2</w:t>
      </w:r>
      <w:r>
        <w:rPr>
          <w:noProof/>
        </w:rPr>
        <w:t xml:space="preserve"> infrastructure </w:t>
      </w:r>
      <w:r w:rsidRPr="003D3BB3">
        <w:rPr>
          <w:noProof/>
        </w:rPr>
        <w:t>(pipelines or shipping terminals</w:t>
      </w:r>
      <w:r>
        <w:rPr>
          <w:noProof/>
        </w:rPr>
        <w:t>, as truck or rail; transport is possible but for low volumes and higher costs</w:t>
      </w:r>
      <w:r w:rsidRPr="003D3BB3">
        <w:rPr>
          <w:noProof/>
        </w:rPr>
        <w:t>)</w:t>
      </w:r>
      <w:r>
        <w:rPr>
          <w:noProof/>
        </w:rPr>
        <w:t>. In fact, a recent JRC study</w:t>
      </w:r>
      <w:r>
        <w:rPr>
          <w:rStyle w:val="FootnoteReference"/>
          <w:noProof/>
        </w:rPr>
        <w:footnoteReference w:id="199"/>
      </w:r>
      <w:r>
        <w:rPr>
          <w:noProof/>
        </w:rPr>
        <w:t xml:space="preserve"> suggests that the chemical and waste-to-energy sectors see their capturable CO2 amounts decreased the most when considering the characteristics of each individual facility, while the iron and steel, cement and refining sectors are more likely to deploy capture. </w:t>
      </w:r>
      <w:r w:rsidRPr="003D3BB3">
        <w:rPr>
          <w:noProof/>
        </w:rPr>
        <w:t xml:space="preserve">Therefore, </w:t>
      </w:r>
      <w:r>
        <w:rPr>
          <w:noProof/>
        </w:rPr>
        <w:t xml:space="preserve">upstream accounting </w:t>
      </w:r>
      <w:r w:rsidRPr="003D3BB3">
        <w:rPr>
          <w:noProof/>
        </w:rPr>
        <w:t xml:space="preserve">limits in practice the </w:t>
      </w:r>
      <w:r>
        <w:rPr>
          <w:noProof/>
        </w:rPr>
        <w:t xml:space="preserve">economic </w:t>
      </w:r>
      <w:r w:rsidRPr="003D3BB3">
        <w:rPr>
          <w:noProof/>
        </w:rPr>
        <w:t xml:space="preserve">options available to ETS installations to reduce </w:t>
      </w:r>
      <w:r>
        <w:rPr>
          <w:noProof/>
        </w:rPr>
        <w:t xml:space="preserve">their capture costs and achieve </w:t>
      </w:r>
      <w:r w:rsidRPr="003D3BB3">
        <w:rPr>
          <w:noProof/>
        </w:rPr>
        <w:t xml:space="preserve">their </w:t>
      </w:r>
      <w:r>
        <w:rPr>
          <w:noProof/>
        </w:rPr>
        <w:t>emission reduction goals. Investments in carbon capture will be done only when and where economic conditions are in place for sending captured CO</w:t>
      </w:r>
      <w:r w:rsidRPr="006A35EE">
        <w:rPr>
          <w:noProof/>
          <w:vertAlign w:val="subscript"/>
        </w:rPr>
        <w:t>2</w:t>
      </w:r>
      <w:r>
        <w:rPr>
          <w:noProof/>
        </w:rPr>
        <w:t xml:space="preserve"> to geological storage site, while carbon capture for utilisation is disincentivised. </w:t>
      </w:r>
    </w:p>
    <w:p w14:paraId="42DC5A86" w14:textId="77777777" w:rsidR="009010D9" w:rsidRPr="003D3BB3" w:rsidRDefault="009010D9">
      <w:pPr>
        <w:rPr>
          <w:noProof/>
        </w:rPr>
      </w:pPr>
      <w:r w:rsidRPr="00CF773B">
        <w:rPr>
          <w:noProof/>
        </w:rPr>
        <w:t>A 2024 JRC study</w:t>
      </w:r>
      <w:r w:rsidRPr="00CF773B">
        <w:rPr>
          <w:rStyle w:val="FootnoteReference"/>
          <w:noProof/>
        </w:rPr>
        <w:footnoteReference w:id="200"/>
      </w:r>
      <w:r w:rsidRPr="00CF773B">
        <w:rPr>
          <w:noProof/>
        </w:rPr>
        <w:t xml:space="preserve"> estimated that by 2050, the European CO</w:t>
      </w:r>
      <w:r w:rsidRPr="00CF773B">
        <w:rPr>
          <w:noProof/>
          <w:vertAlign w:val="subscript"/>
        </w:rPr>
        <w:t>2</w:t>
      </w:r>
      <w:r w:rsidRPr="00CF773B">
        <w:rPr>
          <w:noProof/>
        </w:rPr>
        <w:t xml:space="preserve"> pipeline network necessary for CCS could reach up to 9 000 km and requires investment of between EUR 9.3 billion and EUR 23.1 billion study</w:t>
      </w:r>
      <w:r>
        <w:rPr>
          <w:noProof/>
        </w:rPr>
        <w:t>. This shows the costs implied by a system of transporting captured CO2 either to geological storage sites and/or CCU users for the decarbonisation of hard to abate industries requires significant investments in infrastructure to ensure the connection of emitters with relevant solutions without any direct revenues. A system allowing for more localised solutions, including CCU, would reduce these infrastructure costs.</w:t>
      </w:r>
    </w:p>
    <w:p w14:paraId="1A899488" w14:textId="77777777" w:rsidR="009010D9" w:rsidRPr="003D3BB3" w:rsidRDefault="009010D9" w:rsidP="0018561F">
      <w:pPr>
        <w:pStyle w:val="ListParagraph"/>
        <w:numPr>
          <w:ilvl w:val="0"/>
          <w:numId w:val="40"/>
        </w:numPr>
        <w:spacing w:line="259" w:lineRule="auto"/>
        <w:rPr>
          <w:noProof/>
        </w:rPr>
      </w:pPr>
      <w:r w:rsidRPr="003D3BB3">
        <w:rPr>
          <w:noProof/>
        </w:rPr>
        <w:t>It increases the cost of CO</w:t>
      </w:r>
      <w:r w:rsidRPr="003D3BB3">
        <w:rPr>
          <w:noProof/>
          <w:vertAlign w:val="subscript"/>
        </w:rPr>
        <w:t xml:space="preserve">2 </w:t>
      </w:r>
      <w:r w:rsidRPr="003D3BB3">
        <w:rPr>
          <w:noProof/>
        </w:rPr>
        <w:t>feedstock and reduces its availability for potential CCU producers</w:t>
      </w:r>
    </w:p>
    <w:p w14:paraId="2B13F4AF" w14:textId="77777777" w:rsidR="009010D9" w:rsidRPr="003D3BB3" w:rsidRDefault="009010D9">
      <w:pPr>
        <w:rPr>
          <w:noProof/>
        </w:rPr>
      </w:pPr>
      <w:r w:rsidRPr="003D3BB3">
        <w:rPr>
          <w:noProof/>
        </w:rPr>
        <w:t xml:space="preserve">As shown previously, the upstream accounting </w:t>
      </w:r>
      <w:r>
        <w:rPr>
          <w:noProof/>
        </w:rPr>
        <w:t xml:space="preserve">may </w:t>
      </w:r>
      <w:r w:rsidRPr="003D3BB3">
        <w:rPr>
          <w:noProof/>
        </w:rPr>
        <w:t>reduce the incentives to invest in carbon capture for industrial emissions</w:t>
      </w:r>
      <w:r>
        <w:rPr>
          <w:noProof/>
        </w:rPr>
        <w:t xml:space="preserve">, except when the captured </w:t>
      </w:r>
      <w:r w:rsidRPr="003D3BB3">
        <w:rPr>
          <w:noProof/>
        </w:rPr>
        <w:t>CO</w:t>
      </w:r>
      <w:r w:rsidRPr="003D3BB3">
        <w:rPr>
          <w:noProof/>
          <w:vertAlign w:val="subscript"/>
        </w:rPr>
        <w:t>2</w:t>
      </w:r>
      <w:r>
        <w:rPr>
          <w:noProof/>
          <w:vertAlign w:val="subscript"/>
        </w:rPr>
        <w:t xml:space="preserve"> </w:t>
      </w:r>
      <w:r>
        <w:rPr>
          <w:noProof/>
        </w:rPr>
        <w:t>can be permanently stored</w:t>
      </w:r>
      <w:r w:rsidRPr="003D3BB3">
        <w:rPr>
          <w:noProof/>
        </w:rPr>
        <w:t>. This in turn reduces the availability of CO</w:t>
      </w:r>
      <w:r w:rsidRPr="003D3BB3">
        <w:rPr>
          <w:noProof/>
          <w:vertAlign w:val="subscript"/>
        </w:rPr>
        <w:t>2</w:t>
      </w:r>
      <w:r w:rsidRPr="003D3BB3">
        <w:rPr>
          <w:noProof/>
        </w:rPr>
        <w:t xml:space="preserve"> as alternative carbon feedstock for </w:t>
      </w:r>
      <w:r>
        <w:rPr>
          <w:noProof/>
        </w:rPr>
        <w:t>e-</w:t>
      </w:r>
      <w:r w:rsidRPr="003D3BB3">
        <w:rPr>
          <w:noProof/>
        </w:rPr>
        <w:t xml:space="preserve">fuels </w:t>
      </w:r>
      <w:r>
        <w:rPr>
          <w:noProof/>
        </w:rPr>
        <w:t>or synthetic</w:t>
      </w:r>
      <w:r w:rsidRPr="003D3BB3">
        <w:rPr>
          <w:noProof/>
        </w:rPr>
        <w:t xml:space="preserve"> chemicals</w:t>
      </w:r>
      <w:r>
        <w:rPr>
          <w:noProof/>
        </w:rPr>
        <w:t xml:space="preserve">. As ETS installations have no incentives to capture </w:t>
      </w:r>
      <w:r w:rsidRPr="003D3BB3">
        <w:rPr>
          <w:noProof/>
        </w:rPr>
        <w:t>CO</w:t>
      </w:r>
      <w:r w:rsidRPr="003D3BB3">
        <w:rPr>
          <w:noProof/>
          <w:vertAlign w:val="subscript"/>
        </w:rPr>
        <w:t>2</w:t>
      </w:r>
      <w:r>
        <w:rPr>
          <w:noProof/>
          <w:vertAlign w:val="subscript"/>
        </w:rPr>
        <w:t xml:space="preserve"> </w:t>
      </w:r>
      <w:r w:rsidRPr="00F71D44">
        <w:rPr>
          <w:noProof/>
        </w:rPr>
        <w:t>for CCU</w:t>
      </w:r>
      <w:r>
        <w:rPr>
          <w:noProof/>
        </w:rPr>
        <w:t xml:space="preserve">, e-fuels or synthetic chemicals producers need to source </w:t>
      </w:r>
      <w:r w:rsidRPr="003D3BB3">
        <w:rPr>
          <w:noProof/>
        </w:rPr>
        <w:t>CO</w:t>
      </w:r>
      <w:r w:rsidRPr="003D3BB3">
        <w:rPr>
          <w:noProof/>
          <w:vertAlign w:val="subscript"/>
        </w:rPr>
        <w:t>2</w:t>
      </w:r>
      <w:r>
        <w:rPr>
          <w:noProof/>
          <w:vertAlign w:val="subscript"/>
        </w:rPr>
        <w:t xml:space="preserve"> </w:t>
      </w:r>
      <w:r>
        <w:rPr>
          <w:noProof/>
        </w:rPr>
        <w:t>from non-ETS emitters, which limits the available volumes</w:t>
      </w:r>
      <w:r w:rsidRPr="003D3BB3">
        <w:rPr>
          <w:noProof/>
        </w:rPr>
        <w:t>. Furthermore, as any CO</w:t>
      </w:r>
      <w:r w:rsidRPr="003D3BB3">
        <w:rPr>
          <w:noProof/>
          <w:vertAlign w:val="subscript"/>
        </w:rPr>
        <w:t>2</w:t>
      </w:r>
      <w:r w:rsidRPr="003D3BB3">
        <w:rPr>
          <w:noProof/>
        </w:rPr>
        <w:t xml:space="preserve"> captured for non-permanent CCU would still require the payment of the ETS price for the emitter installation, this would further increase cost of this feedstock. Under this scenario, non-permanent CCU actors may rely on cost pass-through, passing the costs of the ETS down the value chain by incorporating the price of an ETS allowance into the carbon feedstocks they would sell to non-permanent CCU application developers. However, the combination of low volumes and high price for a key feedstock for non-permanent CCU products will make them uncompetitive. </w:t>
      </w:r>
    </w:p>
    <w:p w14:paraId="379E97CB" w14:textId="77777777" w:rsidR="009010D9" w:rsidRPr="003D3BB3" w:rsidRDefault="009010D9">
      <w:pPr>
        <w:rPr>
          <w:noProof/>
        </w:rPr>
      </w:pPr>
      <w:r>
        <w:rPr>
          <w:noProof/>
        </w:rPr>
        <w:t>The upstream accounting is beneficial for the e-fuel market</w:t>
      </w:r>
      <w:r w:rsidRPr="003D3BB3">
        <w:rPr>
          <w:noProof/>
        </w:rPr>
        <w:t xml:space="preserve">, </w:t>
      </w:r>
      <w:r>
        <w:rPr>
          <w:noProof/>
        </w:rPr>
        <w:t>because it enables the zero rating of the emissions from the combustion of e-fuels and considering them as sustainable fuels. For producers, this allows them to sell the e-fuels at a premium and, for consumers, it allows them to use e-fuels to reduce their emissions</w:t>
      </w:r>
      <w:r w:rsidDel="00247AEB">
        <w:rPr>
          <w:noProof/>
        </w:rPr>
        <w:t>.</w:t>
      </w:r>
      <w:r>
        <w:rPr>
          <w:noProof/>
        </w:rPr>
        <w:t xml:space="preserve"> </w:t>
      </w:r>
      <w:r w:rsidRPr="003D3BB3">
        <w:rPr>
          <w:noProof/>
        </w:rPr>
        <w:t xml:space="preserve">One fifth of respondents </w:t>
      </w:r>
      <w:r>
        <w:rPr>
          <w:noProof/>
        </w:rPr>
        <w:t xml:space="preserve">in the open public consultation, </w:t>
      </w:r>
      <w:r w:rsidRPr="003D3BB3">
        <w:rPr>
          <w:noProof/>
        </w:rPr>
        <w:t>who expressed support for upstream accounting did so specifically for CCU fuels as, in their view, this would help to ensure regulatory stability with the current framework that also follows an upstream approach to accounting (i.e. to align with</w:t>
      </w:r>
      <w:r w:rsidRPr="003D3BB3" w:rsidDel="00BB2732">
        <w:rPr>
          <w:noProof/>
        </w:rPr>
        <w:t xml:space="preserve"> </w:t>
      </w:r>
      <w:r>
        <w:rPr>
          <w:noProof/>
        </w:rPr>
        <w:t xml:space="preserve">EU ETS </w:t>
      </w:r>
      <w:r w:rsidRPr="003D3BB3">
        <w:rPr>
          <w:noProof/>
        </w:rPr>
        <w:t>and RED rules and remain coherent with the RED RFNBO Delegated Act).</w:t>
      </w:r>
    </w:p>
    <w:p w14:paraId="5A3225C1" w14:textId="77777777" w:rsidR="009010D9" w:rsidRPr="003D3BB3" w:rsidRDefault="009010D9">
      <w:pPr>
        <w:rPr>
          <w:noProof/>
        </w:rPr>
      </w:pPr>
      <w:r>
        <w:rPr>
          <w:noProof/>
        </w:rPr>
        <w:t xml:space="preserve">However, despite the advantages for the e-fuel market of the upstream accounting, due to the lack of investment in carbon capture, </w:t>
      </w:r>
      <w:r w:rsidRPr="003D3BB3">
        <w:rPr>
          <w:noProof/>
        </w:rPr>
        <w:t xml:space="preserve">e-fuel producers have </w:t>
      </w:r>
      <w:r>
        <w:rPr>
          <w:noProof/>
        </w:rPr>
        <w:t xml:space="preserve">difficulties in sourcing sufficient </w:t>
      </w:r>
      <w:r w:rsidRPr="003D3BB3">
        <w:rPr>
          <w:noProof/>
        </w:rPr>
        <w:t>CO</w:t>
      </w:r>
      <w:r w:rsidRPr="003D3BB3">
        <w:rPr>
          <w:noProof/>
          <w:vertAlign w:val="subscript"/>
        </w:rPr>
        <w:t>2</w:t>
      </w:r>
      <w:r>
        <w:rPr>
          <w:noProof/>
          <w:vertAlign w:val="subscript"/>
        </w:rPr>
        <w:t xml:space="preserve"> </w:t>
      </w:r>
      <w:r>
        <w:rPr>
          <w:noProof/>
        </w:rPr>
        <w:t>feedstock for their operations.</w:t>
      </w:r>
      <w:r w:rsidRPr="003D3BB3" w:rsidDel="00247AEB">
        <w:rPr>
          <w:noProof/>
        </w:rPr>
        <w:t xml:space="preserve"> </w:t>
      </w:r>
    </w:p>
    <w:p w14:paraId="50DF433D" w14:textId="77777777" w:rsidR="009010D9" w:rsidRDefault="009010D9" w:rsidP="0018561F">
      <w:pPr>
        <w:pStyle w:val="ListParagraph"/>
        <w:numPr>
          <w:ilvl w:val="0"/>
          <w:numId w:val="40"/>
        </w:numPr>
        <w:spacing w:line="259" w:lineRule="auto"/>
        <w:rPr>
          <w:noProof/>
        </w:rPr>
      </w:pPr>
      <w:r w:rsidRPr="007E5AAA">
        <w:rPr>
          <w:noProof/>
        </w:rPr>
        <w:t xml:space="preserve">It leads to </w:t>
      </w:r>
      <w:r>
        <w:rPr>
          <w:noProof/>
        </w:rPr>
        <w:t>reduced supply of captured CO</w:t>
      </w:r>
      <w:r w:rsidRPr="00094B39">
        <w:rPr>
          <w:noProof/>
          <w:vertAlign w:val="subscript"/>
        </w:rPr>
        <w:t>2</w:t>
      </w:r>
      <w:r>
        <w:rPr>
          <w:noProof/>
        </w:rPr>
        <w:t xml:space="preserve"> to replace virgin fossil carbon in </w:t>
      </w:r>
      <w:r w:rsidRPr="007E5AAA">
        <w:rPr>
          <w:noProof/>
        </w:rPr>
        <w:t>non-permanent CCU products</w:t>
      </w:r>
      <w:r>
        <w:rPr>
          <w:noProof/>
        </w:rPr>
        <w:t xml:space="preserve">, if </w:t>
      </w:r>
      <w:r w:rsidRPr="007E5AAA">
        <w:rPr>
          <w:noProof/>
        </w:rPr>
        <w:t xml:space="preserve">capturing for </w:t>
      </w:r>
      <w:r>
        <w:rPr>
          <w:noProof/>
        </w:rPr>
        <w:t xml:space="preserve">permanent </w:t>
      </w:r>
      <w:r w:rsidRPr="007E5AAA">
        <w:rPr>
          <w:noProof/>
        </w:rPr>
        <w:t xml:space="preserve">geological storage (CCS) </w:t>
      </w:r>
      <w:r>
        <w:rPr>
          <w:noProof/>
        </w:rPr>
        <w:t>is the only option for emitters.</w:t>
      </w:r>
    </w:p>
    <w:p w14:paraId="20236B1B" w14:textId="77777777" w:rsidR="009010D9" w:rsidRPr="00B15E2D" w:rsidRDefault="009010D9">
      <w:pPr>
        <w:rPr>
          <w:noProof/>
        </w:rPr>
      </w:pPr>
      <w:r>
        <w:rPr>
          <w:noProof/>
        </w:rPr>
        <w:t xml:space="preserve">Under the upstream accounting, capturing emissions for non-permanent CCU applications does not change the compliance obligations of ETS installations. As in the long-term the emission space for ETS covered sectors will be limited only to the hardest to abate emissions. Therefore, installations will seek to permanently store their hard to abate emissions and, if that is not possible, will not invest in carbon capture at all and therefore </w:t>
      </w:r>
      <w:r w:rsidRPr="00B15E2D">
        <w:rPr>
          <w:noProof/>
        </w:rPr>
        <w:t>discourage the development of non-permanent CCU applications.</w:t>
      </w:r>
      <w:r w:rsidRPr="00C32593">
        <w:rPr>
          <w:noProof/>
          <w:vertAlign w:val="superscript"/>
        </w:rPr>
        <w:footnoteReference w:id="201"/>
      </w:r>
      <w:r w:rsidRPr="00C32593">
        <w:rPr>
          <w:noProof/>
          <w:vertAlign w:val="superscript"/>
        </w:rPr>
        <w:t xml:space="preserve">, </w:t>
      </w:r>
      <w:r w:rsidRPr="00C32593">
        <w:rPr>
          <w:noProof/>
          <w:vertAlign w:val="superscript"/>
        </w:rPr>
        <w:footnoteReference w:id="202"/>
      </w:r>
      <w:r w:rsidRPr="00C32593">
        <w:rPr>
          <w:noProof/>
          <w:vertAlign w:val="superscript"/>
        </w:rPr>
        <w:t xml:space="preserve">, </w:t>
      </w:r>
      <w:r w:rsidRPr="00C32593">
        <w:rPr>
          <w:noProof/>
          <w:vertAlign w:val="superscript"/>
        </w:rPr>
        <w:footnoteReference w:id="203"/>
      </w:r>
    </w:p>
    <w:p w14:paraId="09D0AC86" w14:textId="77777777" w:rsidR="009010D9" w:rsidRPr="00B15E2D" w:rsidRDefault="009010D9">
      <w:pPr>
        <w:rPr>
          <w:noProof/>
        </w:rPr>
      </w:pPr>
      <w:r w:rsidRPr="62AF834E">
        <w:rPr>
          <w:noProof/>
        </w:rPr>
        <w:t xml:space="preserve">This view is supported by a wide range of stakeholders in the OPC across companies and business associations and academia, who considered that CCU and CCS are treated unequally under the </w:t>
      </w:r>
      <w:r>
        <w:rPr>
          <w:noProof/>
        </w:rPr>
        <w:t xml:space="preserve">EU ETS </w:t>
      </w:r>
      <w:r w:rsidRPr="62AF834E">
        <w:rPr>
          <w:noProof/>
        </w:rPr>
        <w:t xml:space="preserve">as currently there is a well-developed accounting framework in place for CCS, including for its transport and for liability for the risk associated with storage.   </w:t>
      </w:r>
    </w:p>
    <w:p w14:paraId="25774F9F" w14:textId="77777777" w:rsidR="009010D9" w:rsidRPr="003D3BB3" w:rsidRDefault="009010D9" w:rsidP="0018561F">
      <w:pPr>
        <w:pStyle w:val="ListParagraph"/>
        <w:numPr>
          <w:ilvl w:val="0"/>
          <w:numId w:val="40"/>
        </w:numPr>
        <w:spacing w:line="259" w:lineRule="auto"/>
        <w:rPr>
          <w:noProof/>
        </w:rPr>
      </w:pPr>
      <w:r w:rsidRPr="003D3BB3">
        <w:rPr>
          <w:noProof/>
        </w:rPr>
        <w:t>It leads to a lack of level playing field between non-permanent CCU products and the traditional virgin carbon equivalent products</w:t>
      </w:r>
    </w:p>
    <w:p w14:paraId="6D36506A" w14:textId="77777777" w:rsidR="009010D9" w:rsidRPr="003D3BB3" w:rsidRDefault="009010D9">
      <w:pPr>
        <w:rPr>
          <w:noProof/>
        </w:rPr>
      </w:pPr>
      <w:r w:rsidRPr="003D3BB3">
        <w:rPr>
          <w:noProof/>
        </w:rPr>
        <w:t>Under the current</w:t>
      </w:r>
      <w:r w:rsidRPr="003D3BB3" w:rsidDel="00BB2732">
        <w:rPr>
          <w:noProof/>
        </w:rPr>
        <w:t xml:space="preserve"> </w:t>
      </w:r>
      <w:r>
        <w:rPr>
          <w:noProof/>
        </w:rPr>
        <w:t xml:space="preserve">EU ETS </w:t>
      </w:r>
      <w:r w:rsidRPr="003D3BB3">
        <w:rPr>
          <w:noProof/>
        </w:rPr>
        <w:t xml:space="preserve">rules, the activities of bulk organic chemicals production or refining of fuels covers only the emissions from the combustion of fuels and the process emissions, i.e. scope 1, direct emissions. However, </w:t>
      </w:r>
      <w:r>
        <w:rPr>
          <w:noProof/>
        </w:rPr>
        <w:t>scope 3 emissions represent 60-80% of the overall LCA emissions of the chemical sector and the majority of which is represented by the eventual emission of the embedded carbon in their products</w:t>
      </w:r>
      <w:r w:rsidRPr="003D3BB3">
        <w:rPr>
          <w:rStyle w:val="FootnoteReference"/>
          <w:noProof/>
        </w:rPr>
        <w:footnoteReference w:id="204"/>
      </w:r>
      <w:r w:rsidRPr="003D3BB3">
        <w:rPr>
          <w:noProof/>
        </w:rPr>
        <w:t xml:space="preserve">,  is not considered as an ETS emission and it is not priced. To the contrary, under the upstream accounting, the embedded carbon in a non-permanent CCU product would be priced. </w:t>
      </w:r>
    </w:p>
    <w:p w14:paraId="57B7E18D" w14:textId="77777777" w:rsidR="009010D9" w:rsidRPr="003D3BB3" w:rsidRDefault="009010D9">
      <w:pPr>
        <w:rPr>
          <w:noProof/>
        </w:rPr>
      </w:pPr>
      <w:r w:rsidRPr="003D3BB3">
        <w:rPr>
          <w:noProof/>
        </w:rPr>
        <w:t xml:space="preserve">As a result, the upstream accounting would make non-permanent CCU products uncompetitive with their virgin fossil carbon equivalent. Non-permanent CCU applications may still be developed with an upstream accounting approach if commodity prices are high enough to cover the ETS allowance cost for capture operators or if non-permanent CCU products are sufficiently subsidised or supported through other means. </w:t>
      </w:r>
    </w:p>
    <w:p w14:paraId="4454BF8E" w14:textId="77777777" w:rsidR="009010D9" w:rsidRPr="00D52208" w:rsidRDefault="009010D9">
      <w:pPr>
        <w:rPr>
          <w:noProof/>
        </w:rPr>
      </w:pPr>
      <w:r w:rsidRPr="00D52208">
        <w:rPr>
          <w:noProof/>
        </w:rPr>
        <w:t xml:space="preserve">The combination of scarce and expensive feedstock and a level playing will make very difficult to create a business case for non-permanent CCU products. </w:t>
      </w:r>
    </w:p>
    <w:p w14:paraId="0245828E" w14:textId="77777777" w:rsidR="009010D9" w:rsidRPr="009C4C48" w:rsidRDefault="009010D9">
      <w:pPr>
        <w:rPr>
          <w:noProof/>
        </w:rPr>
      </w:pPr>
      <w:r w:rsidRPr="009C4C48">
        <w:rPr>
          <w:noProof/>
        </w:rPr>
        <w:t>Even with high levels of public support, this may result in the needed investments in CCU applications not materialising. It enables e-fuels producers to meet the certification requirements for sustainable e-fuels and allows e-fuels user to zero-rate those emissions</w:t>
      </w:r>
    </w:p>
    <w:p w14:paraId="3FAE3E81" w14:textId="77777777" w:rsidR="009010D9" w:rsidRPr="003D3BB3" w:rsidRDefault="009010D9">
      <w:pPr>
        <w:rPr>
          <w:noProof/>
        </w:rPr>
      </w:pPr>
      <w:r w:rsidRPr="003D3BB3">
        <w:rPr>
          <w:noProof/>
        </w:rPr>
        <w:t xml:space="preserve">It is important to note that in the case of production of e-fuels, upstream accounting is currently necessary for to be able to certify these e-fuels as meeting the 70% GHG emissions savings required under the Renewable Energy Directive (for RFNBOs) and the Gas Directive (for LCFs). Therefore, without any adjustments in the respective regulatory framework, upstream accounting provides e-fuel producers a clear way of meeting the conditions necessary for the certification of e-fuels. </w:t>
      </w:r>
    </w:p>
    <w:p w14:paraId="1AA0A832" w14:textId="77777777" w:rsidR="009010D9" w:rsidRDefault="009010D9">
      <w:pPr>
        <w:rPr>
          <w:noProof/>
        </w:rPr>
      </w:pPr>
      <w:r w:rsidRPr="003D3BB3">
        <w:rPr>
          <w:noProof/>
        </w:rPr>
        <w:t xml:space="preserve">However, the upstream accounting allows the users of e-fuels to consider that their generation results in no emissions (or zero-rated emissions), which enables sectors like aviation or maritime transport to rely on such e-fuels for the decarbonisation of their activities. </w:t>
      </w:r>
    </w:p>
    <w:p w14:paraId="20613BAA" w14:textId="77777777" w:rsidR="009010D9" w:rsidRPr="007E5AAA" w:rsidRDefault="009010D9" w:rsidP="0018561F">
      <w:pPr>
        <w:pStyle w:val="ListParagraph"/>
        <w:numPr>
          <w:ilvl w:val="0"/>
          <w:numId w:val="40"/>
        </w:numPr>
        <w:spacing w:line="259" w:lineRule="auto"/>
        <w:rPr>
          <w:noProof/>
        </w:rPr>
      </w:pPr>
      <w:r>
        <w:rPr>
          <w:noProof/>
        </w:rPr>
        <w:t xml:space="preserve">Double counting of emissions downstream </w:t>
      </w:r>
    </w:p>
    <w:p w14:paraId="4D3AB6C2" w14:textId="77777777" w:rsidR="009010D9" w:rsidRPr="003D3BB3" w:rsidRDefault="009010D9">
      <w:pPr>
        <w:rPr>
          <w:noProof/>
        </w:rPr>
      </w:pPr>
      <w:r>
        <w:rPr>
          <w:noProof/>
        </w:rPr>
        <w:t xml:space="preserve">Upstream accounting of emissions has the potential to double count emissions when a CCU product is combusted. Emissions that have been priced upstream can be zero rated downstream, but this is only possible when it can be proven that a particular source of emissions has already been priced. This is possible for e-fuels, which are subject to a specific certification and tracking regime. Double counting occurs for CCU products end up incinerated in the general waste stream that is subject to carbon pricing. This concerns PCC used in paper, certain plastics and soda ash. This double counting of emissions increases the overall cost for businesses and reduces economic efficiency for these non-permanent CCU products. </w:t>
      </w:r>
    </w:p>
    <w:p w14:paraId="60820DB0" w14:textId="77777777" w:rsidR="009010D9" w:rsidRPr="003D3BB3" w:rsidRDefault="009010D9">
      <w:pPr>
        <w:rPr>
          <w:noProof/>
        </w:rPr>
      </w:pPr>
      <w:r w:rsidRPr="003D3BB3">
        <w:rPr>
          <w:noProof/>
        </w:rPr>
        <w:t xml:space="preserve">Considering the 14 unique Eurostat waste categories, data shows that around 5% of the overall annual waste reported in 2022 went directly to incineration and energy recovery, 9% to landfill, and the remaining 86% to recycling.  However, this Eurostat data represents waste treatment in the first instance of the products end-of-life and does not consider the lifecycle and associated timeline of products that may be recycled multiple times and eventually incinerated, nor does it relate to whether non-permanent CCU products are inert or re-emit under recycling or landfill. Furthermore, if most of the non-permanent CCU products considered in this analysis are recycled, materials cannot be endlessly recycled, and they will eventually sufficiently degrade that they would have to be either incinerated or landfilled. If eventually incinerated, the materials </w:t>
      </w:r>
      <w:r>
        <w:rPr>
          <w:noProof/>
        </w:rPr>
        <w:t>initially</w:t>
      </w:r>
      <w:r w:rsidRPr="003D3BB3">
        <w:rPr>
          <w:noProof/>
        </w:rPr>
        <w:t xml:space="preserve"> sent for recycling can </w:t>
      </w:r>
      <w:r>
        <w:rPr>
          <w:noProof/>
        </w:rPr>
        <w:t xml:space="preserve">still </w:t>
      </w:r>
      <w:r w:rsidRPr="003D3BB3">
        <w:rPr>
          <w:noProof/>
        </w:rPr>
        <w:t xml:space="preserve">pose a risk of double-counting. </w:t>
      </w:r>
    </w:p>
    <w:p w14:paraId="7853F146" w14:textId="77777777" w:rsidR="009010D9" w:rsidRPr="003D3BB3" w:rsidRDefault="009010D9">
      <w:pPr>
        <w:rPr>
          <w:noProof/>
        </w:rPr>
      </w:pPr>
      <w:r w:rsidRPr="003D3BB3">
        <w:rPr>
          <w:noProof/>
        </w:rPr>
        <w:t>By volume recycled, paper and cardboard wastes, plastic wastes, and mineral waste from construction and demolition, are the top three recycled Eurostat product groupings. For plastics, most recycled plastics are recycled once or twice before final disposal</w:t>
      </w:r>
      <w:r w:rsidRPr="003D3BB3">
        <w:rPr>
          <w:rStyle w:val="FootnoteReference"/>
          <w:rFonts w:eastAsia="Arial"/>
          <w:noProof/>
        </w:rPr>
        <w:footnoteReference w:id="205"/>
      </w:r>
      <w:r w:rsidRPr="003D3BB3">
        <w:rPr>
          <w:noProof/>
        </w:rPr>
        <w:t>, and as noted in this assessment, the average landfill and incineration rates for plastic wastes in Europe was ~40% and ~60% respectively. For mineral waste, the largest category by volume of waste treated, most waste is landfilled, with an average landfill rate of 91%, and incineration is not generally relevant. For paper and cardboard wastes (the second-most voluminous category), Eurostat data suggests that beyond recycling, the next most popular form of waste treatment is incineration in energy recovery. Research suggests that most paper can be recycled approximately 5-7 times before final disposal</w:t>
      </w:r>
      <w:r w:rsidRPr="003D3BB3">
        <w:rPr>
          <w:rStyle w:val="FootnoteReference"/>
          <w:rFonts w:eastAsia="Arial"/>
          <w:noProof/>
        </w:rPr>
        <w:footnoteReference w:id="206"/>
      </w:r>
      <w:r w:rsidRPr="003D3BB3">
        <w:rPr>
          <w:noProof/>
        </w:rPr>
        <w:t>. Across all non-permanent CCU products considered, an average incineration rate of only 21.4% is observed.</w:t>
      </w:r>
      <w:r w:rsidRPr="003D3BB3">
        <w:rPr>
          <w:rStyle w:val="FootnoteReference"/>
          <w:rFonts w:eastAsia="Arial"/>
          <w:noProof/>
        </w:rPr>
        <w:footnoteReference w:id="207"/>
      </w:r>
      <w:r w:rsidRPr="003D3BB3">
        <w:rPr>
          <w:noProof/>
        </w:rPr>
        <w:t xml:space="preserve"> </w:t>
      </w:r>
    </w:p>
    <w:p w14:paraId="475C108D" w14:textId="77777777" w:rsidR="009010D9" w:rsidRDefault="009010D9">
      <w:pPr>
        <w:rPr>
          <w:noProof/>
        </w:rPr>
      </w:pPr>
      <w:r>
        <w:rPr>
          <w:noProof/>
        </w:rPr>
        <w:t xml:space="preserve">The theoretical magnitude of potential double counting is determined by the likelihood of CCU products replacing traditional one. </w:t>
      </w:r>
      <w:r w:rsidRPr="003D3BB3">
        <w:rPr>
          <w:noProof/>
        </w:rPr>
        <w:t xml:space="preserve">PCC </w:t>
      </w:r>
      <w:r>
        <w:rPr>
          <w:noProof/>
        </w:rPr>
        <w:t>represents</w:t>
      </w:r>
      <w:r w:rsidRPr="003D3BB3">
        <w:rPr>
          <w:noProof/>
        </w:rPr>
        <w:t xml:space="preserve"> one of the few existing CCU applications</w:t>
      </w:r>
      <w:r>
        <w:rPr>
          <w:noProof/>
        </w:rPr>
        <w:t xml:space="preserve"> and is replacing natural carbonates in applications, such as fillers for paper production. Another potential CCU product category that may lead to double counting is that of polymers or plastics, replacing fossil-based virgin plastics. </w:t>
      </w:r>
    </w:p>
    <w:p w14:paraId="31F3D075" w14:textId="77777777" w:rsidR="009010D9" w:rsidRDefault="009010D9">
      <w:pPr>
        <w:rPr>
          <w:noProof/>
        </w:rPr>
      </w:pPr>
      <w:r>
        <w:rPr>
          <w:noProof/>
        </w:rPr>
        <w:t>Currently,</w:t>
      </w:r>
      <w:r w:rsidRPr="003D3BB3">
        <w:rPr>
          <w:noProof/>
        </w:rPr>
        <w:t xml:space="preserve"> the actual risk of double counting is minimal, mostly limited to quantities of PCC used as filler in paper and other products that end up eventually incinerated</w:t>
      </w:r>
      <w:r>
        <w:rPr>
          <w:noProof/>
        </w:rPr>
        <w:t xml:space="preserve">. However, </w:t>
      </w:r>
      <w:r w:rsidRPr="003D3BB3">
        <w:rPr>
          <w:noProof/>
        </w:rPr>
        <w:t xml:space="preserve">as carbon capture and CCU applications will play an increasingly important role in decarbonising (and de-fossilising) hard to abate sectors, this risk is expected to grow and become significant with time. </w:t>
      </w:r>
      <w:r>
        <w:rPr>
          <w:noProof/>
        </w:rPr>
        <w:t>T</w:t>
      </w:r>
      <w:r w:rsidRPr="003D3BB3">
        <w:rPr>
          <w:noProof/>
        </w:rPr>
        <w:t xml:space="preserve">he </w:t>
      </w:r>
      <w:r>
        <w:rPr>
          <w:noProof/>
        </w:rPr>
        <w:t xml:space="preserve">theoretical </w:t>
      </w:r>
      <w:r w:rsidRPr="003D3BB3">
        <w:rPr>
          <w:noProof/>
        </w:rPr>
        <w:t xml:space="preserve">potential </w:t>
      </w:r>
      <w:r>
        <w:rPr>
          <w:noProof/>
        </w:rPr>
        <w:t xml:space="preserve">for </w:t>
      </w:r>
      <w:r w:rsidRPr="003D3BB3">
        <w:rPr>
          <w:noProof/>
        </w:rPr>
        <w:t>double counting of emissions</w:t>
      </w:r>
      <w:r>
        <w:rPr>
          <w:noProof/>
        </w:rPr>
        <w:t>, even when looking</w:t>
      </w:r>
      <w:r w:rsidRPr="003D3BB3">
        <w:rPr>
          <w:noProof/>
        </w:rPr>
        <w:t xml:space="preserve"> only at </w:t>
      </w:r>
      <w:r>
        <w:rPr>
          <w:noProof/>
        </w:rPr>
        <w:t>these two</w:t>
      </w:r>
      <w:r w:rsidRPr="003D3BB3">
        <w:rPr>
          <w:noProof/>
        </w:rPr>
        <w:t xml:space="preserve"> CCU product</w:t>
      </w:r>
      <w:r>
        <w:rPr>
          <w:noProof/>
        </w:rPr>
        <w:t>s,</w:t>
      </w:r>
      <w:r w:rsidRPr="003D3BB3">
        <w:rPr>
          <w:noProof/>
        </w:rPr>
        <w:t xml:space="preserve"> can be as much as all the emissions from the incineration of more than half of the share of plastics and from all the volume of paper being disposed. </w:t>
      </w:r>
    </w:p>
    <w:p w14:paraId="7190ED2C" w14:textId="77777777" w:rsidR="009010D9" w:rsidRPr="003D3BB3" w:rsidRDefault="009010D9">
      <w:pPr>
        <w:rPr>
          <w:noProof/>
        </w:rPr>
      </w:pPr>
      <w:r w:rsidRPr="003D3BB3">
        <w:rPr>
          <w:noProof/>
        </w:rPr>
        <w:t xml:space="preserve">The primary method of avoiding double counting of emissions that have already been accounted upstream is to zero-rate the emissions from CCU products. This is already the established practice for emissions from biomass (as biomass emissions are accounted in the land sector) and from e-fuels, if they are certified to meet minimum sustainability requirements. However, the zero-rating of biofuels and e-fuels is enabled by a certification system that can identify and trace along the value chain fuels with specific characteristics. </w:t>
      </w:r>
    </w:p>
    <w:p w14:paraId="5FE79490" w14:textId="643E68A0" w:rsidR="009010D9" w:rsidRPr="003D3BB3" w:rsidRDefault="009010D9">
      <w:pPr>
        <w:rPr>
          <w:noProof/>
        </w:rPr>
      </w:pPr>
      <w:r w:rsidRPr="003D3BB3">
        <w:rPr>
          <w:noProof/>
        </w:rPr>
        <w:t xml:space="preserve">Such a system would be difficult to apply to the zero-rating of CCU products in the waste stream sent for incineration. Furthermore, it is not possible to distinguish between virgin fossil carbon and captured and recycled fossil carbon, unlike biogenic emissions that can be distinguished from fossil-based carbon via isotope analysis at the point of combustion. Thus, it is technically unfeasible to avoid double counting by measurement at the point of incineration. Therefore, avoiding the double counting of emissions under the upstream accounting, would require determining the proportion of captured carbon eventually entering an ETS-regulated MWI would require a tracking or mass balance recycling of CCU based products based on a certification process from the upstream creation of the non-permanent CCU product through its end-of-life pathway or the trading of GoOs representing quantities of CCU products. However, as shown previously, such systems would be administratively complex and costly to implement. </w:t>
      </w:r>
    </w:p>
    <w:p w14:paraId="523B4196" w14:textId="77777777" w:rsidR="009010D9" w:rsidRDefault="009010D9">
      <w:pPr>
        <w:rPr>
          <w:noProof/>
        </w:rPr>
      </w:pPr>
      <w:r w:rsidRPr="003D3BB3">
        <w:rPr>
          <w:noProof/>
        </w:rPr>
        <w:t>Furthermore, while the LCA effects of using CCU products are not assessed here, it is important to also highlight upstream accounting also disincentivizes projects that can use captured CO</w:t>
      </w:r>
      <w:r w:rsidRPr="003D3BB3">
        <w:rPr>
          <w:noProof/>
          <w:vertAlign w:val="subscript"/>
        </w:rPr>
        <w:t xml:space="preserve">2 </w:t>
      </w:r>
      <w:r w:rsidRPr="003D3BB3">
        <w:rPr>
          <w:noProof/>
        </w:rPr>
        <w:t xml:space="preserve">as an alternative feedstock, perpetuating the use of virgin fossil fuels and chemicals.  </w:t>
      </w:r>
    </w:p>
    <w:p w14:paraId="464FF933" w14:textId="77777777" w:rsidR="009010D9" w:rsidRPr="003D3BB3" w:rsidRDefault="009010D9">
      <w:pPr>
        <w:rPr>
          <w:noProof/>
        </w:rPr>
      </w:pPr>
      <w:r>
        <w:rPr>
          <w:noProof/>
        </w:rPr>
        <w:t>As a result, in the upstream accounting a risk of double counting of emissions will negatively affect business conduct by increasing the compliance obligations of businesses.</w:t>
      </w:r>
    </w:p>
    <w:p w14:paraId="0517EDFA" w14:textId="77777777" w:rsidR="009010D9" w:rsidRPr="003D3BB3" w:rsidRDefault="009010D9" w:rsidP="004F602F">
      <w:pPr>
        <w:pStyle w:val="Heading5COM"/>
        <w:ind w:left="2232"/>
        <w:outlineLvl w:val="5"/>
        <w:rPr>
          <w:noProof/>
        </w:rPr>
      </w:pPr>
      <w:bookmarkStart w:id="896" w:name="_Toc230861581"/>
      <w:bookmarkStart w:id="897" w:name="_Toc232751203"/>
      <w:r w:rsidRPr="003D3BB3">
        <w:rPr>
          <w:noProof/>
        </w:rPr>
        <w:t xml:space="preserve">CCU2 </w:t>
      </w:r>
      <w:r>
        <w:rPr>
          <w:noProof/>
        </w:rPr>
        <w:t xml:space="preserve">and CCU3 </w:t>
      </w:r>
      <w:r w:rsidRPr="003D3BB3">
        <w:rPr>
          <w:noProof/>
        </w:rPr>
        <w:t>– ‘Downstream</w:t>
      </w:r>
      <w:r>
        <w:rPr>
          <w:noProof/>
        </w:rPr>
        <w:t xml:space="preserve"> -’ and ‘Hybrid Downstream and midstream accounting’</w:t>
      </w:r>
      <w:bookmarkEnd w:id="896"/>
      <w:bookmarkEnd w:id="897"/>
      <w:r w:rsidRPr="003D3BB3">
        <w:rPr>
          <w:noProof/>
        </w:rPr>
        <w:t xml:space="preserve"> </w:t>
      </w:r>
    </w:p>
    <w:p w14:paraId="02113823" w14:textId="77777777" w:rsidR="009010D9" w:rsidRPr="003D3BB3" w:rsidRDefault="009010D9">
      <w:pPr>
        <w:rPr>
          <w:noProof/>
        </w:rPr>
      </w:pPr>
      <w:r w:rsidRPr="003D3BB3">
        <w:rPr>
          <w:noProof/>
        </w:rPr>
        <w:t>As regards CCU2, the accounting of emissions moves the burden of the reporting and paying for the captured emissions downstream, at the end of life of the product. This can be either where the product is consumed (in the case of fuels) or where the product is disposed of (e.g. waste incineration). This measure assumes that this downstream activity falls within the scope of the EU ETS. This measure will have the following impact on the conduct of businesses:</w:t>
      </w:r>
    </w:p>
    <w:p w14:paraId="69A33F8C" w14:textId="77777777" w:rsidR="009010D9" w:rsidRPr="003D3BB3" w:rsidRDefault="009010D9" w:rsidP="0018561F">
      <w:pPr>
        <w:pStyle w:val="ListParagraph"/>
        <w:numPr>
          <w:ilvl w:val="0"/>
          <w:numId w:val="40"/>
        </w:numPr>
        <w:spacing w:line="259" w:lineRule="auto"/>
        <w:rPr>
          <w:noProof/>
        </w:rPr>
      </w:pPr>
      <w:r w:rsidRPr="003D3BB3">
        <w:rPr>
          <w:noProof/>
        </w:rPr>
        <w:t>It improves the business case and incentivises ETS emitters to invest in carbon capture</w:t>
      </w:r>
      <w:r>
        <w:rPr>
          <w:noProof/>
        </w:rPr>
        <w:t xml:space="preserve"> based on the demand for fossil-replacement carbon feedstocks for CCU</w:t>
      </w:r>
    </w:p>
    <w:p w14:paraId="36C9DDD7" w14:textId="77777777" w:rsidR="009010D9" w:rsidRPr="003D3BB3" w:rsidRDefault="009010D9">
      <w:pPr>
        <w:rPr>
          <w:noProof/>
        </w:rPr>
      </w:pPr>
      <w:r w:rsidRPr="003D3BB3">
        <w:rPr>
          <w:noProof/>
        </w:rPr>
        <w:t xml:space="preserve">The downstream accounting provides ETS emitters with more options for reducing their compliance obligations by having the possibility of choosing between capturing emissions for storage or for utilisation (or for both), and optimising their strategy based on their individual circumstances. As the availability of and access to geological storage sites is limited, CCS may not be </w:t>
      </w:r>
      <w:r>
        <w:rPr>
          <w:noProof/>
        </w:rPr>
        <w:t>economically viable</w:t>
      </w:r>
      <w:r w:rsidRPr="003D3BB3">
        <w:rPr>
          <w:noProof/>
        </w:rPr>
        <w:t xml:space="preserve"> for some installations</w:t>
      </w:r>
      <w:r>
        <w:rPr>
          <w:noProof/>
        </w:rPr>
        <w:t>, or even unfeasible</w:t>
      </w:r>
      <w:r w:rsidRPr="003D3BB3">
        <w:rPr>
          <w:noProof/>
        </w:rPr>
        <w:t>.</w:t>
      </w:r>
      <w:r>
        <w:rPr>
          <w:noProof/>
        </w:rPr>
        <w:t xml:space="preserve"> As shown previously, in a CCS only scenario, the required CO</w:t>
      </w:r>
      <w:r>
        <w:rPr>
          <w:noProof/>
          <w:vertAlign w:val="subscript"/>
        </w:rPr>
        <w:t xml:space="preserve">2 </w:t>
      </w:r>
      <w:r>
        <w:rPr>
          <w:noProof/>
        </w:rPr>
        <w:t>transport infrastructure would need investments of up to 23 billion EUR by 2050. Incentivising CCU allows to reduce these investment costs, as CCU producers can be located in the proximity of emitters and would not require the transport of CO</w:t>
      </w:r>
      <w:r>
        <w:rPr>
          <w:noProof/>
          <w:vertAlign w:val="subscript"/>
        </w:rPr>
        <w:t xml:space="preserve">2 </w:t>
      </w:r>
      <w:r>
        <w:rPr>
          <w:noProof/>
        </w:rPr>
        <w:t>over large distances</w:t>
      </w:r>
    </w:p>
    <w:p w14:paraId="795054DF" w14:textId="77777777" w:rsidR="009010D9" w:rsidRDefault="009010D9">
      <w:pPr>
        <w:rPr>
          <w:noProof/>
        </w:rPr>
      </w:pPr>
      <w:r w:rsidRPr="003D3BB3">
        <w:rPr>
          <w:noProof/>
        </w:rPr>
        <w:t>The capture for non-permanent CCU products allows ETS emitters to both reduce their ETS costs and sell the captured CO</w:t>
      </w:r>
      <w:r w:rsidRPr="003D3BB3">
        <w:rPr>
          <w:noProof/>
          <w:vertAlign w:val="subscript"/>
        </w:rPr>
        <w:t xml:space="preserve">2 </w:t>
      </w:r>
      <w:r w:rsidRPr="003D3BB3">
        <w:rPr>
          <w:noProof/>
        </w:rPr>
        <w:t xml:space="preserve">as a feedstock to other installations, therefore making a costly waste product into a business opportunity. </w:t>
      </w:r>
    </w:p>
    <w:p w14:paraId="19D4F210" w14:textId="77777777" w:rsidR="009010D9" w:rsidRDefault="009010D9" w:rsidP="0018561F">
      <w:pPr>
        <w:numPr>
          <w:ilvl w:val="0"/>
          <w:numId w:val="40"/>
        </w:numPr>
        <w:spacing w:line="259" w:lineRule="auto"/>
        <w:rPr>
          <w:noProof/>
        </w:rPr>
      </w:pPr>
      <w:r w:rsidRPr="003D3BB3">
        <w:rPr>
          <w:noProof/>
        </w:rPr>
        <w:t>It incentivises the production of non-permanent CCU products by improving the availability of CO</w:t>
      </w:r>
      <w:r w:rsidRPr="003D3BB3">
        <w:rPr>
          <w:noProof/>
          <w:vertAlign w:val="subscript"/>
        </w:rPr>
        <w:t>2</w:t>
      </w:r>
      <w:r w:rsidRPr="003D3BB3">
        <w:rPr>
          <w:noProof/>
        </w:rPr>
        <w:t xml:space="preserve"> feedstock</w:t>
      </w:r>
    </w:p>
    <w:p w14:paraId="19571DD1" w14:textId="77777777" w:rsidR="009010D9" w:rsidRDefault="009010D9">
      <w:pPr>
        <w:rPr>
          <w:noProof/>
        </w:rPr>
      </w:pPr>
      <w:r w:rsidRPr="6B4AD028">
        <w:rPr>
          <w:noProof/>
        </w:rPr>
        <w:t xml:space="preserve">By incentivising the capture </w:t>
      </w:r>
      <w:r>
        <w:rPr>
          <w:noProof/>
        </w:rPr>
        <w:t xml:space="preserve">and use </w:t>
      </w:r>
      <w:r w:rsidRPr="6B4AD028">
        <w:rPr>
          <w:noProof/>
        </w:rPr>
        <w:t xml:space="preserve">of emissions, the downstream accounting increases the availability and </w:t>
      </w:r>
      <w:r>
        <w:rPr>
          <w:noProof/>
        </w:rPr>
        <w:t>may over time</w:t>
      </w:r>
      <w:r w:rsidRPr="6B4AD028">
        <w:rPr>
          <w:noProof/>
        </w:rPr>
        <w:t xml:space="preserve"> reduce the cost of CO</w:t>
      </w:r>
      <w:r w:rsidRPr="6B4AD028">
        <w:rPr>
          <w:noProof/>
          <w:vertAlign w:val="subscript"/>
        </w:rPr>
        <w:t>2</w:t>
      </w:r>
      <w:r>
        <w:rPr>
          <w:noProof/>
          <w:vertAlign w:val="subscript"/>
        </w:rPr>
        <w:t xml:space="preserve"> </w:t>
      </w:r>
      <w:r w:rsidRPr="6B4AD028">
        <w:rPr>
          <w:noProof/>
        </w:rPr>
        <w:t>as a feedstock to be used for non-permanent CCU products. More investments in carbon capture and the capturing of higher CO</w:t>
      </w:r>
      <w:r w:rsidRPr="6B4AD028">
        <w:rPr>
          <w:noProof/>
          <w:vertAlign w:val="subscript"/>
        </w:rPr>
        <w:t xml:space="preserve">2 </w:t>
      </w:r>
      <w:r w:rsidRPr="6B4AD028">
        <w:rPr>
          <w:noProof/>
        </w:rPr>
        <w:t>volumes will reduce the cost of the CO</w:t>
      </w:r>
      <w:r w:rsidRPr="6B4AD028">
        <w:rPr>
          <w:noProof/>
          <w:vertAlign w:val="subscript"/>
        </w:rPr>
        <w:t xml:space="preserve">2 </w:t>
      </w:r>
      <w:r w:rsidRPr="6B4AD028">
        <w:rPr>
          <w:noProof/>
        </w:rPr>
        <w:t>feedstock due to economies of scale, better utilisation of capital and competition between the different capture installations. It therefore supports the production of synthetic fuels or chemicals, as CCU producers are able to secure sufficient CO</w:t>
      </w:r>
      <w:r w:rsidRPr="6B4AD028">
        <w:rPr>
          <w:noProof/>
          <w:vertAlign w:val="subscript"/>
        </w:rPr>
        <w:t xml:space="preserve">2 </w:t>
      </w:r>
      <w:r w:rsidRPr="6B4AD028">
        <w:rPr>
          <w:noProof/>
        </w:rPr>
        <w:t xml:space="preserve">feedstock to make their business viable.  </w:t>
      </w:r>
    </w:p>
    <w:p w14:paraId="3E1F91C6" w14:textId="77777777" w:rsidR="009010D9" w:rsidRPr="003D3BB3" w:rsidRDefault="009010D9" w:rsidP="0018561F">
      <w:pPr>
        <w:pStyle w:val="ListParagraph"/>
        <w:numPr>
          <w:ilvl w:val="0"/>
          <w:numId w:val="40"/>
        </w:numPr>
        <w:spacing w:line="259" w:lineRule="auto"/>
        <w:rPr>
          <w:noProof/>
        </w:rPr>
      </w:pPr>
      <w:r w:rsidRPr="2AFACDAF">
        <w:rPr>
          <w:noProof/>
        </w:rPr>
        <w:t xml:space="preserve">It </w:t>
      </w:r>
      <w:r w:rsidRPr="00CC36CC">
        <w:rPr>
          <w:noProof/>
        </w:rPr>
        <w:t>levels</w:t>
      </w:r>
      <w:r w:rsidRPr="2AFACDAF">
        <w:rPr>
          <w:noProof/>
        </w:rPr>
        <w:t xml:space="preserve"> the playing field between CCU products and traditional fossil products.</w:t>
      </w:r>
    </w:p>
    <w:p w14:paraId="5C283145" w14:textId="77777777" w:rsidR="009010D9" w:rsidRPr="003D3BB3" w:rsidRDefault="009010D9">
      <w:pPr>
        <w:rPr>
          <w:noProof/>
        </w:rPr>
      </w:pPr>
      <w:r>
        <w:rPr>
          <w:noProof/>
        </w:rPr>
        <w:t>T</w:t>
      </w:r>
      <w:r w:rsidRPr="003D3BB3">
        <w:rPr>
          <w:noProof/>
        </w:rPr>
        <w:t>he downstream accounting approach ensures that non-permanent CCU products are treated the same way as their fossil fuel equivalent in terms of emissions accounting</w:t>
      </w:r>
      <w:r>
        <w:rPr>
          <w:noProof/>
        </w:rPr>
        <w:t>, where loopholes are avoided</w:t>
      </w:r>
      <w:r w:rsidRPr="003D3BB3">
        <w:rPr>
          <w:noProof/>
        </w:rPr>
        <w:t xml:space="preserve">. Only the combustion and process emissions from their production are reported and priced in the ETS for both type of products, while the emissions embedded in the product will be reported and paid for downstream when those emissions are realised, i.e. at the point of incineration. </w:t>
      </w:r>
    </w:p>
    <w:p w14:paraId="0CF703D4" w14:textId="77777777" w:rsidR="009010D9" w:rsidRPr="003D3BB3" w:rsidRDefault="009010D9">
      <w:pPr>
        <w:rPr>
          <w:noProof/>
        </w:rPr>
      </w:pPr>
      <w:r w:rsidRPr="003D3BB3">
        <w:rPr>
          <w:noProof/>
        </w:rPr>
        <w:t xml:space="preserve">It is important to note that to ensure this level playing field, the activity </w:t>
      </w:r>
      <w:r>
        <w:rPr>
          <w:noProof/>
        </w:rPr>
        <w:t>“</w:t>
      </w:r>
      <w:r w:rsidRPr="003D3BB3">
        <w:rPr>
          <w:noProof/>
        </w:rPr>
        <w:t>production of synthetic fuels and chemicals</w:t>
      </w:r>
      <w:r>
        <w:rPr>
          <w:noProof/>
        </w:rPr>
        <w:t>”</w:t>
      </w:r>
      <w:r w:rsidRPr="003D3BB3">
        <w:rPr>
          <w:noProof/>
        </w:rPr>
        <w:t xml:space="preserve"> would need to be specifically covered by the EU ETS, which is currently not the case. </w:t>
      </w:r>
    </w:p>
    <w:p w14:paraId="7B5A94BC" w14:textId="77777777" w:rsidR="009010D9" w:rsidRPr="003D3BB3" w:rsidRDefault="009010D9">
      <w:pPr>
        <w:rPr>
          <w:noProof/>
        </w:rPr>
      </w:pPr>
      <w:r w:rsidRPr="003D3BB3">
        <w:rPr>
          <w:noProof/>
        </w:rPr>
        <w:t>The most frequently cited reason in the OPC for supporting downstream accounting options was to provide a clear incentive for CCU based carbon over virgin fossil-based carbon. By moving the surrender obligation downstream to the final emitter rather than upstream with the capture installation, CCU use can be incentivised as there is an incentive to transfer CO2 downstream as they would no longer need to surrender allowances for such non-permanent storage and re-use.</w:t>
      </w:r>
    </w:p>
    <w:p w14:paraId="5D08DD64" w14:textId="77777777" w:rsidR="009010D9" w:rsidRDefault="009010D9" w:rsidP="0018561F">
      <w:pPr>
        <w:pStyle w:val="ListParagraph"/>
        <w:numPr>
          <w:ilvl w:val="0"/>
          <w:numId w:val="40"/>
        </w:numPr>
        <w:spacing w:line="259" w:lineRule="auto"/>
        <w:rPr>
          <w:noProof/>
        </w:rPr>
      </w:pPr>
      <w:r>
        <w:rPr>
          <w:noProof/>
        </w:rPr>
        <w:t>It avoids the double counting of emissions</w:t>
      </w:r>
    </w:p>
    <w:p w14:paraId="38223127" w14:textId="77777777" w:rsidR="009010D9" w:rsidRPr="000738F2" w:rsidRDefault="009010D9">
      <w:pPr>
        <w:rPr>
          <w:bCs/>
          <w:noProof/>
        </w:rPr>
      </w:pPr>
      <w:r w:rsidRPr="000738F2">
        <w:rPr>
          <w:bCs/>
          <w:noProof/>
        </w:rPr>
        <w:t xml:space="preserve">Downstream accounting addresses the risk of double counting that results from the upstream accounting system if waste incineration is part of the </w:t>
      </w:r>
      <w:r>
        <w:rPr>
          <w:bCs/>
          <w:noProof/>
        </w:rPr>
        <w:t xml:space="preserve">EU ETS </w:t>
      </w:r>
      <w:r w:rsidRPr="000738F2">
        <w:rPr>
          <w:bCs/>
          <w:noProof/>
        </w:rPr>
        <w:t>scope. If the capture operator is not required to surrender allowances for any CO</w:t>
      </w:r>
      <w:r w:rsidRPr="000738F2">
        <w:rPr>
          <w:bCs/>
          <w:noProof/>
          <w:vertAlign w:val="subscript"/>
        </w:rPr>
        <w:t>2</w:t>
      </w:r>
      <w:r w:rsidRPr="000738F2">
        <w:rPr>
          <w:bCs/>
          <w:noProof/>
        </w:rPr>
        <w:t xml:space="preserve"> captured, the final emitter, which can be the user of synthetic fuels or the waste incinerator that incinerates non-permanent CCU products, would have to surrender allowances for these emissions. </w:t>
      </w:r>
    </w:p>
    <w:p w14:paraId="12C46742" w14:textId="77777777" w:rsidR="009010D9" w:rsidRPr="003D3BB3" w:rsidRDefault="009010D9">
      <w:pPr>
        <w:rPr>
          <w:noProof/>
        </w:rPr>
      </w:pPr>
      <w:r w:rsidRPr="000738F2">
        <w:rPr>
          <w:bCs/>
          <w:noProof/>
        </w:rPr>
        <w:t>This was also one of the most frequently cited justifications for respondents to the OPC supporting downstream accounting. However, with the downstream accounting there is the risk of loopholes in</w:t>
      </w:r>
      <w:r w:rsidRPr="003D3BB3">
        <w:rPr>
          <w:noProof/>
        </w:rPr>
        <w:t xml:space="preserve"> the accounting system in case the downstream emission occurs outside of the scope of the </w:t>
      </w:r>
      <w:r>
        <w:rPr>
          <w:noProof/>
        </w:rPr>
        <w:t xml:space="preserve">EU ETS </w:t>
      </w:r>
      <w:r w:rsidRPr="003D3BB3">
        <w:rPr>
          <w:noProof/>
        </w:rPr>
        <w:t>and therefore it is not priced, undermining the integrity of the EU ETS.</w:t>
      </w:r>
      <w:r>
        <w:rPr>
          <w:noProof/>
        </w:rPr>
        <w:t xml:space="preserve"> </w:t>
      </w:r>
    </w:p>
    <w:p w14:paraId="13BA0A66" w14:textId="77777777" w:rsidR="009010D9" w:rsidRPr="003D3BB3" w:rsidRDefault="009010D9">
      <w:pPr>
        <w:rPr>
          <w:noProof/>
        </w:rPr>
      </w:pPr>
      <w:r>
        <w:rPr>
          <w:noProof/>
        </w:rPr>
        <w:t>R</w:t>
      </w:r>
      <w:r w:rsidRPr="003D3BB3">
        <w:rPr>
          <w:noProof/>
        </w:rPr>
        <w:t>espondents provided further justification for downstream accounting contributing to the avoidance of double counting, with 34 responses highlighting that the avoidance of double-counting is a key advantage of such an accounting approach. Respondents often explained that by moving the surrender obligation downstream, double counting of CO</w:t>
      </w:r>
      <w:r w:rsidRPr="000738F2">
        <w:rPr>
          <w:noProof/>
          <w:vertAlign w:val="subscript"/>
        </w:rPr>
        <w:t>2</w:t>
      </w:r>
      <w:r w:rsidRPr="003D3BB3">
        <w:rPr>
          <w:noProof/>
        </w:rPr>
        <w:t xml:space="preserve"> emissions from further up the value chain would be avoided. This category also captures the further benefit of the downstream approach (i.e. aligning with the principle of single carbon pricing) that was frequently expressed by the respondents regarding the provision of better incentives for the use of CCU as a result of moving the surrender obligation downstream. Given that the capture installation avoids the cost of surrendering allowances under this downstream accounting approach, it can offer captured CO</w:t>
      </w:r>
      <w:r w:rsidRPr="000738F2">
        <w:rPr>
          <w:noProof/>
          <w:vertAlign w:val="subscript"/>
        </w:rPr>
        <w:t>2</w:t>
      </w:r>
      <w:r w:rsidRPr="003D3BB3">
        <w:rPr>
          <w:noProof/>
        </w:rPr>
        <w:t xml:space="preserve"> at lower prices to producers of carbon-based products further downstream.  </w:t>
      </w:r>
    </w:p>
    <w:p w14:paraId="632DA01A" w14:textId="77777777" w:rsidR="009010D9" w:rsidRDefault="009010D9" w:rsidP="0018561F">
      <w:pPr>
        <w:pStyle w:val="ListParagraph"/>
        <w:numPr>
          <w:ilvl w:val="0"/>
          <w:numId w:val="40"/>
        </w:numPr>
        <w:spacing w:line="259" w:lineRule="auto"/>
        <w:rPr>
          <w:noProof/>
        </w:rPr>
      </w:pPr>
      <w:r>
        <w:rPr>
          <w:noProof/>
        </w:rPr>
        <w:t>It creates potential loopholes where emissions are not accounted for and paid for</w:t>
      </w:r>
    </w:p>
    <w:p w14:paraId="6863F65C" w14:textId="77777777" w:rsidR="009010D9" w:rsidRDefault="009010D9">
      <w:pPr>
        <w:rPr>
          <w:noProof/>
        </w:rPr>
      </w:pPr>
      <w:r>
        <w:rPr>
          <w:noProof/>
        </w:rPr>
        <w:t xml:space="preserve">As shown in the section on the environmental impacts, downstream accounting can create loopholes resulting in emissions within the scope of the EU ETS being under-reported and therefore avoiding the associated carbon price. Although, this represents primarily a potential negative environmental impact (see section 2.3.4.2), it does reduce the compliance costs for individual operators that capture their emissions as they would have to surrender less emission allowances compared to the upstream accounting under CCU1. </w:t>
      </w:r>
    </w:p>
    <w:p w14:paraId="5DEF1D5C" w14:textId="77777777" w:rsidR="009010D9" w:rsidRPr="003D3BB3" w:rsidRDefault="009010D9" w:rsidP="0018561F">
      <w:pPr>
        <w:pStyle w:val="ListParagraph"/>
        <w:numPr>
          <w:ilvl w:val="0"/>
          <w:numId w:val="40"/>
        </w:numPr>
        <w:spacing w:line="259" w:lineRule="auto"/>
        <w:rPr>
          <w:noProof/>
        </w:rPr>
      </w:pPr>
      <w:r>
        <w:rPr>
          <w:noProof/>
        </w:rPr>
        <w:t xml:space="preserve">‘Downstream accounting’ </w:t>
      </w:r>
      <w:r w:rsidRPr="003D3BB3">
        <w:rPr>
          <w:noProof/>
        </w:rPr>
        <w:t>weakens the business case for e-fuels and, if no adjustments in the regulatory frameworks, creates challenges in the certification of sustainable e-fuels</w:t>
      </w:r>
    </w:p>
    <w:p w14:paraId="39462884" w14:textId="77777777" w:rsidR="009010D9" w:rsidRPr="003D3BB3" w:rsidRDefault="009010D9">
      <w:pPr>
        <w:rPr>
          <w:noProof/>
        </w:rPr>
      </w:pPr>
      <w:r w:rsidRPr="003D3BB3">
        <w:rPr>
          <w:noProof/>
        </w:rPr>
        <w:t xml:space="preserve">Downstream accounting presents a weaker business case to produce CCU fuels, as downstream accounting means that the fuel user would be required to report and price the resulting combustion emissions. In this case, there would be no incentive for fuel user to purchase and use e-fuels, which are still significantly more expensive than fossil fuels. </w:t>
      </w:r>
    </w:p>
    <w:p w14:paraId="538D1E7A" w14:textId="77777777" w:rsidR="009010D9" w:rsidRPr="003D3BB3" w:rsidRDefault="009010D9">
      <w:pPr>
        <w:rPr>
          <w:noProof/>
        </w:rPr>
      </w:pPr>
      <w:r w:rsidRPr="003D3BB3">
        <w:rPr>
          <w:noProof/>
        </w:rPr>
        <w:t>Furthermore, the current regulatory framework under the RED and the Gas Directive require upstream accounting for the CO</w:t>
      </w:r>
      <w:r w:rsidRPr="003D3BB3">
        <w:rPr>
          <w:noProof/>
          <w:vertAlign w:val="subscript"/>
        </w:rPr>
        <w:t xml:space="preserve">2 </w:t>
      </w:r>
      <w:r w:rsidRPr="003D3BB3">
        <w:rPr>
          <w:noProof/>
        </w:rPr>
        <w:t xml:space="preserve">used to make CCU fuels. Without any regulatory adjustments, the downstream accounting approach will make it impossible to meet the required 70% GHG emissions savings for the fuels to qualify as sustainable renewable or low carbon fuels. </w:t>
      </w:r>
    </w:p>
    <w:p w14:paraId="67D715F2" w14:textId="77777777" w:rsidR="009010D9" w:rsidRPr="003D3BB3" w:rsidRDefault="009010D9">
      <w:pPr>
        <w:rPr>
          <w:noProof/>
        </w:rPr>
      </w:pPr>
      <w:r w:rsidRPr="003D3BB3">
        <w:rPr>
          <w:noProof/>
        </w:rPr>
        <w:t>Correspondingly, the need for a differentiation of accounting approaches was often advocated among respondents to the OPC, making a key distinction between CCU fuels and CCU materials. One fifth of respondents who expressed support for upstream accounting did so specifically for CCU fuels as, in their view, this would help to ensure regulatory stability with the current framework that also follows an upstream approach to accounting (i.e. to align with</w:t>
      </w:r>
      <w:r w:rsidRPr="003D3BB3" w:rsidDel="00BB2732">
        <w:rPr>
          <w:noProof/>
        </w:rPr>
        <w:t xml:space="preserve"> </w:t>
      </w:r>
      <w:r>
        <w:rPr>
          <w:noProof/>
        </w:rPr>
        <w:t xml:space="preserve">EU ETS </w:t>
      </w:r>
      <w:r w:rsidRPr="003D3BB3">
        <w:rPr>
          <w:noProof/>
        </w:rPr>
        <w:t>and RED rules and remain coherent with the RED RFNBO Delegated Act).</w:t>
      </w:r>
    </w:p>
    <w:p w14:paraId="4171C6C5" w14:textId="77777777" w:rsidR="009010D9" w:rsidRPr="003D3BB3" w:rsidRDefault="009010D9" w:rsidP="0018561F">
      <w:pPr>
        <w:pStyle w:val="ListParagraph"/>
        <w:numPr>
          <w:ilvl w:val="0"/>
          <w:numId w:val="40"/>
        </w:numPr>
        <w:spacing w:line="259" w:lineRule="auto"/>
        <w:rPr>
          <w:noProof/>
        </w:rPr>
      </w:pPr>
      <w:r w:rsidRPr="003D3BB3">
        <w:rPr>
          <w:noProof/>
        </w:rPr>
        <w:t>It increases the compliance obligations for downstream installations, such as waste incinerators and e-fuel users</w:t>
      </w:r>
    </w:p>
    <w:p w14:paraId="44E355F3" w14:textId="77777777" w:rsidR="009010D9" w:rsidRPr="003D3BB3" w:rsidRDefault="009010D9">
      <w:pPr>
        <w:rPr>
          <w:noProof/>
        </w:rPr>
      </w:pPr>
      <w:r w:rsidRPr="003D3BB3">
        <w:rPr>
          <w:noProof/>
        </w:rPr>
        <w:t xml:space="preserve">As mentioned in the previous paragraphs, under the downstream accounting fuel users would have </w:t>
      </w:r>
      <w:r>
        <w:rPr>
          <w:noProof/>
        </w:rPr>
        <w:t xml:space="preserve">to </w:t>
      </w:r>
      <w:r w:rsidRPr="003D3BB3">
        <w:rPr>
          <w:noProof/>
        </w:rPr>
        <w:t xml:space="preserve">report and pay for the emissions resulting from the use of e-fuels the same way they would for traditional fossil fuels. Given the cost differential between the different fuels, this would disincentivize fuel users in using e-fuels and continue the use of fossil fuels. While this will not in itself increase the compliance obligations of fuel users, it will reduce their available decarbonisation options, especially for sectors that cannot be (easily) electrified, such as aviation and maritime. </w:t>
      </w:r>
    </w:p>
    <w:p w14:paraId="606511B5" w14:textId="77777777" w:rsidR="009010D9" w:rsidRPr="003D3BB3" w:rsidRDefault="009010D9">
      <w:pPr>
        <w:rPr>
          <w:noProof/>
        </w:rPr>
      </w:pPr>
      <w:r w:rsidRPr="003D3BB3">
        <w:rPr>
          <w:noProof/>
        </w:rPr>
        <w:t xml:space="preserve">Unlike fuels users, which may have a choice between which fuel type to use, waste incinerators are required to process any unrecyclable waste that is sent to them for treatment. Therefore, the downstream accounting may increase the compliance obligation of waste incinerators if included in the EU ETS, as they would be paying for emissions that originate from other ETS installations that were then captured and embedded in CCU products. This concern was also specifically expressed by respondents from the waste sector in the OPC, outlining that as they are not responsible to produce the non-recyclable waste, they would have no control over their obligation to surrender allowances. However, this would be no different from the compliance obligation resulting from the combustion of virgin fossil waste. It can be assumed that non-permanent CCU products will replace at least to some degree virgin fossil equivalent products and therefore the net effect in terms of increased compliance obligations for waste incinerators will be limited. </w:t>
      </w:r>
    </w:p>
    <w:p w14:paraId="20654311" w14:textId="77777777" w:rsidR="009010D9" w:rsidRPr="003D3BB3" w:rsidRDefault="009010D9">
      <w:pPr>
        <w:rPr>
          <w:noProof/>
        </w:rPr>
      </w:pPr>
      <w:r w:rsidRPr="003D3BB3">
        <w:rPr>
          <w:noProof/>
        </w:rPr>
        <w:t>However, waste incinerators are now in addition to the downstream point of accounting potentially also upstream capturers of emissions</w:t>
      </w:r>
      <w:r>
        <w:rPr>
          <w:noProof/>
        </w:rPr>
        <w:t xml:space="preserve"> if they install carbon capture</w:t>
      </w:r>
      <w:r w:rsidRPr="003D3BB3">
        <w:rPr>
          <w:noProof/>
        </w:rPr>
        <w:t>. As an ETS installation with high emissions and limited abatement possibilities, waste incinerators would benefit from the same incentives as all other ETS emitters to capture their emissions and send the CO</w:t>
      </w:r>
      <w:r w:rsidRPr="003D3BB3">
        <w:rPr>
          <w:noProof/>
          <w:vertAlign w:val="subscript"/>
        </w:rPr>
        <w:t xml:space="preserve">2 </w:t>
      </w:r>
      <w:r w:rsidRPr="003D3BB3">
        <w:rPr>
          <w:noProof/>
        </w:rPr>
        <w:t xml:space="preserve">either for geological storage or for CCU. This would incentivise the closing of the emissions loop, which gradually can support the demand for carbon feedstock in the economy without the use of virgin fossil fuels. </w:t>
      </w:r>
    </w:p>
    <w:p w14:paraId="67CAB5BF" w14:textId="77777777" w:rsidR="009010D9" w:rsidRDefault="009010D9">
      <w:pPr>
        <w:rPr>
          <w:noProof/>
        </w:rPr>
      </w:pPr>
      <w:r w:rsidRPr="003D3BB3">
        <w:rPr>
          <w:noProof/>
        </w:rPr>
        <w:t xml:space="preserve">The measure CCU3 seeks to maintain the advantages identified for the downstream approach and address the challenges it creates for the e-fuel business case. Therefore, the measure retains the downstream accounting for all non-permanent CCU products other than e-fuels, for a midstream accounting would apply. Therefore, most impacts identified </w:t>
      </w:r>
      <w:r>
        <w:rPr>
          <w:noProof/>
        </w:rPr>
        <w:t xml:space="preserve">previously </w:t>
      </w:r>
      <w:r w:rsidRPr="003D3BB3">
        <w:rPr>
          <w:noProof/>
        </w:rPr>
        <w:t>are the same and are not repeated</w:t>
      </w:r>
      <w:r>
        <w:rPr>
          <w:noProof/>
        </w:rPr>
        <w:t>.</w:t>
      </w:r>
    </w:p>
    <w:p w14:paraId="66AB40AB" w14:textId="77777777" w:rsidR="009010D9" w:rsidRPr="003D3BB3" w:rsidRDefault="009010D9">
      <w:pPr>
        <w:rPr>
          <w:noProof/>
        </w:rPr>
      </w:pPr>
      <w:r w:rsidRPr="003D3BB3">
        <w:rPr>
          <w:noProof/>
        </w:rPr>
        <w:t xml:space="preserve">Midstream accounting for e-fuels means that the accounting and pricing of emissions that are captured for e-fuels will be done by the producer or distributor of e-fuels (instead of the capturer or the user). </w:t>
      </w:r>
      <w:r>
        <w:rPr>
          <w:noProof/>
        </w:rPr>
        <w:t>Midstream accounting by the producer effectively covers only domestic EU production of e-fuels and additional regulations or restrictions would be required for imported e-fuels. Midstream accounting by the distributor would cover e-fuels that are either domestically produced or imported. The obligation for accounting for fossil CO</w:t>
      </w:r>
      <w:r w:rsidRPr="00AC1032">
        <w:rPr>
          <w:noProof/>
          <w:vertAlign w:val="subscript"/>
        </w:rPr>
        <w:t>2</w:t>
      </w:r>
      <w:r>
        <w:rPr>
          <w:noProof/>
        </w:rPr>
        <w:t xml:space="preserve"> embedded in e-fuels would be therefore for the entity placing the e-fuels on the market, similar to how fuels are regulated in ETS2. Therefore, the hybrid downstream and</w:t>
      </w:r>
      <w:r w:rsidRPr="003D3BB3">
        <w:rPr>
          <w:noProof/>
        </w:rPr>
        <w:t xml:space="preserve"> midstream accounting would have the following impact on businesses:</w:t>
      </w:r>
    </w:p>
    <w:p w14:paraId="52DCC99F" w14:textId="77777777" w:rsidR="009010D9" w:rsidRPr="003D3BB3" w:rsidRDefault="009010D9" w:rsidP="0018561F">
      <w:pPr>
        <w:pStyle w:val="ListParagraph"/>
        <w:numPr>
          <w:ilvl w:val="0"/>
          <w:numId w:val="40"/>
        </w:numPr>
        <w:spacing w:line="259" w:lineRule="auto"/>
        <w:rPr>
          <w:noProof/>
        </w:rPr>
      </w:pPr>
      <w:r w:rsidRPr="003D3BB3">
        <w:rPr>
          <w:noProof/>
        </w:rPr>
        <w:t>It provides the most flexibility to all actors in the CCUS chain to optimise their business strategy</w:t>
      </w:r>
    </w:p>
    <w:p w14:paraId="7B2FA902" w14:textId="77777777" w:rsidR="009010D9" w:rsidRDefault="009010D9">
      <w:pPr>
        <w:rPr>
          <w:noProof/>
        </w:rPr>
      </w:pPr>
      <w:r w:rsidRPr="003D3BB3">
        <w:rPr>
          <w:noProof/>
        </w:rPr>
        <w:t xml:space="preserve">The hybrid </w:t>
      </w:r>
      <w:r>
        <w:rPr>
          <w:noProof/>
        </w:rPr>
        <w:t xml:space="preserve">downstream and </w:t>
      </w:r>
      <w:r w:rsidRPr="003D3BB3">
        <w:rPr>
          <w:noProof/>
        </w:rPr>
        <w:t>midstream accounting would incentivise the capture of CO</w:t>
      </w:r>
      <w:r w:rsidRPr="003D3BB3">
        <w:rPr>
          <w:noProof/>
          <w:vertAlign w:val="subscript"/>
        </w:rPr>
        <w:t>2</w:t>
      </w:r>
      <w:r w:rsidRPr="003D3BB3">
        <w:rPr>
          <w:noProof/>
        </w:rPr>
        <w:t xml:space="preserve"> and provide flexibility for operators to decide whether the CO</w:t>
      </w:r>
      <w:r w:rsidRPr="003D3BB3">
        <w:rPr>
          <w:noProof/>
          <w:vertAlign w:val="subscript"/>
        </w:rPr>
        <w:t>2</w:t>
      </w:r>
      <w:r w:rsidRPr="003D3BB3">
        <w:rPr>
          <w:noProof/>
        </w:rPr>
        <w:t xml:space="preserve"> should be stored or utilised in different types of products or applications depending on their particular circumstances (location, access to CO</w:t>
      </w:r>
      <w:r w:rsidRPr="003D3BB3">
        <w:rPr>
          <w:noProof/>
          <w:vertAlign w:val="subscript"/>
        </w:rPr>
        <w:t xml:space="preserve">2 </w:t>
      </w:r>
      <w:r w:rsidRPr="003D3BB3">
        <w:rPr>
          <w:noProof/>
        </w:rPr>
        <w:t>infrastructure and storage, access to green H</w:t>
      </w:r>
      <w:r w:rsidRPr="003D3BB3">
        <w:rPr>
          <w:noProof/>
          <w:vertAlign w:val="subscript"/>
        </w:rPr>
        <w:t xml:space="preserve">2, </w:t>
      </w:r>
      <w:r w:rsidRPr="003D3BB3">
        <w:rPr>
          <w:noProof/>
        </w:rPr>
        <w:t xml:space="preserve">etc.) and the comparative costs and benefits between storing emissions, or producing different synthetic chemicals, plastics or e-fuels. </w:t>
      </w:r>
    </w:p>
    <w:p w14:paraId="6E73A02B" w14:textId="77777777" w:rsidR="009010D9" w:rsidRPr="003D3BB3" w:rsidRDefault="009010D9">
      <w:pPr>
        <w:rPr>
          <w:noProof/>
        </w:rPr>
      </w:pPr>
      <w:r w:rsidRPr="003D3BB3">
        <w:rPr>
          <w:noProof/>
        </w:rPr>
        <w:t>For e-fuel producers this option gives more clarity on the costs and trade-offs available for sourcing different CO</w:t>
      </w:r>
      <w:r w:rsidRPr="003D3BB3">
        <w:rPr>
          <w:noProof/>
          <w:vertAlign w:val="subscript"/>
        </w:rPr>
        <w:t xml:space="preserve">2 </w:t>
      </w:r>
      <w:r w:rsidRPr="003D3BB3">
        <w:rPr>
          <w:noProof/>
        </w:rPr>
        <w:t>feedstock for their production process. Fossil CO</w:t>
      </w:r>
      <w:r w:rsidRPr="003D3BB3">
        <w:rPr>
          <w:noProof/>
          <w:vertAlign w:val="subscript"/>
        </w:rPr>
        <w:t xml:space="preserve">2 </w:t>
      </w:r>
      <w:r w:rsidRPr="003D3BB3">
        <w:rPr>
          <w:noProof/>
        </w:rPr>
        <w:t>may be more available and cheaper to capture, but it requires the surrendering of emissions of allowances, while biogenic or atmospheric CO</w:t>
      </w:r>
      <w:r w:rsidRPr="003D3BB3">
        <w:rPr>
          <w:noProof/>
          <w:vertAlign w:val="subscript"/>
        </w:rPr>
        <w:t xml:space="preserve">2 </w:t>
      </w:r>
      <w:r w:rsidRPr="003D3BB3">
        <w:rPr>
          <w:noProof/>
        </w:rPr>
        <w:t xml:space="preserve">may be more expensive to source, but do not require an ETS payment. </w:t>
      </w:r>
      <w:r>
        <w:rPr>
          <w:noProof/>
        </w:rPr>
        <w:t>If the midstream accounting obligation is set for the distributor of e-fuels, the e-fuel producer does not pay directly the ETS price, reducing their production costs. The distributor will be able to balance sourcing e-fuels with cheaper production costs, from fossil CO</w:t>
      </w:r>
      <w:r w:rsidRPr="00BA4EAA">
        <w:rPr>
          <w:noProof/>
          <w:vertAlign w:val="subscript"/>
        </w:rPr>
        <w:t>2</w:t>
      </w:r>
      <w:r>
        <w:rPr>
          <w:noProof/>
          <w:vertAlign w:val="subscript"/>
        </w:rPr>
        <w:t xml:space="preserve"> </w:t>
      </w:r>
      <w:r>
        <w:rPr>
          <w:noProof/>
        </w:rPr>
        <w:t>which require the surrender of emission allowances for the embedded fossil CO</w:t>
      </w:r>
      <w:r w:rsidRPr="00BA4EAA">
        <w:rPr>
          <w:noProof/>
          <w:vertAlign w:val="subscript"/>
        </w:rPr>
        <w:t>2</w:t>
      </w:r>
      <w:r w:rsidRPr="005E5180">
        <w:rPr>
          <w:noProof/>
        </w:rPr>
        <w:t>,</w:t>
      </w:r>
      <w:r>
        <w:rPr>
          <w:noProof/>
        </w:rPr>
        <w:t xml:space="preserve"> with sourcing e-fuels with higher production costs with CO</w:t>
      </w:r>
      <w:r w:rsidRPr="00BA4EAA">
        <w:rPr>
          <w:noProof/>
          <w:vertAlign w:val="subscript"/>
        </w:rPr>
        <w:t>2</w:t>
      </w:r>
      <w:r>
        <w:rPr>
          <w:noProof/>
          <w:vertAlign w:val="subscript"/>
        </w:rPr>
        <w:t xml:space="preserve"> </w:t>
      </w:r>
      <w:r>
        <w:rPr>
          <w:noProof/>
        </w:rPr>
        <w:t xml:space="preserve">from biogenic or atmospheric sources that would not lead to an ETS compliance obligation. </w:t>
      </w:r>
      <w:r w:rsidRPr="003D3BB3">
        <w:rPr>
          <w:noProof/>
        </w:rPr>
        <w:t>It enables e-fuels producers to meet the certification requirements for sustainable e-fuels and allows e-fuels user to zero-rate those emissions</w:t>
      </w:r>
    </w:p>
    <w:p w14:paraId="64D487EE" w14:textId="77777777" w:rsidR="009010D9" w:rsidRPr="003D3BB3" w:rsidRDefault="009010D9">
      <w:pPr>
        <w:rPr>
          <w:noProof/>
        </w:rPr>
      </w:pPr>
      <w:r w:rsidRPr="003D3BB3">
        <w:rPr>
          <w:noProof/>
        </w:rPr>
        <w:t>The midstream approach places a compliance obligation on e-fuels producers</w:t>
      </w:r>
      <w:r>
        <w:rPr>
          <w:noProof/>
        </w:rPr>
        <w:t xml:space="preserve"> or distributors</w:t>
      </w:r>
      <w:r w:rsidRPr="003D3BB3">
        <w:rPr>
          <w:noProof/>
        </w:rPr>
        <w:t>, as they would need to pay the carbon price for any fossil CO</w:t>
      </w:r>
      <w:r w:rsidRPr="003D3BB3">
        <w:rPr>
          <w:noProof/>
          <w:vertAlign w:val="subscript"/>
        </w:rPr>
        <w:t>2</w:t>
      </w:r>
      <w:r w:rsidRPr="003D3BB3">
        <w:rPr>
          <w:noProof/>
        </w:rPr>
        <w:t xml:space="preserve"> </w:t>
      </w:r>
      <w:r>
        <w:rPr>
          <w:noProof/>
        </w:rPr>
        <w:t>embedded in e-fuels, either at the point of product or at the point of distribution.</w:t>
      </w:r>
      <w:r w:rsidRPr="003D3BB3">
        <w:rPr>
          <w:noProof/>
        </w:rPr>
        <w:t xml:space="preserve"> While in theory this increases their costs, the costs would not be higher compared to the upstream accounting, under which the capturer would have passed through any compliance costs it was bearing. To the contrary, the costs for e-fuel producers could be lower in the midstream approach, as they benefit from the increased investments in capture and improved availability of CO</w:t>
      </w:r>
      <w:r w:rsidRPr="003D3BB3">
        <w:rPr>
          <w:noProof/>
          <w:vertAlign w:val="subscript"/>
        </w:rPr>
        <w:t>2</w:t>
      </w:r>
      <w:r w:rsidRPr="003D3BB3">
        <w:rPr>
          <w:noProof/>
        </w:rPr>
        <w:t xml:space="preserve"> feedstock due to the incentives for capture </w:t>
      </w:r>
      <w:r>
        <w:rPr>
          <w:noProof/>
        </w:rPr>
        <w:t xml:space="preserve">and non-permanent use </w:t>
      </w:r>
      <w:r w:rsidRPr="003D3BB3">
        <w:rPr>
          <w:noProof/>
        </w:rPr>
        <w:t xml:space="preserve">under this measure. </w:t>
      </w:r>
    </w:p>
    <w:p w14:paraId="486FAE78" w14:textId="77777777" w:rsidR="009010D9" w:rsidRPr="003D3BB3" w:rsidRDefault="009010D9">
      <w:pPr>
        <w:rPr>
          <w:noProof/>
        </w:rPr>
      </w:pPr>
      <w:r>
        <w:rPr>
          <w:noProof/>
        </w:rPr>
        <w:t>The</w:t>
      </w:r>
      <w:r w:rsidRPr="003D3BB3">
        <w:rPr>
          <w:noProof/>
        </w:rPr>
        <w:t xml:space="preserve"> midstream accounting </w:t>
      </w:r>
      <w:r>
        <w:rPr>
          <w:noProof/>
        </w:rPr>
        <w:t xml:space="preserve">can be considered to meet the same requirements for effective carbon pricing under </w:t>
      </w:r>
      <w:r w:rsidRPr="003D3BB3">
        <w:rPr>
          <w:noProof/>
        </w:rPr>
        <w:t xml:space="preserve">the RED and Gas Directive </w:t>
      </w:r>
      <w:r>
        <w:rPr>
          <w:noProof/>
        </w:rPr>
        <w:t xml:space="preserve">rules and </w:t>
      </w:r>
      <w:r w:rsidRPr="003D3BB3">
        <w:rPr>
          <w:noProof/>
        </w:rPr>
        <w:t xml:space="preserve">will enable e-fuel producers to meet the 70% GHG emissions savings obligation </w:t>
      </w:r>
      <w:r>
        <w:rPr>
          <w:noProof/>
        </w:rPr>
        <w:t>required</w:t>
      </w:r>
      <w:r w:rsidRPr="003D3BB3">
        <w:rPr>
          <w:noProof/>
        </w:rPr>
        <w:t xml:space="preserve"> to certify the produced e-fuels as sustainable renewable or low carbon fuels. Furthermore, as accounting of emissions is done at the level of the producer or distributor of e-fuels, the users can consider these e-fuels as generating zero emissions and are therefore incentivised to use them to reduce their emissions. </w:t>
      </w:r>
    </w:p>
    <w:p w14:paraId="7F8518D7" w14:textId="77777777" w:rsidR="009010D9" w:rsidRPr="003D3BB3" w:rsidRDefault="009010D9" w:rsidP="004F602F">
      <w:pPr>
        <w:pStyle w:val="Heading5COM"/>
        <w:ind w:left="2232"/>
        <w:outlineLvl w:val="5"/>
        <w:rPr>
          <w:noProof/>
        </w:rPr>
      </w:pPr>
      <w:bookmarkStart w:id="898" w:name="_Toc212426492"/>
      <w:bookmarkStart w:id="899" w:name="_Toc491008459"/>
      <w:bookmarkStart w:id="900" w:name="_Toc230861582"/>
      <w:bookmarkStart w:id="901" w:name="_Toc232751204"/>
      <w:r w:rsidRPr="003D3BB3">
        <w:rPr>
          <w:noProof/>
        </w:rPr>
        <w:t>SMEs</w:t>
      </w:r>
      <w:bookmarkEnd w:id="898"/>
      <w:bookmarkEnd w:id="899"/>
      <w:bookmarkEnd w:id="900"/>
      <w:bookmarkEnd w:id="901"/>
    </w:p>
    <w:p w14:paraId="3016FBD9" w14:textId="77777777" w:rsidR="009010D9" w:rsidRPr="003D3BB3" w:rsidRDefault="009010D9">
      <w:pPr>
        <w:rPr>
          <w:noProof/>
        </w:rPr>
      </w:pPr>
      <w:r w:rsidRPr="003D3BB3">
        <w:rPr>
          <w:noProof/>
        </w:rPr>
        <w:t xml:space="preserve">While carbon capture requires expensive investments that make sense only for large installations, many technology providers in the field of CCU that look to commercialize recently developed technology are small, start-up businesses. Therefore, measures CCU2 and CCU3 seek to level the playing field for these new entrants to allow new CCU products to compete with </w:t>
      </w:r>
      <w:r>
        <w:rPr>
          <w:noProof/>
        </w:rPr>
        <w:t>CCS</w:t>
      </w:r>
      <w:r w:rsidRPr="003D3BB3">
        <w:rPr>
          <w:noProof/>
        </w:rPr>
        <w:t xml:space="preserve">. </w:t>
      </w:r>
    </w:p>
    <w:p w14:paraId="7CC88487" w14:textId="77777777" w:rsidR="009010D9" w:rsidRPr="003D3BB3" w:rsidRDefault="009010D9">
      <w:pPr>
        <w:rPr>
          <w:noProof/>
        </w:rPr>
      </w:pPr>
      <w:r w:rsidRPr="003D3BB3">
        <w:rPr>
          <w:noProof/>
        </w:rPr>
        <w:t xml:space="preserve">Furthermore, these measures have been designed to be implementable based on the established MRVA system that can ensure the accounting integrity of the EU ETS, while not imposing excessive administrative burdens on operators. For this reason, the measure based on LCA accounting has been discarded as overly complex and costly to implement.   </w:t>
      </w:r>
    </w:p>
    <w:p w14:paraId="339120EF" w14:textId="77777777" w:rsidR="009010D9" w:rsidRPr="003D3BB3" w:rsidRDefault="009010D9">
      <w:pPr>
        <w:rPr>
          <w:noProof/>
        </w:rPr>
      </w:pPr>
      <w:r w:rsidRPr="003D3BB3">
        <w:rPr>
          <w:noProof/>
        </w:rPr>
        <w:t xml:space="preserve">Stakeholders consulted as a part of the OPC questionnaire emphasize the importance of ‘administrative proportionality’ for non-permanent CCU policy measures. Especially amongst business associations, emphasis was placed on implementing an accounting approach that prioritizes simplicity and continuity for SMEs to effectively implement non-permanent CCU measures. </w:t>
      </w:r>
    </w:p>
    <w:p w14:paraId="61A94E42" w14:textId="77777777" w:rsidR="009010D9" w:rsidRPr="003D3BB3" w:rsidRDefault="009010D9" w:rsidP="00F25D82">
      <w:pPr>
        <w:pStyle w:val="Heading4COM"/>
        <w:outlineLvl w:val="4"/>
        <w:rPr>
          <w:noProof/>
        </w:rPr>
      </w:pPr>
      <w:bookmarkStart w:id="902" w:name="_Toc212426493"/>
      <w:bookmarkStart w:id="903" w:name="_Toc420002484"/>
      <w:bookmarkStart w:id="904" w:name="_Toc230861583"/>
      <w:bookmarkStart w:id="905" w:name="_Toc232751205"/>
      <w:r w:rsidRPr="003D3BB3">
        <w:rPr>
          <w:noProof/>
        </w:rPr>
        <w:t>Administrative costs on business</w:t>
      </w:r>
      <w:bookmarkEnd w:id="902"/>
      <w:bookmarkEnd w:id="903"/>
      <w:bookmarkEnd w:id="904"/>
      <w:bookmarkEnd w:id="905"/>
    </w:p>
    <w:p w14:paraId="372C2739" w14:textId="77777777" w:rsidR="009010D9" w:rsidRPr="003D3BB3" w:rsidRDefault="009010D9">
      <w:pPr>
        <w:rPr>
          <w:noProof/>
        </w:rPr>
      </w:pPr>
      <w:r w:rsidRPr="003D3BB3">
        <w:rPr>
          <w:noProof/>
        </w:rPr>
        <w:t xml:space="preserve">In interviews, stakeholders highlighted that there are currently no tailored MRV methodologies for non-permanent CCU, hindering project developers from demonstrating emissions reductions or accessing support mechanisms such as the Innovation Fund. This in turn creates uncertainty for developers in the long-term. To unlock CCU's potential, stakeholders identified that ETS rules must be updated to recognize non-permanent CCU applications that lead to verifiable fossil carbon replacement or climate benefits, regardless of permanent storage. Uniform EU MRV methodologies for non-permanent CCU across its lifecycle (fuels, plastics, </w:t>
      </w:r>
      <w:r>
        <w:rPr>
          <w:noProof/>
        </w:rPr>
        <w:t xml:space="preserve">chemicals, </w:t>
      </w:r>
      <w:r w:rsidRPr="003D3BB3">
        <w:rPr>
          <w:noProof/>
        </w:rPr>
        <w:t>fertilizers, construction materials) are needed. They also identified the importance of equal access to financing instruments (Innovation Fund, CCfDs) that reflects non-permanent CCU's climate value and resource efficiency. An overview of the impact of the specific administrative obligations under each of the respective policy measures is detailed below.</w:t>
      </w:r>
    </w:p>
    <w:p w14:paraId="33E9891A" w14:textId="77777777" w:rsidR="009010D9" w:rsidRPr="003D3BB3" w:rsidRDefault="009010D9" w:rsidP="00F25D82">
      <w:pPr>
        <w:pStyle w:val="Heading5COM"/>
        <w:ind w:left="2232"/>
        <w:outlineLvl w:val="5"/>
        <w:rPr>
          <w:noProof/>
        </w:rPr>
      </w:pPr>
      <w:bookmarkStart w:id="906" w:name="_Toc230861584"/>
      <w:bookmarkStart w:id="907" w:name="_Toc232751206"/>
      <w:r w:rsidRPr="003D3BB3">
        <w:rPr>
          <w:noProof/>
        </w:rPr>
        <w:t>CCU1 – ‘Upstream accounting’</w:t>
      </w:r>
      <w:bookmarkEnd w:id="906"/>
      <w:bookmarkEnd w:id="907"/>
    </w:p>
    <w:p w14:paraId="213D8AA8" w14:textId="77777777" w:rsidR="009010D9" w:rsidRPr="003D3BB3" w:rsidRDefault="009010D9">
      <w:pPr>
        <w:rPr>
          <w:noProof/>
        </w:rPr>
      </w:pPr>
      <w:r w:rsidRPr="003D3BB3">
        <w:rPr>
          <w:noProof/>
        </w:rPr>
        <w:t>From an administrative perspective, for emitters the upstream accounting approach would represent the continuation of the system currently in place. The capture of emissions for any non-permanent CCU would need to be reported as emitted. From that point onwards the captured CO</w:t>
      </w:r>
      <w:r w:rsidRPr="003D3BB3">
        <w:rPr>
          <w:noProof/>
          <w:vertAlign w:val="subscript"/>
        </w:rPr>
        <w:t>2</w:t>
      </w:r>
      <w:r w:rsidRPr="003D3BB3">
        <w:rPr>
          <w:noProof/>
        </w:rPr>
        <w:t xml:space="preserve"> does not require any further monitoring or reporting obligations from the ETS point of view. In fact, CO</w:t>
      </w:r>
      <w:r w:rsidRPr="003D3BB3">
        <w:rPr>
          <w:noProof/>
          <w:vertAlign w:val="subscript"/>
        </w:rPr>
        <w:t xml:space="preserve">2 </w:t>
      </w:r>
      <w:r w:rsidRPr="003D3BB3">
        <w:rPr>
          <w:noProof/>
        </w:rPr>
        <w:t xml:space="preserve">transport for CCU and CCU activities are currently outside of the scope of the </w:t>
      </w:r>
      <w:r>
        <w:rPr>
          <w:noProof/>
        </w:rPr>
        <w:t xml:space="preserve">EU ETS </w:t>
      </w:r>
      <w:r w:rsidRPr="003D3BB3">
        <w:rPr>
          <w:noProof/>
        </w:rPr>
        <w:t>and would continue to be so under this measure. However, in case an installation will capture some CO</w:t>
      </w:r>
      <w:r w:rsidRPr="003D3BB3">
        <w:rPr>
          <w:noProof/>
          <w:vertAlign w:val="subscript"/>
        </w:rPr>
        <w:t xml:space="preserve">2 </w:t>
      </w:r>
      <w:r w:rsidRPr="003D3BB3">
        <w:rPr>
          <w:noProof/>
        </w:rPr>
        <w:t>for permanent storage and some for non-permanent CCU, this will imply additional monitoring and reporting costs, as the different destinations for the CO</w:t>
      </w:r>
      <w:r w:rsidRPr="003D3BB3">
        <w:rPr>
          <w:noProof/>
          <w:vertAlign w:val="subscript"/>
        </w:rPr>
        <w:t xml:space="preserve">2 </w:t>
      </w:r>
      <w:r w:rsidRPr="003D3BB3">
        <w:rPr>
          <w:noProof/>
        </w:rPr>
        <w:t xml:space="preserve">receive different regulatory treatment and therefore, they need to be reported separately. The most frequently cited reason for OPC respondents supporting upstream accounting for non-permanent CCU technologies in the ETS, was its administrative simplicity as compared to more complex tracing methodologies. However, incorporating waste incineration into the scope of the </w:t>
      </w:r>
      <w:r>
        <w:rPr>
          <w:noProof/>
        </w:rPr>
        <w:t xml:space="preserve">EU ETS </w:t>
      </w:r>
      <w:r w:rsidRPr="003D3BB3">
        <w:rPr>
          <w:noProof/>
        </w:rPr>
        <w:t xml:space="preserve">along with upstream accounting will lead to the double counting of emission (see section </w:t>
      </w:r>
      <w:r>
        <w:rPr>
          <w:noProof/>
        </w:rPr>
        <w:t>2.4.2.</w:t>
      </w:r>
      <w:r w:rsidRPr="003D3BB3">
        <w:rPr>
          <w:noProof/>
        </w:rPr>
        <w:t xml:space="preserve"> </w:t>
      </w:r>
      <w:r>
        <w:rPr>
          <w:noProof/>
        </w:rPr>
        <w:t>on e</w:t>
      </w:r>
      <w:r w:rsidRPr="003D3BB3">
        <w:rPr>
          <w:noProof/>
        </w:rPr>
        <w:t>nvironmental impacts). In order to avoid or mitigate the risk of double counting, which means also double pricing of the emissions, complex monitoring and certification solutions would be required.</w:t>
      </w:r>
      <w:r w:rsidRPr="003D3BB3">
        <w:rPr>
          <w:noProof/>
          <w:vertAlign w:val="superscript"/>
        </w:rPr>
        <w:footnoteReference w:id="208"/>
      </w:r>
      <w:r w:rsidRPr="003D3BB3">
        <w:rPr>
          <w:noProof/>
          <w:vertAlign w:val="superscript"/>
        </w:rPr>
        <w:t xml:space="preserve">, </w:t>
      </w:r>
      <w:r w:rsidRPr="003D3BB3">
        <w:rPr>
          <w:noProof/>
          <w:vertAlign w:val="superscript"/>
        </w:rPr>
        <w:footnoteReference w:id="209"/>
      </w:r>
      <w:r w:rsidRPr="003D3BB3">
        <w:rPr>
          <w:noProof/>
        </w:rPr>
        <w:t xml:space="preserve"> </w:t>
      </w:r>
    </w:p>
    <w:p w14:paraId="50FD0B33" w14:textId="77777777" w:rsidR="009010D9" w:rsidRPr="003D3BB3" w:rsidRDefault="009010D9">
      <w:pPr>
        <w:rPr>
          <w:noProof/>
        </w:rPr>
      </w:pPr>
      <w:r w:rsidRPr="003D3BB3">
        <w:rPr>
          <w:noProof/>
        </w:rPr>
        <w:t>Therefore, avoiding double counting would require either a full value chain coverage by the</w:t>
      </w:r>
      <w:r w:rsidRPr="003D3BB3" w:rsidDel="00BB2732">
        <w:rPr>
          <w:noProof/>
        </w:rPr>
        <w:t xml:space="preserve"> </w:t>
      </w:r>
      <w:r>
        <w:rPr>
          <w:noProof/>
        </w:rPr>
        <w:t xml:space="preserve">EU ETS </w:t>
      </w:r>
      <w:r w:rsidRPr="003D3BB3">
        <w:rPr>
          <w:noProof/>
        </w:rPr>
        <w:t xml:space="preserve">to enable the tracking of the ‘chain of custody’ of CCU products (in practice not feasible due to the design constraints of the ETS) or alternative systems, such as a Guarantees of Origin (GoOs) system for CCU products that could be used by waste incinerators for a share of their compliance obligations, or a conservative carbon correction factor that would downrate the emissions of waste incinerators based on the estimated non-permanent CCU products placed on the market likely to end up in waste incineration. Regardless of the tracking or certification put in place, it would create higher transaction and administrative costs across the system, as it would require detailed information on the proportion of captured carbon utilized in a product and estimates how these products are used and discarded. Several </w:t>
      </w:r>
      <w:r>
        <w:rPr>
          <w:noProof/>
        </w:rPr>
        <w:t>energy intensive</w:t>
      </w:r>
      <w:r w:rsidRPr="003D3BB3">
        <w:rPr>
          <w:noProof/>
        </w:rPr>
        <w:t xml:space="preserve"> industry </w:t>
      </w:r>
      <w:r>
        <w:rPr>
          <w:noProof/>
        </w:rPr>
        <w:t>stakehol</w:t>
      </w:r>
      <w:r w:rsidRPr="003D3BB3">
        <w:rPr>
          <w:noProof/>
        </w:rPr>
        <w:t>ders articulated that this additional administrative burden and cost would have the effect of reducing captured CO</w:t>
      </w:r>
      <w:r w:rsidRPr="003D3BB3">
        <w:rPr>
          <w:noProof/>
          <w:vertAlign w:val="subscript"/>
        </w:rPr>
        <w:t>2</w:t>
      </w:r>
      <w:r w:rsidRPr="003D3BB3">
        <w:rPr>
          <w:noProof/>
        </w:rPr>
        <w:t xml:space="preserve"> use by </w:t>
      </w:r>
      <w:r>
        <w:rPr>
          <w:noProof/>
        </w:rPr>
        <w:t xml:space="preserve">EU ETS </w:t>
      </w:r>
      <w:r w:rsidRPr="003D3BB3">
        <w:rPr>
          <w:noProof/>
        </w:rPr>
        <w:t>covered entities.</w:t>
      </w:r>
    </w:p>
    <w:p w14:paraId="16A377E6" w14:textId="77777777" w:rsidR="009010D9" w:rsidRPr="003D3BB3" w:rsidRDefault="009010D9" w:rsidP="00F25D82">
      <w:pPr>
        <w:pStyle w:val="Heading5COM"/>
        <w:ind w:left="2232"/>
        <w:outlineLvl w:val="5"/>
        <w:rPr>
          <w:noProof/>
        </w:rPr>
      </w:pPr>
      <w:bookmarkStart w:id="908" w:name="_Toc230861585"/>
      <w:bookmarkStart w:id="909" w:name="_Toc232751207"/>
      <w:r w:rsidRPr="003D3BB3">
        <w:rPr>
          <w:noProof/>
        </w:rPr>
        <w:t xml:space="preserve">CCU2 </w:t>
      </w:r>
      <w:r>
        <w:rPr>
          <w:noProof/>
        </w:rPr>
        <w:t xml:space="preserve">and CCU3 </w:t>
      </w:r>
      <w:r w:rsidRPr="003D3BB3">
        <w:rPr>
          <w:noProof/>
        </w:rPr>
        <w:t>– ‘Downstream</w:t>
      </w:r>
      <w:r>
        <w:rPr>
          <w:noProof/>
        </w:rPr>
        <w:t xml:space="preserve"> -’ and ‘Hybrid Downstream and midstream accounting’</w:t>
      </w:r>
      <w:bookmarkEnd w:id="908"/>
      <w:bookmarkEnd w:id="909"/>
      <w:r w:rsidRPr="003D3BB3">
        <w:rPr>
          <w:noProof/>
        </w:rPr>
        <w:t xml:space="preserve"> </w:t>
      </w:r>
    </w:p>
    <w:p w14:paraId="183B7A44" w14:textId="77777777" w:rsidR="009010D9" w:rsidRPr="003D3BB3" w:rsidRDefault="009010D9">
      <w:pPr>
        <w:rPr>
          <w:noProof/>
        </w:rPr>
      </w:pPr>
      <w:r w:rsidRPr="003D3BB3">
        <w:rPr>
          <w:noProof/>
        </w:rPr>
        <w:t>In terms of administrative costs, the downstream accounting will result in a simplification in the current rules applicable for the reporting of emissions in case of the capture of CO</w:t>
      </w:r>
      <w:r w:rsidRPr="003D3BB3">
        <w:rPr>
          <w:noProof/>
          <w:vertAlign w:val="subscript"/>
        </w:rPr>
        <w:t>2</w:t>
      </w:r>
      <w:r w:rsidRPr="003D3BB3">
        <w:rPr>
          <w:noProof/>
        </w:rPr>
        <w:t>. Emitters that capture CO</w:t>
      </w:r>
      <w:r w:rsidRPr="003D3BB3">
        <w:rPr>
          <w:noProof/>
          <w:vertAlign w:val="subscript"/>
        </w:rPr>
        <w:t xml:space="preserve">2 </w:t>
      </w:r>
      <w:r w:rsidRPr="003D3BB3">
        <w:rPr>
          <w:noProof/>
        </w:rPr>
        <w:t>will be able to report it as captured (and deduct it from their overall emissions) the amount of CO</w:t>
      </w:r>
      <w:r w:rsidRPr="003D3BB3">
        <w:rPr>
          <w:noProof/>
          <w:vertAlign w:val="subscript"/>
        </w:rPr>
        <w:t xml:space="preserve">2 </w:t>
      </w:r>
      <w:r w:rsidRPr="003D3BB3">
        <w:rPr>
          <w:noProof/>
        </w:rPr>
        <w:t>that has been captured and transferred to another ETS installation, regardless of the purpose, be it for CCS, permanent CCU or non-permanent CCU. This contrasts with the current situation where CO</w:t>
      </w:r>
      <w:r w:rsidRPr="003D3BB3">
        <w:rPr>
          <w:noProof/>
          <w:vertAlign w:val="subscript"/>
        </w:rPr>
        <w:t xml:space="preserve">2 </w:t>
      </w:r>
      <w:r w:rsidRPr="003D3BB3">
        <w:rPr>
          <w:noProof/>
        </w:rPr>
        <w:t>captured for different purposes has different regulatory treatments.</w:t>
      </w:r>
    </w:p>
    <w:p w14:paraId="3CCE2FA9" w14:textId="77777777" w:rsidR="009010D9" w:rsidRPr="003D3BB3" w:rsidRDefault="009010D9">
      <w:pPr>
        <w:rPr>
          <w:noProof/>
        </w:rPr>
      </w:pPr>
      <w:r w:rsidRPr="003D3BB3">
        <w:rPr>
          <w:noProof/>
        </w:rPr>
        <w:t>It is important to note that to achieve these benefits, in addition to the downstream accounting of non-permanent CCU products, it will also be necessary to extent the scope of the ETS by generalising the scope of the CO</w:t>
      </w:r>
      <w:r w:rsidRPr="003D3BB3">
        <w:rPr>
          <w:noProof/>
          <w:vertAlign w:val="subscript"/>
        </w:rPr>
        <w:t xml:space="preserve">2 </w:t>
      </w:r>
      <w:r w:rsidRPr="003D3BB3">
        <w:rPr>
          <w:noProof/>
        </w:rPr>
        <w:t>capture and CO</w:t>
      </w:r>
      <w:r w:rsidRPr="003D3BB3">
        <w:rPr>
          <w:noProof/>
          <w:vertAlign w:val="subscript"/>
        </w:rPr>
        <w:t xml:space="preserve">2 </w:t>
      </w:r>
      <w:r w:rsidRPr="003D3BB3">
        <w:rPr>
          <w:noProof/>
        </w:rPr>
        <w:t>transport activities, as they are currently limited only to the capture and transport of CO</w:t>
      </w:r>
      <w:r w:rsidRPr="003D3BB3">
        <w:rPr>
          <w:noProof/>
          <w:vertAlign w:val="subscript"/>
        </w:rPr>
        <w:t xml:space="preserve">2 </w:t>
      </w:r>
      <w:r w:rsidRPr="003D3BB3">
        <w:rPr>
          <w:noProof/>
        </w:rPr>
        <w:t>for geological storage. The ETS MRVA system for the CCS value chain relies on the physical transfer of CO</w:t>
      </w:r>
      <w:r w:rsidRPr="003D3BB3">
        <w:rPr>
          <w:noProof/>
          <w:vertAlign w:val="subscript"/>
        </w:rPr>
        <w:t xml:space="preserve">2 </w:t>
      </w:r>
      <w:r w:rsidRPr="003D3BB3">
        <w:rPr>
          <w:noProof/>
        </w:rPr>
        <w:t>from one regulated entity to another, which results also in the transfer of the liability for that CO</w:t>
      </w:r>
      <w:r w:rsidRPr="003D3BB3">
        <w:rPr>
          <w:noProof/>
          <w:vertAlign w:val="subscript"/>
        </w:rPr>
        <w:t xml:space="preserve">2, </w:t>
      </w:r>
      <w:r w:rsidRPr="003D3BB3">
        <w:rPr>
          <w:noProof/>
        </w:rPr>
        <w:t>i.e. the requirement to monitor, report and surrender allowances for any emissions associated with that CO</w:t>
      </w:r>
      <w:r w:rsidRPr="003D3BB3">
        <w:rPr>
          <w:noProof/>
          <w:vertAlign w:val="subscript"/>
        </w:rPr>
        <w:t xml:space="preserve">2. </w:t>
      </w:r>
      <w:r w:rsidRPr="003D3BB3">
        <w:rPr>
          <w:noProof/>
        </w:rPr>
        <w:t xml:space="preserve">To ensure the level playing field for CCU and CCS applications, it will be necessary to include in the scope of the ETS the entire CCUS value chain, including the CCU activity itself (but excluding anything from the point of putting the product on the market and up to the end-of-life treatment). </w:t>
      </w:r>
    </w:p>
    <w:p w14:paraId="4D073FA2" w14:textId="77777777" w:rsidR="009010D9" w:rsidRPr="003D3BB3" w:rsidRDefault="009010D9">
      <w:pPr>
        <w:rPr>
          <w:noProof/>
        </w:rPr>
      </w:pPr>
      <w:r w:rsidRPr="003D3BB3">
        <w:rPr>
          <w:noProof/>
        </w:rPr>
        <w:t>On one hand, this extension of scope will create some new administrative costs for CCU installations due to the ETS requirements (GHG permit, monitoring plan, etc). However, these costs would not be any different than the costs imposed by any certification scheme, if required to prove for their products</w:t>
      </w:r>
      <w:r>
        <w:rPr>
          <w:noProof/>
        </w:rPr>
        <w:t>’</w:t>
      </w:r>
      <w:r w:rsidRPr="003D3BB3">
        <w:rPr>
          <w:noProof/>
        </w:rPr>
        <w:t xml:space="preserve"> particular environmental claims. On the other hand, this allows CCU installations to fully participate in the ETS CO</w:t>
      </w:r>
      <w:r w:rsidRPr="003D3BB3">
        <w:rPr>
          <w:noProof/>
          <w:vertAlign w:val="subscript"/>
        </w:rPr>
        <w:t xml:space="preserve">2 </w:t>
      </w:r>
      <w:r w:rsidRPr="003D3BB3">
        <w:rPr>
          <w:noProof/>
        </w:rPr>
        <w:t>value chain, i.e. their reception of CO</w:t>
      </w:r>
      <w:r w:rsidRPr="003D3BB3">
        <w:rPr>
          <w:noProof/>
          <w:vertAlign w:val="subscript"/>
        </w:rPr>
        <w:t xml:space="preserve">2 </w:t>
      </w:r>
      <w:r w:rsidRPr="003D3BB3">
        <w:rPr>
          <w:noProof/>
        </w:rPr>
        <w:t>allows the transferring ETS installations to deduct that CO</w:t>
      </w:r>
      <w:r w:rsidRPr="003D3BB3">
        <w:rPr>
          <w:noProof/>
          <w:vertAlign w:val="subscript"/>
        </w:rPr>
        <w:t xml:space="preserve">2 </w:t>
      </w:r>
      <w:r w:rsidRPr="003D3BB3">
        <w:rPr>
          <w:noProof/>
        </w:rPr>
        <w:t>from their reported emissions, which would not be possible without their inclusion in the ETS. Furthermore, as regards CO</w:t>
      </w:r>
      <w:r w:rsidRPr="003D3BB3">
        <w:rPr>
          <w:noProof/>
          <w:vertAlign w:val="subscript"/>
        </w:rPr>
        <w:t xml:space="preserve">2 </w:t>
      </w:r>
      <w:r w:rsidRPr="003D3BB3">
        <w:rPr>
          <w:noProof/>
        </w:rPr>
        <w:t>transport infrastructure, their monitoring and reporting obligations will be simplified, as they would not need to keep track separately of CO</w:t>
      </w:r>
      <w:r w:rsidRPr="003D3BB3">
        <w:rPr>
          <w:noProof/>
          <w:vertAlign w:val="subscript"/>
        </w:rPr>
        <w:t xml:space="preserve">2 </w:t>
      </w:r>
      <w:r w:rsidRPr="003D3BB3">
        <w:rPr>
          <w:noProof/>
        </w:rPr>
        <w:t>transported for different purposes.</w:t>
      </w:r>
    </w:p>
    <w:p w14:paraId="2A211081" w14:textId="77777777" w:rsidR="009010D9" w:rsidRPr="003D3BB3" w:rsidRDefault="009010D9">
      <w:pPr>
        <w:rPr>
          <w:noProof/>
        </w:rPr>
      </w:pPr>
      <w:r w:rsidRPr="003D3BB3">
        <w:rPr>
          <w:noProof/>
        </w:rPr>
        <w:t>As noted in the previous section, the downstream accounting relies on the integration of waste incineration in the EU ETS. However, once included in the EU ETS, there is no difference between the administrative costs for waste incinerators in the upstream accounting (CCU1) or downstream accounting scenario. Waste incinerators would continue to monitor and report emissions in the same manner</w:t>
      </w:r>
      <w:r>
        <w:rPr>
          <w:noProof/>
        </w:rPr>
        <w:t>, and therefore administrative costs would be the same for them under downstream accounting (CCU2 or CCU3)</w:t>
      </w:r>
      <w:r w:rsidRPr="003D3BB3">
        <w:rPr>
          <w:noProof/>
        </w:rPr>
        <w:t>.</w:t>
      </w:r>
    </w:p>
    <w:p w14:paraId="5182F8DB" w14:textId="77777777" w:rsidR="009010D9" w:rsidRPr="003D3BB3" w:rsidRDefault="009010D9">
      <w:pPr>
        <w:rPr>
          <w:noProof/>
        </w:rPr>
      </w:pPr>
      <w:r w:rsidRPr="003D3BB3">
        <w:rPr>
          <w:noProof/>
        </w:rPr>
        <w:t xml:space="preserve">The hybrid midstream accounting for e-fuel producers or distributors will rely on ensuring that midstream point on the value chain is part of the EU ETS. This will require an extension of the ETS scope to include e-fuel producers or distributors, which will result in some additional administrative burden (requirement for a GHG permit and monitoring plan). However, </w:t>
      </w:r>
      <w:r>
        <w:rPr>
          <w:noProof/>
        </w:rPr>
        <w:t>many</w:t>
      </w:r>
      <w:r w:rsidRPr="003D3BB3">
        <w:rPr>
          <w:noProof/>
        </w:rPr>
        <w:t xml:space="preserve"> fuel distributers are already part of ETS 2 starting as of 2027 and e-fuel producers must comply with a demanding certification process and the RED or Gas Directive. Therefore, if ensuring that regulatory requirements resulting from the midstream accounting measure are streamlined and take due accounting of the obligations already in place for these economic operators, the resulting administrative burden will be marginal. </w:t>
      </w:r>
    </w:p>
    <w:p w14:paraId="2891DB27" w14:textId="77777777" w:rsidR="009010D9" w:rsidRPr="003D3BB3" w:rsidRDefault="009010D9">
      <w:pPr>
        <w:rPr>
          <w:noProof/>
        </w:rPr>
      </w:pPr>
      <w:r>
        <w:rPr>
          <w:noProof/>
        </w:rPr>
        <w:t xml:space="preserve">The administrative impact of dealing with any potential loopholes will depend on the formulation of the measures taken to mitigate the risk of loopholes. Relying on complex value chain assessment and the verification of individual claims of companies will be similar to undergoing an LCA approach and, as shown in the section on discarded measures, would impose significant administrative costs. However, if the measures to mitigate costs is done on the basis of the existent ETS MRVA systems the costs, if any, would be minimal. This can take the form of an ex-ante assessment or the determination of a positive list of products considered not to lead to loophole risks (or negative list of products considered to do so), meaning that producers only need to demonstrate that their process results in a listed product, which is easily checked by verifiers. Alternatively, correction factors in the surrender obligation could be introduced, if an assessment determines that a given percentage of emissions is not accounted in the EU ETS, but the loopholes cannot be attributed to specific products. Such a correction factor could be applied universally when determining the amount surrender obligation of companies undertaking the CCU and, while it would increase the compliance costs of companies, it would not result in any additional administrative burden. </w:t>
      </w:r>
    </w:p>
    <w:p w14:paraId="7E9128BA" w14:textId="77777777" w:rsidR="009010D9" w:rsidRPr="003D3BB3" w:rsidRDefault="009010D9" w:rsidP="00F25D82">
      <w:pPr>
        <w:pStyle w:val="Heading3COM"/>
        <w:outlineLvl w:val="4"/>
        <w:rPr>
          <w:noProof/>
        </w:rPr>
      </w:pPr>
      <w:bookmarkStart w:id="910" w:name="_Toc212426494"/>
      <w:bookmarkStart w:id="911" w:name="_Toc656392527"/>
      <w:bookmarkStart w:id="912" w:name="_Toc230861586"/>
      <w:bookmarkStart w:id="913" w:name="_Toc232751208"/>
      <w:r w:rsidRPr="003D3BB3">
        <w:rPr>
          <w:noProof/>
        </w:rPr>
        <w:t>Social impacts</w:t>
      </w:r>
      <w:bookmarkEnd w:id="910"/>
      <w:bookmarkEnd w:id="911"/>
      <w:bookmarkEnd w:id="912"/>
      <w:bookmarkEnd w:id="913"/>
    </w:p>
    <w:p w14:paraId="21D4654D" w14:textId="77777777" w:rsidR="009010D9" w:rsidRPr="003D3BB3" w:rsidRDefault="009010D9" w:rsidP="00F25D82">
      <w:pPr>
        <w:pStyle w:val="Heading4COM"/>
        <w:outlineLvl w:val="5"/>
        <w:rPr>
          <w:noProof/>
        </w:rPr>
      </w:pPr>
      <w:bookmarkStart w:id="914" w:name="_Toc230861587"/>
      <w:bookmarkStart w:id="915" w:name="_Toc232751209"/>
      <w:r w:rsidRPr="003D3BB3">
        <w:rPr>
          <w:noProof/>
        </w:rPr>
        <w:t>Employment</w:t>
      </w:r>
      <w:bookmarkEnd w:id="914"/>
      <w:bookmarkEnd w:id="915"/>
    </w:p>
    <w:p w14:paraId="6C3F0D04" w14:textId="77777777" w:rsidR="009010D9" w:rsidRPr="003D3BB3" w:rsidRDefault="009010D9">
      <w:pPr>
        <w:rPr>
          <w:noProof/>
        </w:rPr>
      </w:pPr>
      <w:r w:rsidRPr="003D3BB3">
        <w:rPr>
          <w:noProof/>
        </w:rPr>
        <w:t xml:space="preserve">Integrating non-permanent CCU into the </w:t>
      </w:r>
      <w:r>
        <w:rPr>
          <w:noProof/>
        </w:rPr>
        <w:t xml:space="preserve">EU ETS </w:t>
      </w:r>
      <w:r w:rsidRPr="003D3BB3">
        <w:rPr>
          <w:noProof/>
        </w:rPr>
        <w:t xml:space="preserve">can influence employment through creating new incentives for more CCU companies to enter the EU market. Policy measures that provide predictable, streamlined, and equal treatment of non-permanent CCU products compared to CCS, such as downstream accounting (CCU1) are more likely to enable near-term investment and job creation in the CCU industry. Additionally, adding flexibility to compliance obligations through policy measures such as mid-stream accounting (CCU3) can support </w:t>
      </w:r>
      <w:r>
        <w:rPr>
          <w:noProof/>
        </w:rPr>
        <w:t xml:space="preserve">EU ETS </w:t>
      </w:r>
      <w:r w:rsidRPr="003D3BB3">
        <w:rPr>
          <w:noProof/>
        </w:rPr>
        <w:t xml:space="preserve">covered entities to streamline ETS compliance costs, enabling companies to direct these revenues to maintaining employment levels. Absent such support for CCU, weaker demand for non-permanent CCU products may delay investment decisions and moderate job growth in the CCU industry. </w:t>
      </w:r>
    </w:p>
    <w:p w14:paraId="49E34EAF" w14:textId="77777777" w:rsidR="009010D9" w:rsidRPr="003D3BB3" w:rsidRDefault="009010D9">
      <w:pPr>
        <w:rPr>
          <w:noProof/>
        </w:rPr>
      </w:pPr>
      <w:r w:rsidRPr="003D3BB3">
        <w:rPr>
          <w:noProof/>
        </w:rPr>
        <w:t>A further quantitative assessment of the impact of employment is undertaken at the policy option level.</w:t>
      </w:r>
    </w:p>
    <w:p w14:paraId="304E6FB5" w14:textId="77777777" w:rsidR="009010D9" w:rsidRPr="003D3BB3" w:rsidRDefault="009010D9">
      <w:pPr>
        <w:pStyle w:val="Heading4COM"/>
        <w:outlineLvl w:val="4"/>
        <w:rPr>
          <w:noProof/>
        </w:rPr>
      </w:pPr>
      <w:bookmarkStart w:id="916" w:name="_Toc230861588"/>
      <w:bookmarkStart w:id="917" w:name="_Toc232751210"/>
      <w:r w:rsidRPr="003D3BB3">
        <w:rPr>
          <w:noProof/>
        </w:rPr>
        <w:t>Fundamental rights</w:t>
      </w:r>
      <w:bookmarkEnd w:id="916"/>
      <w:bookmarkEnd w:id="917"/>
    </w:p>
    <w:p w14:paraId="4C204E51" w14:textId="77777777" w:rsidR="009010D9" w:rsidRPr="003D3BB3" w:rsidRDefault="009010D9">
      <w:pPr>
        <w:rPr>
          <w:noProof/>
        </w:rPr>
      </w:pPr>
      <w:r w:rsidRPr="003D3BB3">
        <w:rPr>
          <w:noProof/>
        </w:rPr>
        <w:t>Fundamental rights afford basic legal protection for political, social, and procedural rights to individuals and legal entities. The Charter of Fundamental Rights of the European Union</w:t>
      </w:r>
      <w:r w:rsidRPr="003D3BB3">
        <w:rPr>
          <w:noProof/>
          <w:vertAlign w:val="superscript"/>
        </w:rPr>
        <w:footnoteReference w:id="210"/>
      </w:r>
      <w:r w:rsidRPr="003D3BB3">
        <w:rPr>
          <w:noProof/>
        </w:rPr>
        <w:t xml:space="preserve"> (the Charter) is an instrument of primary EU law that enshrines the fundamental rights people enjoy in the EU. All measures were assessed having regard to the relevant EU instrument and it was concluded that they maintain full respect for human and fundamental rights, and none will have any negative impact in this regard.</w:t>
      </w:r>
    </w:p>
    <w:p w14:paraId="0E6951EB" w14:textId="77777777" w:rsidR="009010D9" w:rsidRPr="003D3BB3" w:rsidRDefault="009010D9">
      <w:pPr>
        <w:rPr>
          <w:noProof/>
        </w:rPr>
      </w:pPr>
      <w:r w:rsidRPr="003D3BB3">
        <w:rPr>
          <w:noProof/>
        </w:rPr>
        <w:t>The measures will have a positive impact on Article 37, which states the following with regards to environmental protection</w:t>
      </w:r>
    </w:p>
    <w:p w14:paraId="79786BB3" w14:textId="77777777" w:rsidR="009010D9" w:rsidRPr="003D3BB3" w:rsidRDefault="009010D9">
      <w:pPr>
        <w:rPr>
          <w:noProof/>
        </w:rPr>
      </w:pPr>
      <w:r w:rsidRPr="003D3BB3">
        <w:rPr>
          <w:noProof/>
        </w:rPr>
        <w:t>“A high level of environmental protection and the improvement of the quality of the environment must be integrated into the policies of the Union and ensured in accordance with the principle of sustainable development”.</w:t>
      </w:r>
    </w:p>
    <w:p w14:paraId="1BC8AF3C" w14:textId="77777777" w:rsidR="009010D9" w:rsidRPr="003D3BB3" w:rsidRDefault="009010D9">
      <w:pPr>
        <w:rPr>
          <w:noProof/>
        </w:rPr>
      </w:pPr>
      <w:r w:rsidRPr="003D3BB3">
        <w:rPr>
          <w:noProof/>
        </w:rPr>
        <w:t xml:space="preserve">All the measures assessed under the non-permanent CCU thematic area adhere to Article 37 as they aim to enhance the carbon price signal by considering how to fully address the unique characteristics of non-permanent CCU products, such as carbon sources and storage durations. Adjustments to the </w:t>
      </w:r>
      <w:r>
        <w:rPr>
          <w:noProof/>
        </w:rPr>
        <w:t xml:space="preserve">EU ETS </w:t>
      </w:r>
      <w:r w:rsidRPr="003D3BB3">
        <w:rPr>
          <w:noProof/>
        </w:rPr>
        <w:t xml:space="preserve">directive are needed to ensure the level playing field for CCU technologies while ensuring that emissions are effectively accounted for and priced. The policy measures outlined in section </w:t>
      </w:r>
      <w:r>
        <w:rPr>
          <w:noProof/>
        </w:rPr>
        <w:t>2.3.</w:t>
      </w:r>
      <w:r w:rsidRPr="003D3BB3">
        <w:rPr>
          <w:noProof/>
        </w:rPr>
        <w:t xml:space="preserve"> will consider how to incorporate non-permanent CCU into the EU ETS, resulting in a stronger price signal and more effective environmental protection.  </w:t>
      </w:r>
    </w:p>
    <w:p w14:paraId="7CF7585A" w14:textId="77777777" w:rsidR="009010D9" w:rsidRPr="003D3BB3" w:rsidRDefault="009010D9" w:rsidP="00F25D82">
      <w:pPr>
        <w:pStyle w:val="Heading3COM"/>
        <w:outlineLvl w:val="3"/>
        <w:rPr>
          <w:noProof/>
        </w:rPr>
      </w:pPr>
      <w:bookmarkStart w:id="918" w:name="_Toc212426498"/>
      <w:bookmarkStart w:id="919" w:name="_Toc1170051280"/>
      <w:bookmarkStart w:id="920" w:name="_Toc230861589"/>
      <w:bookmarkStart w:id="921" w:name="_Toc232751211"/>
      <w:r w:rsidRPr="003D3BB3">
        <w:rPr>
          <w:noProof/>
        </w:rPr>
        <w:t>Summary</w:t>
      </w:r>
      <w:bookmarkEnd w:id="918"/>
      <w:bookmarkEnd w:id="919"/>
      <w:bookmarkEnd w:id="920"/>
      <w:bookmarkEnd w:id="921"/>
      <w:r w:rsidRPr="003D3BB3">
        <w:rPr>
          <w:noProof/>
        </w:rPr>
        <w:t xml:space="preserve"> </w:t>
      </w:r>
    </w:p>
    <w:p w14:paraId="38056071" w14:textId="77777777" w:rsidR="009010D9" w:rsidRPr="003D3BB3" w:rsidRDefault="009010D9">
      <w:pPr>
        <w:rPr>
          <w:noProof/>
        </w:rPr>
      </w:pPr>
      <w:r w:rsidRPr="003D3BB3">
        <w:rPr>
          <w:noProof/>
        </w:rPr>
        <w:t>A summary comparison of the measures is provided in the table below. Measures are rated as compared to the baseline of no non-permanent CCU accounting mechanism.</w:t>
      </w:r>
    </w:p>
    <w:p w14:paraId="4151B0AF" w14:textId="77777777" w:rsidR="009010D9" w:rsidRPr="00245BB8" w:rsidRDefault="009010D9" w:rsidP="00C92FA9">
      <w:pPr>
        <w:pStyle w:val="Tabletitle"/>
        <w:rPr>
          <w:noProof/>
        </w:rPr>
      </w:pPr>
      <w:bookmarkStart w:id="922" w:name="_Toc222740722"/>
      <w:bookmarkStart w:id="923" w:name="_Toc234435142"/>
      <w:r w:rsidRPr="003D3BB3">
        <w:rPr>
          <w:noProof/>
        </w:rPr>
        <w:t>Comparison of non-permanent CCU policy measures</w:t>
      </w:r>
      <w:bookmarkEnd w:id="922"/>
      <w:bookmarkEnd w:id="923"/>
    </w:p>
    <w:tbl>
      <w:tblPr>
        <w:tblStyle w:val="TableAnnex"/>
        <w:tblW w:w="935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A0" w:firstRow="1" w:lastRow="0" w:firstColumn="1" w:lastColumn="0" w:noHBand="1" w:noVBand="1"/>
      </w:tblPr>
      <w:tblGrid>
        <w:gridCol w:w="1536"/>
        <w:gridCol w:w="2145"/>
        <w:gridCol w:w="2748"/>
        <w:gridCol w:w="2922"/>
      </w:tblGrid>
      <w:tr w:rsidR="009010D9" w:rsidRPr="009D167A" w14:paraId="54C6583E" w14:textId="77777777" w:rsidTr="00250E95">
        <w:trPr>
          <w:cnfStyle w:val="100000000000" w:firstRow="1" w:lastRow="0" w:firstColumn="0" w:lastColumn="0" w:oddVBand="0" w:evenVBand="0" w:oddHBand="0" w:evenHBand="0" w:firstRowFirstColumn="0" w:firstRowLastColumn="0" w:lastRowFirstColumn="0" w:lastRowLastColumn="0"/>
          <w:cantSplit/>
          <w:trHeight w:val="20"/>
        </w:trPr>
        <w:tc>
          <w:tcPr>
            <w:tcW w:w="1536" w:type="dxa"/>
          </w:tcPr>
          <w:p w14:paraId="75F3F70C" w14:textId="77777777" w:rsidR="009010D9" w:rsidRPr="009D167A" w:rsidRDefault="009010D9">
            <w:pPr>
              <w:pStyle w:val="adeStandardohneAbstand"/>
              <w:spacing w:before="0" w:line="240" w:lineRule="auto"/>
              <w:rPr>
                <w:rFonts w:ascii="Times New Roman" w:hAnsi="Times New Roman"/>
                <w:noProof/>
                <w:sz w:val="22"/>
                <w:szCs w:val="22"/>
              </w:rPr>
            </w:pPr>
            <w:r w:rsidRPr="009D167A">
              <w:rPr>
                <w:rFonts w:ascii="Times New Roman" w:hAnsi="Times New Roman"/>
                <w:noProof/>
                <w:sz w:val="22"/>
                <w:szCs w:val="22"/>
              </w:rPr>
              <w:t>Criterion</w:t>
            </w:r>
          </w:p>
        </w:tc>
        <w:tc>
          <w:tcPr>
            <w:tcW w:w="2145" w:type="dxa"/>
          </w:tcPr>
          <w:p w14:paraId="2B598085" w14:textId="77777777" w:rsidR="009010D9" w:rsidRPr="009D167A" w:rsidRDefault="009010D9">
            <w:pPr>
              <w:pStyle w:val="adeStandardohneAbstand"/>
              <w:spacing w:before="0" w:line="240" w:lineRule="auto"/>
              <w:rPr>
                <w:rFonts w:ascii="Times New Roman" w:hAnsi="Times New Roman"/>
                <w:noProof/>
                <w:sz w:val="22"/>
                <w:szCs w:val="22"/>
              </w:rPr>
            </w:pPr>
            <w:r w:rsidRPr="009D167A">
              <w:rPr>
                <w:rFonts w:ascii="Times New Roman" w:hAnsi="Times New Roman"/>
                <w:noProof/>
                <w:sz w:val="22"/>
                <w:szCs w:val="22"/>
              </w:rPr>
              <w:t>CCU1 (‘Upstream accounting)</w:t>
            </w:r>
          </w:p>
        </w:tc>
        <w:tc>
          <w:tcPr>
            <w:tcW w:w="2748" w:type="dxa"/>
          </w:tcPr>
          <w:p w14:paraId="23A43D38" w14:textId="77777777" w:rsidR="009010D9" w:rsidRPr="009D167A" w:rsidRDefault="009010D9">
            <w:pPr>
              <w:pStyle w:val="adeStandardohneAbstand"/>
              <w:spacing w:before="0" w:line="240" w:lineRule="auto"/>
              <w:rPr>
                <w:rFonts w:ascii="Times New Roman" w:hAnsi="Times New Roman"/>
                <w:noProof/>
                <w:sz w:val="22"/>
                <w:szCs w:val="22"/>
              </w:rPr>
            </w:pPr>
            <w:r w:rsidRPr="009D167A">
              <w:rPr>
                <w:rFonts w:ascii="Times New Roman" w:hAnsi="Times New Roman"/>
                <w:noProof/>
                <w:sz w:val="22"/>
                <w:szCs w:val="22"/>
              </w:rPr>
              <w:t>CCU2 (‘Downstream accounting)</w:t>
            </w:r>
          </w:p>
        </w:tc>
        <w:tc>
          <w:tcPr>
            <w:tcW w:w="2922" w:type="dxa"/>
          </w:tcPr>
          <w:p w14:paraId="6ECD4B15" w14:textId="77777777" w:rsidR="009010D9" w:rsidRPr="009D167A" w:rsidRDefault="009010D9">
            <w:pPr>
              <w:pStyle w:val="adeStandardohneAbstand"/>
              <w:spacing w:before="0" w:line="240" w:lineRule="auto"/>
              <w:rPr>
                <w:rFonts w:ascii="Times New Roman" w:hAnsi="Times New Roman"/>
                <w:noProof/>
                <w:sz w:val="22"/>
                <w:szCs w:val="22"/>
              </w:rPr>
            </w:pPr>
            <w:r w:rsidRPr="009D167A">
              <w:rPr>
                <w:rFonts w:ascii="Times New Roman" w:hAnsi="Times New Roman"/>
                <w:noProof/>
                <w:sz w:val="22"/>
                <w:szCs w:val="22"/>
              </w:rPr>
              <w:t>CCU3 (‘Midstream accounting)</w:t>
            </w:r>
          </w:p>
        </w:tc>
      </w:tr>
      <w:tr w:rsidR="009010D9" w:rsidRPr="009D167A" w14:paraId="4B05D0BD" w14:textId="77777777" w:rsidTr="00250E95">
        <w:trPr>
          <w:cantSplit/>
          <w:trHeight w:val="20"/>
        </w:trPr>
        <w:tc>
          <w:tcPr>
            <w:tcW w:w="1536" w:type="dxa"/>
          </w:tcPr>
          <w:p w14:paraId="583426DA" w14:textId="77777777" w:rsidR="009010D9" w:rsidRPr="009D167A" w:rsidRDefault="009010D9">
            <w:pPr>
              <w:spacing w:before="0"/>
              <w:rPr>
                <w:noProof/>
                <w:sz w:val="22"/>
                <w:szCs w:val="22"/>
              </w:rPr>
            </w:pPr>
            <w:r w:rsidRPr="009D167A">
              <w:rPr>
                <w:noProof/>
                <w:sz w:val="22"/>
                <w:szCs w:val="22"/>
              </w:rPr>
              <w:t xml:space="preserve">Economic / Conduct of business </w:t>
            </w:r>
          </w:p>
          <w:p w14:paraId="63C35B59" w14:textId="77777777" w:rsidR="009010D9" w:rsidRPr="009D167A" w:rsidRDefault="009010D9">
            <w:pPr>
              <w:spacing w:before="0"/>
              <w:rPr>
                <w:noProof/>
                <w:sz w:val="22"/>
                <w:szCs w:val="22"/>
              </w:rPr>
            </w:pPr>
            <w:r w:rsidRPr="009D167A">
              <w:rPr>
                <w:noProof/>
                <w:sz w:val="22"/>
                <w:szCs w:val="22"/>
              </w:rPr>
              <w:br/>
            </w:r>
          </w:p>
          <w:p w14:paraId="58946396" w14:textId="77777777" w:rsidR="009010D9" w:rsidRPr="009D167A" w:rsidRDefault="009010D9">
            <w:pPr>
              <w:spacing w:before="0"/>
              <w:rPr>
                <w:noProof/>
                <w:sz w:val="22"/>
                <w:szCs w:val="22"/>
              </w:rPr>
            </w:pPr>
          </w:p>
        </w:tc>
        <w:tc>
          <w:tcPr>
            <w:tcW w:w="2145" w:type="dxa"/>
          </w:tcPr>
          <w:p w14:paraId="4FBD4DCE" w14:textId="77777777" w:rsidR="009010D9" w:rsidRPr="009D167A" w:rsidRDefault="009010D9">
            <w:pPr>
              <w:spacing w:before="0"/>
              <w:rPr>
                <w:noProof/>
                <w:sz w:val="22"/>
                <w:szCs w:val="22"/>
              </w:rPr>
            </w:pPr>
            <w:r w:rsidRPr="009D167A">
              <w:rPr>
                <w:noProof/>
                <w:sz w:val="22"/>
                <w:szCs w:val="22"/>
              </w:rPr>
              <w:t>-/+</w:t>
            </w:r>
          </w:p>
          <w:p w14:paraId="2C5EA949" w14:textId="77777777" w:rsidR="009010D9" w:rsidRPr="009D167A" w:rsidRDefault="009010D9">
            <w:pPr>
              <w:spacing w:before="0"/>
              <w:rPr>
                <w:noProof/>
                <w:sz w:val="22"/>
                <w:szCs w:val="22"/>
                <w:highlight w:val="yellow"/>
              </w:rPr>
            </w:pPr>
            <w:r w:rsidRPr="009D167A">
              <w:rPr>
                <w:noProof/>
                <w:sz w:val="22"/>
                <w:szCs w:val="22"/>
              </w:rPr>
              <w:t>Places non-permanent CCU applications that use recycled CO</w:t>
            </w:r>
            <w:r w:rsidRPr="009D167A">
              <w:rPr>
                <w:noProof/>
                <w:sz w:val="22"/>
                <w:szCs w:val="22"/>
                <w:vertAlign w:val="subscript"/>
              </w:rPr>
              <w:t>2</w:t>
            </w:r>
            <w:r w:rsidRPr="009D167A">
              <w:rPr>
                <w:noProof/>
                <w:sz w:val="22"/>
                <w:szCs w:val="22"/>
              </w:rPr>
              <w:t xml:space="preserve"> at a competitive disadvantage with the traditional fossil based equivalent products</w:t>
            </w:r>
            <w:r w:rsidRPr="009D167A">
              <w:rPr>
                <w:noProof/>
                <w:sz w:val="22"/>
                <w:szCs w:val="22"/>
                <w:vertAlign w:val="subscript"/>
              </w:rPr>
              <w:t>.</w:t>
            </w:r>
          </w:p>
        </w:tc>
        <w:tc>
          <w:tcPr>
            <w:tcW w:w="2748" w:type="dxa"/>
          </w:tcPr>
          <w:p w14:paraId="46911A01" w14:textId="77777777" w:rsidR="009010D9" w:rsidRPr="009D167A" w:rsidRDefault="009010D9">
            <w:pPr>
              <w:spacing w:before="0"/>
              <w:rPr>
                <w:noProof/>
                <w:sz w:val="22"/>
                <w:szCs w:val="22"/>
              </w:rPr>
            </w:pPr>
            <w:r w:rsidRPr="009D167A">
              <w:rPr>
                <w:noProof/>
                <w:sz w:val="22"/>
                <w:szCs w:val="22"/>
              </w:rPr>
              <w:t>-/+</w:t>
            </w:r>
          </w:p>
          <w:p w14:paraId="479F72F4" w14:textId="77777777" w:rsidR="009010D9" w:rsidRPr="009D167A" w:rsidRDefault="009010D9">
            <w:pPr>
              <w:spacing w:before="0"/>
              <w:rPr>
                <w:noProof/>
                <w:sz w:val="22"/>
                <w:szCs w:val="22"/>
              </w:rPr>
            </w:pPr>
            <w:r w:rsidRPr="009D167A">
              <w:rPr>
                <w:noProof/>
                <w:sz w:val="22"/>
                <w:szCs w:val="22"/>
              </w:rPr>
              <w:t>Incentivises capture of CO</w:t>
            </w:r>
            <w:r w:rsidRPr="009D167A">
              <w:rPr>
                <w:noProof/>
                <w:sz w:val="22"/>
                <w:szCs w:val="22"/>
                <w:vertAlign w:val="subscript"/>
              </w:rPr>
              <w:t xml:space="preserve">2 </w:t>
            </w:r>
            <w:r w:rsidRPr="009D167A">
              <w:rPr>
                <w:noProof/>
                <w:sz w:val="22"/>
                <w:szCs w:val="22"/>
              </w:rPr>
              <w:t>and provides the flexibility for operators to decide whether CO</w:t>
            </w:r>
            <w:r w:rsidRPr="009D167A">
              <w:rPr>
                <w:noProof/>
                <w:sz w:val="22"/>
                <w:szCs w:val="22"/>
                <w:vertAlign w:val="subscript"/>
              </w:rPr>
              <w:t xml:space="preserve">2 </w:t>
            </w:r>
            <w:r w:rsidRPr="009D167A">
              <w:rPr>
                <w:noProof/>
                <w:sz w:val="22"/>
                <w:szCs w:val="22"/>
              </w:rPr>
              <w:t>should be stored or utilised in different applications.</w:t>
            </w:r>
          </w:p>
          <w:p w14:paraId="4B09C545" w14:textId="77777777" w:rsidR="009010D9" w:rsidRPr="009D167A" w:rsidRDefault="009010D9">
            <w:pPr>
              <w:spacing w:before="0"/>
              <w:rPr>
                <w:noProof/>
                <w:sz w:val="22"/>
                <w:szCs w:val="22"/>
              </w:rPr>
            </w:pPr>
          </w:p>
          <w:p w14:paraId="50E1BE9C" w14:textId="77777777" w:rsidR="009010D9" w:rsidRPr="009D167A" w:rsidRDefault="009010D9">
            <w:pPr>
              <w:spacing w:before="0"/>
              <w:rPr>
                <w:noProof/>
                <w:sz w:val="22"/>
                <w:szCs w:val="22"/>
                <w:highlight w:val="yellow"/>
              </w:rPr>
            </w:pPr>
            <w:r w:rsidRPr="009D167A">
              <w:rPr>
                <w:noProof/>
                <w:sz w:val="22"/>
                <w:szCs w:val="22"/>
              </w:rPr>
              <w:t>Shifts the burden of accounting and pricing to the final emitter, disincentivized production of producing CO</w:t>
            </w:r>
            <w:r w:rsidRPr="009D167A">
              <w:rPr>
                <w:noProof/>
                <w:sz w:val="22"/>
                <w:szCs w:val="22"/>
                <w:vertAlign w:val="subscript"/>
              </w:rPr>
              <w:t>2</w:t>
            </w:r>
            <w:r w:rsidRPr="009D167A">
              <w:rPr>
                <w:noProof/>
                <w:sz w:val="22"/>
                <w:szCs w:val="22"/>
              </w:rPr>
              <w:t xml:space="preserve"> feedstocks for e-fuels fuels, a key non-permanent CCU application.</w:t>
            </w:r>
          </w:p>
        </w:tc>
        <w:tc>
          <w:tcPr>
            <w:tcW w:w="2922" w:type="dxa"/>
          </w:tcPr>
          <w:p w14:paraId="7F5A38A4" w14:textId="77777777" w:rsidR="009010D9" w:rsidRPr="009D167A" w:rsidRDefault="009010D9">
            <w:pPr>
              <w:spacing w:before="0"/>
              <w:rPr>
                <w:noProof/>
                <w:sz w:val="22"/>
                <w:szCs w:val="22"/>
              </w:rPr>
            </w:pPr>
            <w:r w:rsidRPr="009D167A">
              <w:rPr>
                <w:noProof/>
                <w:sz w:val="22"/>
                <w:szCs w:val="22"/>
              </w:rPr>
              <w:t>+/++</w:t>
            </w:r>
          </w:p>
          <w:p w14:paraId="433BE0D7" w14:textId="77777777" w:rsidR="009010D9" w:rsidRPr="009D167A" w:rsidRDefault="009010D9">
            <w:pPr>
              <w:spacing w:before="0"/>
              <w:rPr>
                <w:noProof/>
                <w:sz w:val="22"/>
                <w:szCs w:val="22"/>
              </w:rPr>
            </w:pPr>
            <w:r w:rsidRPr="009D167A">
              <w:rPr>
                <w:noProof/>
                <w:sz w:val="22"/>
                <w:szCs w:val="22"/>
              </w:rPr>
              <w:t>Incentivises capture and use of CO</w:t>
            </w:r>
            <w:r w:rsidRPr="009D167A">
              <w:rPr>
                <w:noProof/>
                <w:sz w:val="22"/>
                <w:szCs w:val="22"/>
                <w:vertAlign w:val="subscript"/>
              </w:rPr>
              <w:t xml:space="preserve">2 </w:t>
            </w:r>
            <w:r w:rsidRPr="009D167A">
              <w:rPr>
                <w:noProof/>
                <w:sz w:val="22"/>
                <w:szCs w:val="22"/>
              </w:rPr>
              <w:t>and provides the flexibility for operators to decide whether CO</w:t>
            </w:r>
            <w:r w:rsidRPr="009D167A">
              <w:rPr>
                <w:noProof/>
                <w:sz w:val="22"/>
                <w:szCs w:val="22"/>
                <w:vertAlign w:val="subscript"/>
              </w:rPr>
              <w:t xml:space="preserve">2 </w:t>
            </w:r>
            <w:r w:rsidRPr="009D167A">
              <w:rPr>
                <w:noProof/>
                <w:sz w:val="22"/>
                <w:szCs w:val="22"/>
              </w:rPr>
              <w:t xml:space="preserve">should be stored or utilised in different applications, including both e-fuels and chemicals. </w:t>
            </w:r>
          </w:p>
          <w:p w14:paraId="6B2D7C48" w14:textId="77777777" w:rsidR="009010D9" w:rsidRPr="009D167A" w:rsidRDefault="009010D9">
            <w:pPr>
              <w:spacing w:before="0"/>
              <w:rPr>
                <w:noProof/>
                <w:sz w:val="22"/>
                <w:szCs w:val="22"/>
                <w:highlight w:val="yellow"/>
              </w:rPr>
            </w:pPr>
          </w:p>
        </w:tc>
      </w:tr>
      <w:tr w:rsidR="009010D9" w:rsidRPr="009D167A" w14:paraId="778239CD" w14:textId="77777777" w:rsidTr="00250E95">
        <w:trPr>
          <w:cantSplit/>
          <w:trHeight w:val="20"/>
        </w:trPr>
        <w:tc>
          <w:tcPr>
            <w:tcW w:w="1536" w:type="dxa"/>
          </w:tcPr>
          <w:p w14:paraId="3925C2CB" w14:textId="77777777" w:rsidR="009010D9" w:rsidRPr="009D167A" w:rsidRDefault="009010D9">
            <w:pPr>
              <w:spacing w:before="0"/>
              <w:rPr>
                <w:noProof/>
                <w:sz w:val="22"/>
                <w:szCs w:val="22"/>
              </w:rPr>
            </w:pPr>
            <w:r w:rsidRPr="009D167A">
              <w:rPr>
                <w:noProof/>
                <w:sz w:val="22"/>
                <w:szCs w:val="22"/>
              </w:rPr>
              <w:t xml:space="preserve">Economic / Conduct of business </w:t>
            </w:r>
          </w:p>
          <w:p w14:paraId="78AEC14E" w14:textId="77777777" w:rsidR="009010D9" w:rsidRPr="009D167A" w:rsidRDefault="009010D9">
            <w:pPr>
              <w:spacing w:before="0"/>
              <w:rPr>
                <w:noProof/>
                <w:sz w:val="22"/>
                <w:szCs w:val="22"/>
              </w:rPr>
            </w:pPr>
          </w:p>
          <w:p w14:paraId="633ACC30" w14:textId="77777777" w:rsidR="009010D9" w:rsidRPr="009D167A" w:rsidRDefault="009010D9">
            <w:pPr>
              <w:spacing w:before="0"/>
              <w:rPr>
                <w:noProof/>
                <w:sz w:val="22"/>
                <w:szCs w:val="22"/>
              </w:rPr>
            </w:pPr>
            <w:r w:rsidRPr="009D167A">
              <w:rPr>
                <w:noProof/>
                <w:sz w:val="22"/>
                <w:szCs w:val="22"/>
              </w:rPr>
              <w:t>Double counting</w:t>
            </w:r>
          </w:p>
        </w:tc>
        <w:tc>
          <w:tcPr>
            <w:tcW w:w="2145" w:type="dxa"/>
          </w:tcPr>
          <w:p w14:paraId="61B83B35" w14:textId="77777777" w:rsidR="009010D9" w:rsidRPr="009D167A" w:rsidRDefault="009010D9">
            <w:pPr>
              <w:spacing w:before="0"/>
              <w:rPr>
                <w:noProof/>
                <w:sz w:val="22"/>
                <w:szCs w:val="22"/>
              </w:rPr>
            </w:pPr>
            <w:r w:rsidRPr="009D167A">
              <w:rPr>
                <w:noProof/>
                <w:sz w:val="22"/>
                <w:szCs w:val="22"/>
              </w:rPr>
              <w:t xml:space="preserve">- </w:t>
            </w:r>
          </w:p>
          <w:p w14:paraId="73C43E10" w14:textId="77777777" w:rsidR="009010D9" w:rsidRPr="009D167A" w:rsidRDefault="009010D9">
            <w:pPr>
              <w:spacing w:before="0"/>
              <w:rPr>
                <w:noProof/>
                <w:sz w:val="22"/>
                <w:szCs w:val="22"/>
                <w:highlight w:val="yellow"/>
              </w:rPr>
            </w:pPr>
          </w:p>
          <w:p w14:paraId="4A8DD589" w14:textId="77777777" w:rsidR="009010D9" w:rsidRPr="009D167A" w:rsidRDefault="009010D9">
            <w:pPr>
              <w:spacing w:before="0"/>
              <w:rPr>
                <w:noProof/>
                <w:sz w:val="22"/>
                <w:szCs w:val="22"/>
              </w:rPr>
            </w:pPr>
            <w:r w:rsidRPr="009D167A">
              <w:rPr>
                <w:noProof/>
                <w:sz w:val="22"/>
                <w:szCs w:val="22"/>
              </w:rPr>
              <w:t>With integration of MWI emissions can be double counted, accounted for and priced both upstream at capture and downstream at MWI.</w:t>
            </w:r>
          </w:p>
        </w:tc>
        <w:tc>
          <w:tcPr>
            <w:tcW w:w="2748" w:type="dxa"/>
          </w:tcPr>
          <w:p w14:paraId="3E45CE00" w14:textId="77777777" w:rsidR="009010D9" w:rsidRPr="009D167A" w:rsidRDefault="009010D9">
            <w:pPr>
              <w:spacing w:before="0"/>
              <w:rPr>
                <w:noProof/>
                <w:sz w:val="22"/>
                <w:szCs w:val="22"/>
              </w:rPr>
            </w:pPr>
            <w:r w:rsidRPr="009D167A">
              <w:rPr>
                <w:noProof/>
                <w:sz w:val="22"/>
                <w:szCs w:val="22"/>
              </w:rPr>
              <w:t>+</w:t>
            </w:r>
          </w:p>
          <w:p w14:paraId="16FC98B0" w14:textId="77777777" w:rsidR="009010D9" w:rsidRPr="009D167A" w:rsidRDefault="009010D9">
            <w:pPr>
              <w:spacing w:before="0"/>
              <w:rPr>
                <w:noProof/>
                <w:sz w:val="22"/>
                <w:szCs w:val="22"/>
                <w:highlight w:val="yellow"/>
              </w:rPr>
            </w:pPr>
          </w:p>
          <w:p w14:paraId="737A64BC" w14:textId="77777777" w:rsidR="009010D9" w:rsidRPr="009D167A" w:rsidRDefault="009010D9">
            <w:pPr>
              <w:spacing w:before="0"/>
              <w:rPr>
                <w:noProof/>
                <w:sz w:val="22"/>
                <w:szCs w:val="22"/>
              </w:rPr>
            </w:pPr>
            <w:r w:rsidRPr="009D167A">
              <w:rPr>
                <w:noProof/>
                <w:sz w:val="22"/>
                <w:szCs w:val="22"/>
              </w:rPr>
              <w:t>Lowers risk of double counting, as emissions accounted for at final emitter stage</w:t>
            </w:r>
          </w:p>
          <w:p w14:paraId="39778778" w14:textId="77777777" w:rsidR="009010D9" w:rsidRPr="009D167A" w:rsidRDefault="009010D9">
            <w:pPr>
              <w:spacing w:before="0"/>
              <w:rPr>
                <w:noProof/>
                <w:sz w:val="22"/>
                <w:szCs w:val="22"/>
              </w:rPr>
            </w:pPr>
            <w:r w:rsidRPr="009D167A">
              <w:rPr>
                <w:noProof/>
                <w:sz w:val="22"/>
                <w:szCs w:val="22"/>
              </w:rPr>
              <w:t>Does not offer an accounting approach that aligns with e-fuels produced from CO</w:t>
            </w:r>
            <w:r w:rsidRPr="009D167A">
              <w:rPr>
                <w:noProof/>
                <w:sz w:val="22"/>
                <w:szCs w:val="22"/>
                <w:vertAlign w:val="subscript"/>
              </w:rPr>
              <w:t>2</w:t>
            </w:r>
            <w:r w:rsidRPr="009D167A">
              <w:rPr>
                <w:noProof/>
                <w:sz w:val="22"/>
                <w:szCs w:val="22"/>
              </w:rPr>
              <w:t xml:space="preserve"> </w:t>
            </w:r>
          </w:p>
        </w:tc>
        <w:tc>
          <w:tcPr>
            <w:tcW w:w="2922" w:type="dxa"/>
          </w:tcPr>
          <w:p w14:paraId="3994D425" w14:textId="77777777" w:rsidR="009010D9" w:rsidRPr="009D167A" w:rsidRDefault="009010D9">
            <w:pPr>
              <w:spacing w:before="0"/>
              <w:rPr>
                <w:noProof/>
                <w:sz w:val="22"/>
                <w:szCs w:val="22"/>
              </w:rPr>
            </w:pPr>
            <w:r w:rsidRPr="009D167A">
              <w:rPr>
                <w:noProof/>
                <w:sz w:val="22"/>
                <w:szCs w:val="22"/>
              </w:rPr>
              <w:t>+</w:t>
            </w:r>
          </w:p>
          <w:p w14:paraId="1D9B6935" w14:textId="77777777" w:rsidR="009010D9" w:rsidRPr="009D167A" w:rsidRDefault="009010D9">
            <w:pPr>
              <w:spacing w:before="0"/>
              <w:rPr>
                <w:noProof/>
                <w:sz w:val="22"/>
                <w:szCs w:val="22"/>
                <w:highlight w:val="yellow"/>
              </w:rPr>
            </w:pPr>
          </w:p>
          <w:p w14:paraId="6E1FE0F4" w14:textId="77777777" w:rsidR="009010D9" w:rsidRPr="009D167A" w:rsidRDefault="009010D9">
            <w:pPr>
              <w:spacing w:before="0"/>
              <w:rPr>
                <w:noProof/>
                <w:sz w:val="22"/>
                <w:szCs w:val="22"/>
              </w:rPr>
            </w:pPr>
            <w:r w:rsidRPr="009D167A">
              <w:rPr>
                <w:noProof/>
                <w:sz w:val="22"/>
                <w:szCs w:val="22"/>
              </w:rPr>
              <w:t>Lowers risk of double counting, as emissions accounted for at final emitter stage</w:t>
            </w:r>
          </w:p>
          <w:p w14:paraId="5805F483" w14:textId="77777777" w:rsidR="009010D9" w:rsidRPr="009D167A" w:rsidRDefault="009010D9">
            <w:pPr>
              <w:spacing w:before="0"/>
              <w:rPr>
                <w:noProof/>
                <w:sz w:val="22"/>
                <w:szCs w:val="22"/>
              </w:rPr>
            </w:pPr>
            <w:r w:rsidRPr="009D167A">
              <w:rPr>
                <w:noProof/>
                <w:sz w:val="22"/>
                <w:szCs w:val="22"/>
              </w:rPr>
              <w:t>Combination of zero rating of e-fuels and downstream accounting allows for accounting approach conducive with all non-permanent CCU products</w:t>
            </w:r>
          </w:p>
        </w:tc>
      </w:tr>
      <w:tr w:rsidR="009010D9" w:rsidRPr="009D167A" w14:paraId="28B84406" w14:textId="77777777" w:rsidTr="00250E95">
        <w:trPr>
          <w:cantSplit/>
          <w:trHeight w:val="20"/>
        </w:trPr>
        <w:tc>
          <w:tcPr>
            <w:tcW w:w="1536" w:type="dxa"/>
          </w:tcPr>
          <w:p w14:paraId="59F0631C" w14:textId="77777777" w:rsidR="009010D9" w:rsidRPr="009D167A" w:rsidRDefault="009010D9">
            <w:pPr>
              <w:spacing w:before="0"/>
              <w:rPr>
                <w:noProof/>
                <w:sz w:val="22"/>
                <w:szCs w:val="22"/>
              </w:rPr>
            </w:pPr>
            <w:r w:rsidRPr="009D167A">
              <w:rPr>
                <w:noProof/>
                <w:sz w:val="22"/>
                <w:szCs w:val="22"/>
              </w:rPr>
              <w:t>Economic /</w:t>
            </w:r>
          </w:p>
          <w:p w14:paraId="761709E7" w14:textId="77777777" w:rsidR="009010D9" w:rsidRPr="009D167A" w:rsidRDefault="009010D9">
            <w:pPr>
              <w:spacing w:before="0"/>
              <w:rPr>
                <w:noProof/>
                <w:sz w:val="22"/>
                <w:szCs w:val="22"/>
              </w:rPr>
            </w:pPr>
            <w:r w:rsidRPr="009D167A">
              <w:rPr>
                <w:noProof/>
                <w:sz w:val="22"/>
                <w:szCs w:val="22"/>
              </w:rPr>
              <w:t>Administrative costs on business</w:t>
            </w:r>
          </w:p>
        </w:tc>
        <w:tc>
          <w:tcPr>
            <w:tcW w:w="2145" w:type="dxa"/>
          </w:tcPr>
          <w:p w14:paraId="6CE3CFDC" w14:textId="77777777" w:rsidR="009010D9" w:rsidRPr="009D167A" w:rsidRDefault="009010D9">
            <w:pPr>
              <w:spacing w:before="0"/>
              <w:rPr>
                <w:noProof/>
                <w:sz w:val="22"/>
                <w:szCs w:val="22"/>
              </w:rPr>
            </w:pPr>
            <w:r w:rsidRPr="009D167A">
              <w:rPr>
                <w:noProof/>
                <w:sz w:val="22"/>
                <w:szCs w:val="22"/>
              </w:rPr>
              <w:t>-/+</w:t>
            </w:r>
          </w:p>
          <w:p w14:paraId="7AAA2F51" w14:textId="77777777" w:rsidR="009010D9" w:rsidRPr="009D167A" w:rsidRDefault="009010D9">
            <w:pPr>
              <w:spacing w:before="0"/>
              <w:rPr>
                <w:noProof/>
                <w:sz w:val="22"/>
                <w:szCs w:val="22"/>
              </w:rPr>
            </w:pPr>
          </w:p>
          <w:p w14:paraId="6DE63521" w14:textId="77777777" w:rsidR="009010D9" w:rsidRPr="009D167A" w:rsidRDefault="009010D9">
            <w:pPr>
              <w:spacing w:before="0"/>
              <w:rPr>
                <w:noProof/>
                <w:sz w:val="22"/>
                <w:szCs w:val="22"/>
              </w:rPr>
            </w:pPr>
            <w:r w:rsidRPr="009D167A">
              <w:rPr>
                <w:noProof/>
                <w:sz w:val="22"/>
                <w:szCs w:val="22"/>
              </w:rPr>
              <w:t>Most straight forward accounting approach.</w:t>
            </w:r>
          </w:p>
          <w:p w14:paraId="339112D3" w14:textId="77777777" w:rsidR="009010D9" w:rsidRPr="009D167A" w:rsidRDefault="009010D9">
            <w:pPr>
              <w:spacing w:before="0"/>
              <w:rPr>
                <w:noProof/>
                <w:sz w:val="22"/>
                <w:szCs w:val="22"/>
              </w:rPr>
            </w:pPr>
            <w:r w:rsidRPr="009D167A">
              <w:rPr>
                <w:noProof/>
                <w:sz w:val="22"/>
                <w:szCs w:val="22"/>
              </w:rPr>
              <w:t>Requires additional mechanisms to account for double pricing and leakage from the EU ETS system.</w:t>
            </w:r>
          </w:p>
        </w:tc>
        <w:tc>
          <w:tcPr>
            <w:tcW w:w="2748" w:type="dxa"/>
          </w:tcPr>
          <w:p w14:paraId="5F8BE86A" w14:textId="77777777" w:rsidR="009010D9" w:rsidRPr="009D167A" w:rsidRDefault="009010D9">
            <w:pPr>
              <w:spacing w:before="0"/>
              <w:rPr>
                <w:noProof/>
                <w:sz w:val="22"/>
                <w:szCs w:val="22"/>
              </w:rPr>
            </w:pPr>
            <w:r w:rsidRPr="009D167A">
              <w:rPr>
                <w:noProof/>
                <w:sz w:val="22"/>
                <w:szCs w:val="22"/>
              </w:rPr>
              <w:t>-/+</w:t>
            </w:r>
          </w:p>
          <w:p w14:paraId="15601A74" w14:textId="77777777" w:rsidR="009010D9" w:rsidRPr="009D167A" w:rsidRDefault="009010D9">
            <w:pPr>
              <w:spacing w:before="0"/>
              <w:rPr>
                <w:noProof/>
                <w:sz w:val="22"/>
                <w:szCs w:val="22"/>
              </w:rPr>
            </w:pPr>
          </w:p>
          <w:p w14:paraId="22E395DB" w14:textId="77777777" w:rsidR="009010D9" w:rsidRPr="009D167A" w:rsidRDefault="009010D9">
            <w:pPr>
              <w:spacing w:before="0"/>
              <w:rPr>
                <w:noProof/>
                <w:sz w:val="22"/>
                <w:szCs w:val="22"/>
              </w:rPr>
            </w:pPr>
            <w:r w:rsidRPr="009D167A">
              <w:rPr>
                <w:noProof/>
                <w:sz w:val="22"/>
                <w:szCs w:val="22"/>
              </w:rPr>
              <w:t>If waste incineration is integrated into the EU ETS, downstream accounting has limited additional administrative burdens.</w:t>
            </w:r>
          </w:p>
          <w:p w14:paraId="0FF8B180" w14:textId="77777777" w:rsidR="009010D9" w:rsidRPr="009D167A" w:rsidRDefault="009010D9">
            <w:pPr>
              <w:spacing w:before="0"/>
              <w:rPr>
                <w:noProof/>
                <w:sz w:val="22"/>
                <w:szCs w:val="22"/>
              </w:rPr>
            </w:pPr>
            <w:r w:rsidRPr="009D167A">
              <w:rPr>
                <w:noProof/>
                <w:sz w:val="22"/>
                <w:szCs w:val="22"/>
              </w:rPr>
              <w:t>Requires additional mechanism to identify and providing systems to avoid loopholes.</w:t>
            </w:r>
          </w:p>
        </w:tc>
        <w:tc>
          <w:tcPr>
            <w:tcW w:w="2922" w:type="dxa"/>
          </w:tcPr>
          <w:p w14:paraId="52BE4527" w14:textId="77777777" w:rsidR="009010D9" w:rsidRPr="009D167A" w:rsidRDefault="009010D9">
            <w:pPr>
              <w:spacing w:before="0"/>
              <w:rPr>
                <w:noProof/>
                <w:sz w:val="22"/>
                <w:szCs w:val="22"/>
              </w:rPr>
            </w:pPr>
            <w:r w:rsidRPr="009D167A">
              <w:rPr>
                <w:noProof/>
                <w:sz w:val="22"/>
                <w:szCs w:val="22"/>
              </w:rPr>
              <w:t>-/+</w:t>
            </w:r>
          </w:p>
          <w:p w14:paraId="686FD836" w14:textId="77777777" w:rsidR="009010D9" w:rsidRPr="009D167A" w:rsidRDefault="009010D9">
            <w:pPr>
              <w:spacing w:before="0"/>
              <w:rPr>
                <w:noProof/>
                <w:sz w:val="22"/>
                <w:szCs w:val="22"/>
              </w:rPr>
            </w:pPr>
          </w:p>
          <w:p w14:paraId="25C670CD" w14:textId="77777777" w:rsidR="009010D9" w:rsidRPr="009D167A" w:rsidRDefault="009010D9">
            <w:pPr>
              <w:spacing w:before="0"/>
              <w:rPr>
                <w:noProof/>
                <w:sz w:val="22"/>
                <w:szCs w:val="22"/>
              </w:rPr>
            </w:pPr>
            <w:r w:rsidRPr="009D167A">
              <w:rPr>
                <w:noProof/>
                <w:sz w:val="22"/>
                <w:szCs w:val="22"/>
              </w:rPr>
              <w:t>Maintains limited additional administrative burden of downstream accounting.</w:t>
            </w:r>
          </w:p>
          <w:p w14:paraId="48E23280" w14:textId="77777777" w:rsidR="009010D9" w:rsidRPr="009D167A" w:rsidRDefault="009010D9">
            <w:pPr>
              <w:spacing w:before="0"/>
              <w:rPr>
                <w:noProof/>
                <w:sz w:val="22"/>
                <w:szCs w:val="22"/>
              </w:rPr>
            </w:pPr>
            <w:r w:rsidRPr="009D167A">
              <w:rPr>
                <w:noProof/>
                <w:sz w:val="22"/>
                <w:szCs w:val="22"/>
              </w:rPr>
              <w:t>Fuel supplier or distributor may face increased costs to meet compliance demands but could be offset by discounted CO</w:t>
            </w:r>
            <w:r w:rsidRPr="009D167A">
              <w:rPr>
                <w:noProof/>
                <w:sz w:val="22"/>
                <w:szCs w:val="22"/>
                <w:vertAlign w:val="subscript"/>
              </w:rPr>
              <w:t xml:space="preserve">2 </w:t>
            </w:r>
            <w:r w:rsidRPr="009D167A">
              <w:rPr>
                <w:noProof/>
                <w:sz w:val="22"/>
                <w:szCs w:val="22"/>
              </w:rPr>
              <w:t>purchase costs.</w:t>
            </w:r>
          </w:p>
        </w:tc>
      </w:tr>
      <w:tr w:rsidR="009010D9" w:rsidRPr="009D167A" w14:paraId="10ACFF74" w14:textId="77777777" w:rsidTr="00250E95">
        <w:trPr>
          <w:cantSplit/>
          <w:trHeight w:val="20"/>
        </w:trPr>
        <w:tc>
          <w:tcPr>
            <w:tcW w:w="1536" w:type="dxa"/>
          </w:tcPr>
          <w:p w14:paraId="401666C2" w14:textId="77777777" w:rsidR="009010D9" w:rsidRPr="009D167A" w:rsidRDefault="009010D9">
            <w:pPr>
              <w:spacing w:before="0"/>
              <w:rPr>
                <w:noProof/>
                <w:sz w:val="22"/>
                <w:szCs w:val="22"/>
              </w:rPr>
            </w:pPr>
            <w:r w:rsidRPr="009D167A">
              <w:rPr>
                <w:noProof/>
                <w:sz w:val="22"/>
                <w:szCs w:val="22"/>
              </w:rPr>
              <w:t>Environmental / Climate</w:t>
            </w:r>
          </w:p>
          <w:p w14:paraId="3670EC61" w14:textId="77777777" w:rsidR="009010D9" w:rsidRPr="009D167A" w:rsidRDefault="009010D9">
            <w:pPr>
              <w:spacing w:before="0"/>
              <w:rPr>
                <w:noProof/>
                <w:sz w:val="22"/>
                <w:szCs w:val="22"/>
              </w:rPr>
            </w:pPr>
          </w:p>
          <w:p w14:paraId="25291F27" w14:textId="77777777" w:rsidR="009010D9" w:rsidRPr="009D167A" w:rsidRDefault="009010D9">
            <w:pPr>
              <w:spacing w:before="0"/>
              <w:rPr>
                <w:noProof/>
                <w:sz w:val="22"/>
                <w:szCs w:val="22"/>
              </w:rPr>
            </w:pPr>
            <w:r w:rsidRPr="009D167A">
              <w:rPr>
                <w:noProof/>
                <w:sz w:val="22"/>
                <w:szCs w:val="22"/>
              </w:rPr>
              <w:t>Undercounting</w:t>
            </w:r>
          </w:p>
        </w:tc>
        <w:tc>
          <w:tcPr>
            <w:tcW w:w="2145" w:type="dxa"/>
          </w:tcPr>
          <w:p w14:paraId="359CF3CF" w14:textId="77777777" w:rsidR="009010D9" w:rsidRPr="009D167A" w:rsidRDefault="009010D9">
            <w:pPr>
              <w:spacing w:before="0"/>
              <w:rPr>
                <w:noProof/>
                <w:sz w:val="22"/>
                <w:szCs w:val="22"/>
              </w:rPr>
            </w:pPr>
            <w:r w:rsidRPr="009D167A">
              <w:rPr>
                <w:noProof/>
                <w:sz w:val="22"/>
                <w:szCs w:val="22"/>
              </w:rPr>
              <w:t>++</w:t>
            </w:r>
          </w:p>
          <w:p w14:paraId="61422177" w14:textId="77777777" w:rsidR="009010D9" w:rsidRPr="009D167A" w:rsidRDefault="009010D9">
            <w:pPr>
              <w:spacing w:before="0"/>
              <w:rPr>
                <w:noProof/>
                <w:sz w:val="22"/>
                <w:szCs w:val="22"/>
              </w:rPr>
            </w:pPr>
          </w:p>
          <w:p w14:paraId="410AC732" w14:textId="77777777" w:rsidR="009010D9" w:rsidRPr="009D167A" w:rsidRDefault="009010D9">
            <w:pPr>
              <w:spacing w:before="0"/>
              <w:rPr>
                <w:noProof/>
                <w:sz w:val="22"/>
                <w:szCs w:val="22"/>
              </w:rPr>
            </w:pPr>
            <w:r w:rsidRPr="009D167A">
              <w:rPr>
                <w:noProof/>
                <w:sz w:val="22"/>
                <w:szCs w:val="22"/>
              </w:rPr>
              <w:t>Creates certainty that all non-permanent CCU emissions would effectively be accounted for by the EU ETS.</w:t>
            </w:r>
          </w:p>
        </w:tc>
        <w:tc>
          <w:tcPr>
            <w:tcW w:w="2748" w:type="dxa"/>
          </w:tcPr>
          <w:p w14:paraId="55889165" w14:textId="77777777" w:rsidR="009010D9" w:rsidRPr="009D167A" w:rsidRDefault="009010D9">
            <w:pPr>
              <w:spacing w:before="0"/>
              <w:rPr>
                <w:noProof/>
                <w:sz w:val="22"/>
                <w:szCs w:val="22"/>
              </w:rPr>
            </w:pPr>
            <w:r w:rsidRPr="009D167A">
              <w:rPr>
                <w:noProof/>
                <w:sz w:val="22"/>
                <w:szCs w:val="22"/>
              </w:rPr>
              <w:t>+</w:t>
            </w:r>
          </w:p>
          <w:p w14:paraId="733EAD6D" w14:textId="77777777" w:rsidR="009010D9" w:rsidRPr="009D167A" w:rsidRDefault="009010D9">
            <w:pPr>
              <w:spacing w:before="0"/>
              <w:rPr>
                <w:noProof/>
                <w:sz w:val="22"/>
                <w:szCs w:val="22"/>
              </w:rPr>
            </w:pPr>
          </w:p>
          <w:p w14:paraId="4690115A" w14:textId="77777777" w:rsidR="009010D9" w:rsidRPr="009D167A" w:rsidRDefault="009010D9">
            <w:pPr>
              <w:spacing w:before="0"/>
              <w:rPr>
                <w:noProof/>
                <w:sz w:val="22"/>
                <w:szCs w:val="22"/>
              </w:rPr>
            </w:pPr>
            <w:r w:rsidRPr="009D167A">
              <w:rPr>
                <w:noProof/>
                <w:sz w:val="22"/>
                <w:szCs w:val="22"/>
              </w:rPr>
              <w:t>Some risk for non-permanent CCU products whose end-of-life treatment is not met by waste incineration to create loopholes.</w:t>
            </w:r>
          </w:p>
        </w:tc>
        <w:tc>
          <w:tcPr>
            <w:tcW w:w="2922" w:type="dxa"/>
          </w:tcPr>
          <w:p w14:paraId="1FF6931F" w14:textId="77777777" w:rsidR="009010D9" w:rsidRPr="009D167A" w:rsidRDefault="009010D9">
            <w:pPr>
              <w:spacing w:before="0"/>
              <w:rPr>
                <w:noProof/>
                <w:sz w:val="22"/>
                <w:szCs w:val="22"/>
              </w:rPr>
            </w:pPr>
            <w:r w:rsidRPr="009D167A">
              <w:rPr>
                <w:noProof/>
                <w:sz w:val="22"/>
                <w:szCs w:val="22"/>
              </w:rPr>
              <w:t>+</w:t>
            </w:r>
          </w:p>
          <w:p w14:paraId="5176D58A" w14:textId="77777777" w:rsidR="009010D9" w:rsidRPr="009D167A" w:rsidRDefault="009010D9">
            <w:pPr>
              <w:spacing w:before="0"/>
              <w:rPr>
                <w:noProof/>
                <w:sz w:val="22"/>
                <w:szCs w:val="22"/>
              </w:rPr>
            </w:pPr>
          </w:p>
          <w:p w14:paraId="56EB01B2" w14:textId="77777777" w:rsidR="009010D9" w:rsidRPr="009D167A" w:rsidRDefault="009010D9">
            <w:pPr>
              <w:spacing w:before="0"/>
              <w:rPr>
                <w:noProof/>
                <w:sz w:val="22"/>
                <w:szCs w:val="22"/>
              </w:rPr>
            </w:pPr>
            <w:r w:rsidRPr="009D167A">
              <w:rPr>
                <w:noProof/>
                <w:sz w:val="22"/>
                <w:szCs w:val="22"/>
              </w:rPr>
              <w:t>Some risk for non-permanent CCU products whose end-of-life treatment is not met by waste incineration to create loopholes.</w:t>
            </w:r>
          </w:p>
        </w:tc>
      </w:tr>
    </w:tbl>
    <w:p w14:paraId="57D0CD4C" w14:textId="77777777" w:rsidR="009010D9" w:rsidRDefault="009010D9" w:rsidP="00F25D82">
      <w:pPr>
        <w:pStyle w:val="Heading2COM"/>
        <w:outlineLvl w:val="2"/>
        <w15:collapsed w:val="0"/>
        <w:rPr>
          <w:noProof/>
        </w:rPr>
      </w:pPr>
      <w:bookmarkStart w:id="924" w:name="_Toc230861590"/>
      <w:bookmarkStart w:id="925" w:name="_Toc232751212"/>
      <w:bookmarkEnd w:id="665"/>
      <w:r>
        <w:rPr>
          <w:noProof/>
        </w:rPr>
        <w:t>Conclusions</w:t>
      </w:r>
      <w:bookmarkEnd w:id="924"/>
      <w:bookmarkEnd w:id="925"/>
    </w:p>
    <w:p w14:paraId="0060B361" w14:textId="77777777" w:rsidR="009010D9" w:rsidRDefault="009010D9">
      <w:pPr>
        <w:rPr>
          <w:noProof/>
        </w:rPr>
      </w:pPr>
      <w:r>
        <w:rPr>
          <w:noProof/>
        </w:rPr>
        <w:t xml:space="preserve">The three measures outlined in Section 2.3 represent different accounting options that seek to adapt the ETS framework to the specificities of non-permanent CCU products. They all present advantages and disadvantages and choosing a preferred accounting model represents a balancing act between the different trade-offs. </w:t>
      </w:r>
    </w:p>
    <w:p w14:paraId="18CE50C1" w14:textId="77777777" w:rsidR="009010D9" w:rsidRDefault="009010D9">
      <w:pPr>
        <w:rPr>
          <w:noProof/>
        </w:rPr>
      </w:pPr>
      <w:r>
        <w:rPr>
          <w:noProof/>
        </w:rPr>
        <w:t xml:space="preserve">As shown previously, upstream accounting (CCU1) provides the highest integrity and assurance that all emissions resulting from ETS activities are accounted and priced. </w:t>
      </w:r>
    </w:p>
    <w:p w14:paraId="3DFCBEA7" w14:textId="77777777" w:rsidR="009010D9" w:rsidRDefault="009010D9">
      <w:pPr>
        <w:rPr>
          <w:noProof/>
        </w:rPr>
      </w:pPr>
      <w:r>
        <w:rPr>
          <w:noProof/>
        </w:rPr>
        <w:t>However, in the case of integration of waste incineration in the EU ETS, upstream leads to double counted emissions, in particular for CCU plastics. Furthermore, upstream accounting rewards only the capture of emissions for geological storage. As the capturing of CO</w:t>
      </w:r>
      <w:r w:rsidRPr="00662596">
        <w:rPr>
          <w:noProof/>
          <w:vertAlign w:val="subscript"/>
        </w:rPr>
        <w:t>2</w:t>
      </w:r>
      <w:r>
        <w:rPr>
          <w:noProof/>
        </w:rPr>
        <w:t xml:space="preserve"> by ETS emitters for CCU application is currently much less likely than from zero-rated emitters, upstream accounting effectively restricts the development of alternative technologies that make use of the capture carbon instead of virgin fossil carbon. Both factors restrict the efficiency and effectiveness of the EU ETS in achieving its objectives. </w:t>
      </w:r>
    </w:p>
    <w:p w14:paraId="242AD9E7" w14:textId="77777777" w:rsidR="009010D9" w:rsidRDefault="009010D9">
      <w:pPr>
        <w:rPr>
          <w:noProof/>
        </w:rPr>
      </w:pPr>
      <w:r>
        <w:rPr>
          <w:noProof/>
        </w:rPr>
        <w:t xml:space="preserve">The hybrid downstream and midstream accounting (CCU3) effectively addresses the issues outlined in the previous paragraphs and it enables investments in carbon capture and non-permanent use. This in turn contributes to reduction in costs of </w:t>
      </w:r>
      <w:r w:rsidRPr="003D3BB3">
        <w:rPr>
          <w:noProof/>
        </w:rPr>
        <w:t>CO</w:t>
      </w:r>
      <w:r w:rsidRPr="003579C7">
        <w:rPr>
          <w:noProof/>
          <w:vertAlign w:val="subscript"/>
        </w:rPr>
        <w:t>2</w:t>
      </w:r>
      <w:r>
        <w:rPr>
          <w:noProof/>
          <w:vertAlign w:val="subscript"/>
        </w:rPr>
        <w:t xml:space="preserve"> </w:t>
      </w:r>
      <w:r>
        <w:rPr>
          <w:noProof/>
        </w:rPr>
        <w:t>feedstock and helps the business case for CCU products. It is important to</w:t>
      </w:r>
      <w:r w:rsidDel="003579C7">
        <w:rPr>
          <w:noProof/>
        </w:rPr>
        <w:t xml:space="preserve"> </w:t>
      </w:r>
      <w:r>
        <w:rPr>
          <w:noProof/>
        </w:rPr>
        <w:t>recall that n</w:t>
      </w:r>
      <w:r w:rsidRPr="001D63AA">
        <w:rPr>
          <w:noProof/>
        </w:rPr>
        <w:t>umerous sectors and services rely on carbon</w:t>
      </w:r>
      <w:r>
        <w:rPr>
          <w:noProof/>
        </w:rPr>
        <w:t>, so they cannot be “decarbonised”. T</w:t>
      </w:r>
      <w:r w:rsidRPr="001D63AA">
        <w:rPr>
          <w:noProof/>
        </w:rPr>
        <w:t xml:space="preserve">he use of captured CO2 as a feedstock can provide a source of carbon for producing fuels, chemical and materials </w:t>
      </w:r>
      <w:r>
        <w:rPr>
          <w:noProof/>
        </w:rPr>
        <w:t>and ensure that these sectors can eventually</w:t>
      </w:r>
      <w:r w:rsidRPr="001D63AA">
        <w:rPr>
          <w:noProof/>
        </w:rPr>
        <w:t xml:space="preserve"> be de-fossilised. </w:t>
      </w:r>
      <w:r>
        <w:rPr>
          <w:noProof/>
        </w:rPr>
        <w:t>As noted previously, t</w:t>
      </w:r>
      <w:r w:rsidRPr="001D63AA">
        <w:rPr>
          <w:noProof/>
        </w:rPr>
        <w:t xml:space="preserve">he transition to alternative source of carbon is </w:t>
      </w:r>
      <w:r>
        <w:rPr>
          <w:noProof/>
        </w:rPr>
        <w:t xml:space="preserve">therefore, </w:t>
      </w:r>
      <w:r w:rsidRPr="001D63AA">
        <w:rPr>
          <w:noProof/>
        </w:rPr>
        <w:t xml:space="preserve">an important part of reaching the EU’s climate targets. </w:t>
      </w:r>
    </w:p>
    <w:p w14:paraId="1AF638AE" w14:textId="77777777" w:rsidR="009010D9" w:rsidRDefault="009010D9">
      <w:pPr>
        <w:rPr>
          <w:noProof/>
        </w:rPr>
      </w:pPr>
      <w:r>
        <w:rPr>
          <w:noProof/>
        </w:rPr>
        <w:t xml:space="preserve">The combination of the downstream and midstream accounting encompassed in measure CCU3 also best addresses the specificities of e-fuels, as one particular type of CCU products with an existing regulatory framework already in place, and of other potential CCU products, such as synthetic chemicals or plastics. </w:t>
      </w:r>
    </w:p>
    <w:p w14:paraId="72E922CE" w14:textId="77777777" w:rsidR="009010D9" w:rsidRPr="003D3BB3" w:rsidRDefault="009010D9">
      <w:pPr>
        <w:rPr>
          <w:noProof/>
        </w:rPr>
      </w:pPr>
      <w:r>
        <w:rPr>
          <w:noProof/>
        </w:rPr>
        <w:t xml:space="preserve">The measures CCU2 and CCU3 provide important benefits, in particular as regards the incentivisation of carbon capture, ensuring the level playing field for novel and traditional products and providing flexibility to operators on what to do with captured </w:t>
      </w:r>
      <w:r w:rsidRPr="003D3BB3">
        <w:rPr>
          <w:noProof/>
        </w:rPr>
        <w:t>CO</w:t>
      </w:r>
      <w:r w:rsidRPr="003D3BB3">
        <w:rPr>
          <w:noProof/>
          <w:vertAlign w:val="subscript"/>
        </w:rPr>
        <w:t>2</w:t>
      </w:r>
      <w:r>
        <w:rPr>
          <w:noProof/>
          <w:vertAlign w:val="subscript"/>
        </w:rPr>
        <w:t xml:space="preserve">. </w:t>
      </w:r>
      <w:r>
        <w:rPr>
          <w:noProof/>
        </w:rPr>
        <w:t>However, the</w:t>
      </w:r>
      <w:r w:rsidDel="00D71C51">
        <w:rPr>
          <w:noProof/>
        </w:rPr>
        <w:t xml:space="preserve"> </w:t>
      </w:r>
      <w:r>
        <w:rPr>
          <w:noProof/>
        </w:rPr>
        <w:t xml:space="preserve">trade-off of moving away from the upstream accounting of emissions is that it creates the risk for undercounting of emissions in cases when emissions captured and embedded in CCU products are released in activities outside the scope of the EU ETS. </w:t>
      </w:r>
    </w:p>
    <w:p w14:paraId="39A16462" w14:textId="77777777" w:rsidR="009010D9" w:rsidRDefault="009010D9">
      <w:pPr>
        <w:rPr>
          <w:noProof/>
        </w:rPr>
        <w:sectPr w:rsidR="009010D9" w:rsidSect="0085116B">
          <w:headerReference w:type="default" r:id="rId68"/>
          <w:footerReference w:type="default" r:id="rId69"/>
          <w:pgSz w:w="11906" w:h="16838" w:code="9"/>
          <w:pgMar w:top="1440" w:right="1440" w:bottom="1440" w:left="1440" w:header="680" w:footer="510" w:gutter="0"/>
          <w:cols w:space="708"/>
          <w:docGrid w:linePitch="360"/>
        </w:sectPr>
      </w:pPr>
      <w:r>
        <w:rPr>
          <w:noProof/>
        </w:rPr>
        <w:t>In case of such loopholes</w:t>
      </w:r>
      <w:r w:rsidRPr="003D3BB3">
        <w:rPr>
          <w:noProof/>
        </w:rPr>
        <w:t xml:space="preserve"> associated with clearly identifiable CCU products or applications</w:t>
      </w:r>
      <w:r>
        <w:rPr>
          <w:noProof/>
        </w:rPr>
        <w:t>, the risk</w:t>
      </w:r>
      <w:r w:rsidRPr="003D3BB3">
        <w:rPr>
          <w:noProof/>
        </w:rPr>
        <w:t xml:space="preserve"> can be </w:t>
      </w:r>
      <w:r>
        <w:rPr>
          <w:noProof/>
        </w:rPr>
        <w:t xml:space="preserve">best </w:t>
      </w:r>
      <w:r w:rsidRPr="003D3BB3">
        <w:rPr>
          <w:noProof/>
        </w:rPr>
        <w:t xml:space="preserve">addressed by applying the upstream accounting as a derogation </w:t>
      </w:r>
      <w:r>
        <w:rPr>
          <w:noProof/>
        </w:rPr>
        <w:t>to</w:t>
      </w:r>
      <w:r w:rsidRPr="003D3BB3">
        <w:rPr>
          <w:noProof/>
        </w:rPr>
        <w:t xml:space="preserve"> a </w:t>
      </w:r>
      <w:r>
        <w:rPr>
          <w:noProof/>
        </w:rPr>
        <w:t xml:space="preserve">general rule or setting additional </w:t>
      </w:r>
      <w:r w:rsidRPr="003D3BB3">
        <w:rPr>
          <w:noProof/>
        </w:rPr>
        <w:t>requi</w:t>
      </w:r>
      <w:r>
        <w:rPr>
          <w:noProof/>
        </w:rPr>
        <w:t>r</w:t>
      </w:r>
      <w:r w:rsidRPr="003D3BB3">
        <w:rPr>
          <w:noProof/>
        </w:rPr>
        <w:t>ements or limitations to the use of such products</w:t>
      </w:r>
      <w:r>
        <w:rPr>
          <w:noProof/>
        </w:rPr>
        <w:t xml:space="preserve"> in order to minimise the risks. Nevertheless, </w:t>
      </w:r>
      <w:r w:rsidRPr="003D3BB3">
        <w:rPr>
          <w:noProof/>
        </w:rPr>
        <w:t xml:space="preserve">addressing all possible loopholes risks </w:t>
      </w:r>
      <w:r>
        <w:rPr>
          <w:noProof/>
        </w:rPr>
        <w:t>is not feasible in practice without severely restricting the use of non-permanent CCU applications, limiting therefore their development. Given the low volumes of CCU products currently being produced, these</w:t>
      </w:r>
      <w:r w:rsidRPr="003D3BB3">
        <w:rPr>
          <w:noProof/>
        </w:rPr>
        <w:t xml:space="preserve"> risks are </w:t>
      </w:r>
      <w:r>
        <w:rPr>
          <w:noProof/>
        </w:rPr>
        <w:t xml:space="preserve">only </w:t>
      </w:r>
      <w:r w:rsidRPr="003D3BB3">
        <w:rPr>
          <w:noProof/>
        </w:rPr>
        <w:t xml:space="preserve">hypothetical </w:t>
      </w:r>
      <w:r>
        <w:rPr>
          <w:noProof/>
        </w:rPr>
        <w:t>at this stage. Therefore</w:t>
      </w:r>
      <w:r w:rsidDel="00C2033C">
        <w:rPr>
          <w:noProof/>
        </w:rPr>
        <w:t xml:space="preserve">, </w:t>
      </w:r>
      <w:r>
        <w:rPr>
          <w:noProof/>
        </w:rPr>
        <w:t xml:space="preserve">it is preferable to adopt an approach that regularly assesses the effective risk posed by non-permanent CCU to the integrity of the ETS and introduces corrective mechanisms if and when such risks start having a material impact.  </w:t>
      </w:r>
    </w:p>
    <w:p w14:paraId="04B352FE" w14:textId="77777777" w:rsidR="009010D9" w:rsidRPr="009010D9" w:rsidRDefault="009010D9" w:rsidP="009010D9">
      <w:pPr>
        <w:pStyle w:val="Heading1COM"/>
        <w:numPr>
          <w:ilvl w:val="0"/>
          <w:numId w:val="0"/>
        </w:numPr>
        <w:ind w:left="360" w:hanging="360"/>
        <w:jc w:val="center"/>
        <w:rPr>
          <w:noProof/>
          <w:sz w:val="32"/>
          <w:szCs w:val="24"/>
        </w:rPr>
      </w:pPr>
      <w:bookmarkStart w:id="926" w:name="_Toc232751213"/>
      <w:r w:rsidRPr="009010D9">
        <w:rPr>
          <w:noProof/>
          <w:sz w:val="32"/>
          <w:szCs w:val="24"/>
        </w:rPr>
        <w:t>Annex 14: Linking</w:t>
      </w:r>
      <w:bookmarkEnd w:id="926"/>
    </w:p>
    <w:p w14:paraId="6E837B04" w14:textId="77777777" w:rsidR="009010D9" w:rsidRPr="0043334B" w:rsidRDefault="009010D9">
      <w:pPr>
        <w:rPr>
          <w:noProof/>
        </w:rPr>
      </w:pPr>
      <w:r w:rsidRPr="0043334B">
        <w:rPr>
          <w:noProof/>
        </w:rPr>
        <w:t>Article 25 ETS Directive encourages the conclusion of linking</w:t>
      </w:r>
      <w:r>
        <w:rPr>
          <w:noProof/>
        </w:rPr>
        <w:t xml:space="preserve"> agreements with third countries, in particular those with </w:t>
      </w:r>
      <w:r w:rsidRPr="005A6079">
        <w:rPr>
          <w:noProof/>
        </w:rPr>
        <w:t xml:space="preserve">compatible mandatory greenhouse gas emissions trading systems </w:t>
      </w:r>
      <w:r>
        <w:rPr>
          <w:noProof/>
        </w:rPr>
        <w:t>and with</w:t>
      </w:r>
      <w:r w:rsidRPr="005A6079">
        <w:rPr>
          <w:noProof/>
        </w:rPr>
        <w:t xml:space="preserve"> absolute emission caps</w:t>
      </w:r>
      <w:r>
        <w:rPr>
          <w:noProof/>
        </w:rPr>
        <w:t>.</w:t>
      </w:r>
      <w:r w:rsidRPr="005A6079">
        <w:rPr>
          <w:noProof/>
        </w:rPr>
        <w:t> </w:t>
      </w:r>
    </w:p>
    <w:p w14:paraId="451330C1" w14:textId="77777777" w:rsidR="009010D9" w:rsidRDefault="009010D9">
      <w:pPr>
        <w:rPr>
          <w:noProof/>
        </w:rPr>
      </w:pPr>
      <w:r w:rsidRPr="0CA44BB8">
        <w:rPr>
          <w:noProof/>
        </w:rPr>
        <w:t xml:space="preserve">Article 30 (6) tasks the European Commission to analyse how linking the EU ETS to other systems can be established “without impeding the achievement of the climate-neutrality objective and the Union climate targets.” To carry out this analysis, the Commission has commissioned an analysis and </w:t>
      </w:r>
      <w:r>
        <w:rPr>
          <w:noProof/>
        </w:rPr>
        <w:t xml:space="preserve">will </w:t>
      </w:r>
      <w:r w:rsidRPr="0CA44BB8">
        <w:rPr>
          <w:noProof/>
        </w:rPr>
        <w:t>publish</w:t>
      </w:r>
      <w:r>
        <w:rPr>
          <w:noProof/>
        </w:rPr>
        <w:t xml:space="preserve"> a </w:t>
      </w:r>
      <w:r w:rsidRPr="0CA44BB8">
        <w:rPr>
          <w:noProof/>
        </w:rPr>
        <w:t>report. This annex summarises the findings of the</w:t>
      </w:r>
      <w:r>
        <w:rPr>
          <w:noProof/>
        </w:rPr>
        <w:t xml:space="preserve"> forthcoming</w:t>
      </w:r>
      <w:r w:rsidRPr="0CA44BB8">
        <w:rPr>
          <w:noProof/>
        </w:rPr>
        <w:t xml:space="preserve"> report and draws conclusions relevant for the present review of the ETS. </w:t>
      </w:r>
    </w:p>
    <w:p w14:paraId="0C422FF6" w14:textId="77777777" w:rsidR="009010D9" w:rsidRDefault="009010D9" w:rsidP="0018561F">
      <w:pPr>
        <w:pStyle w:val="Heading1COM"/>
        <w:numPr>
          <w:ilvl w:val="0"/>
          <w:numId w:val="54"/>
        </w:numPr>
        <w:outlineLvl w:val="1"/>
        <w:rPr>
          <w:noProof/>
        </w:rPr>
      </w:pPr>
      <w:bookmarkStart w:id="927" w:name="_Toc232751214"/>
      <w:r>
        <w:rPr>
          <w:noProof/>
        </w:rPr>
        <w:t>Why and why not to link?</w:t>
      </w:r>
      <w:bookmarkEnd w:id="927"/>
    </w:p>
    <w:p w14:paraId="6236ADA8" w14:textId="77777777" w:rsidR="009010D9" w:rsidRDefault="009010D9">
      <w:pPr>
        <w:rPr>
          <w:noProof/>
        </w:rPr>
      </w:pPr>
      <w:r>
        <w:rPr>
          <w:noProof/>
        </w:rPr>
        <w:t>Economic theory dictates there are gains to be made from linking ETSs, primarily as a result of the increased market size. These include increased</w:t>
      </w:r>
      <w:r w:rsidRPr="00C47514">
        <w:rPr>
          <w:noProof/>
        </w:rPr>
        <w:t xml:space="preserve"> cost effectiveness, market liquidit</w:t>
      </w:r>
      <w:r>
        <w:rPr>
          <w:noProof/>
        </w:rPr>
        <w:t>y</w:t>
      </w:r>
      <w:r w:rsidRPr="00C47514">
        <w:rPr>
          <w:noProof/>
        </w:rPr>
        <w:t xml:space="preserve"> and stability, as well as </w:t>
      </w:r>
      <w:r>
        <w:rPr>
          <w:noProof/>
        </w:rPr>
        <w:t>a reduction of</w:t>
      </w:r>
      <w:r w:rsidRPr="00C47514">
        <w:rPr>
          <w:noProof/>
        </w:rPr>
        <w:t xml:space="preserve"> carbon leakage.</w:t>
      </w:r>
      <w:r>
        <w:rPr>
          <w:noProof/>
        </w:rPr>
        <w:t xml:space="preserve"> These benefits become increasingly valuable in the European context of a carbon market with a declining cap, headed for significant emission reductions in the next decade and alignment with climate neutrality thereafter. </w:t>
      </w:r>
    </w:p>
    <w:p w14:paraId="66B0F632" w14:textId="77777777" w:rsidR="009010D9" w:rsidRDefault="009010D9">
      <w:pPr>
        <w:rPr>
          <w:noProof/>
        </w:rPr>
      </w:pPr>
      <w:r w:rsidRPr="2E778DBC">
        <w:rPr>
          <w:noProof/>
        </w:rPr>
        <w:t>The benefits of linking can only be realised fully in case of a so-called ‘full, bi-directional link’ whereby allowances from one jurisdiction can be used to meet compliance obligation in the other, and vice versa. Opening one’s market to the allowances of another requires trust, legal clarity, as well as a deep degree of harmonisation in order to ensure a level playing field between compliance entities in the two jurisdictions. Stakeholder responses to the Open Public Consultation conducted under the ongoing Review also emphasised the importance of linking. Most respondents supported pursuing further linking between the EU ETS and other ETSs and emphasised economic benefits, with top motivations being reducing carbon-leakage risk, improving cost-effectiveness via price convergence, and supporting market liquidity.</w:t>
      </w:r>
    </w:p>
    <w:p w14:paraId="2DE1D925" w14:textId="77777777" w:rsidR="009010D9" w:rsidRDefault="009010D9">
      <w:pPr>
        <w:rPr>
          <w:noProof/>
        </w:rPr>
      </w:pPr>
      <w:r>
        <w:rPr>
          <w:noProof/>
        </w:rPr>
        <w:t xml:space="preserve">This risk of a distorted level playing field impacting competitiveness is a key risk associated with linking, but there are others. For instance, harmonisation to the lower of the two sets of rules risks </w:t>
      </w:r>
      <w:r w:rsidRPr="00646720">
        <w:rPr>
          <w:noProof/>
        </w:rPr>
        <w:t>compromis</w:t>
      </w:r>
      <w:r>
        <w:rPr>
          <w:noProof/>
        </w:rPr>
        <w:t>ing</w:t>
      </w:r>
      <w:r w:rsidRPr="00646720">
        <w:rPr>
          <w:noProof/>
        </w:rPr>
        <w:t xml:space="preserve"> the environmental and economic integrity of the linked system.</w:t>
      </w:r>
      <w:r>
        <w:rPr>
          <w:noProof/>
        </w:rPr>
        <w:t xml:space="preserve"> Furthermore, without constant management and close oversight, diverging policies in the linking parties can further distort the level playing field. Linking with multiple systems increases complexity and the need for coordination. </w:t>
      </w:r>
    </w:p>
    <w:p w14:paraId="4C543962" w14:textId="77777777" w:rsidR="009010D9" w:rsidRDefault="009010D9">
      <w:pPr>
        <w:rPr>
          <w:noProof/>
        </w:rPr>
      </w:pPr>
      <w:r w:rsidRPr="0CA44BB8">
        <w:rPr>
          <w:noProof/>
        </w:rPr>
        <w:t xml:space="preserve">Where jurisdictions are too dissimilar in their journey to climate neutrality, one of the two systems ends up being a permanent net buyer, de facto outsourcing its emission reductions to the other system, </w:t>
      </w:r>
      <w:r>
        <w:rPr>
          <w:noProof/>
        </w:rPr>
        <w:t>who sees</w:t>
      </w:r>
      <w:r w:rsidRPr="0CA44BB8">
        <w:rPr>
          <w:noProof/>
        </w:rPr>
        <w:t xml:space="preserve"> their most cost-effective abatement options</w:t>
      </w:r>
      <w:r>
        <w:rPr>
          <w:noProof/>
        </w:rPr>
        <w:t xml:space="preserve"> being counted towards the former’s target</w:t>
      </w:r>
      <w:r w:rsidRPr="0CA44BB8">
        <w:rPr>
          <w:noProof/>
        </w:rPr>
        <w:t xml:space="preserve">. Recalling the need to assess linking “without impeding the achievement of the climate-neutrality objective and the Union climate targets”, this is particularly important. Finally, diverging price levels may also discourage potential linking partners as the fungibility of allowances implies price alignment. </w:t>
      </w:r>
    </w:p>
    <w:p w14:paraId="562A2F61" w14:textId="77777777" w:rsidR="009010D9" w:rsidRPr="005B783A" w:rsidRDefault="009010D9" w:rsidP="00F25D82">
      <w:pPr>
        <w:pStyle w:val="Heading1COM"/>
        <w:outlineLvl w:val="1"/>
        <w:rPr>
          <w:noProof/>
        </w:rPr>
      </w:pPr>
      <w:bookmarkStart w:id="928" w:name="_Toc232751215"/>
      <w:r>
        <w:rPr>
          <w:noProof/>
        </w:rPr>
        <w:t>With whom to link?</w:t>
      </w:r>
      <w:bookmarkEnd w:id="928"/>
    </w:p>
    <w:p w14:paraId="2B6880B8" w14:textId="77777777" w:rsidR="009010D9" w:rsidRDefault="009010D9">
      <w:pPr>
        <w:rPr>
          <w:noProof/>
        </w:rPr>
      </w:pPr>
      <w:r>
        <w:rPr>
          <w:noProof/>
        </w:rPr>
        <w:t>It follows that linking partners need to be chosen with care and that, in reality, only few jurisdictions can be regarded as realistic candidates for the EU ETS, given its advanced state and elaborate acquis. At present, the EU ETS is linked to the Swiss ETS and negotiations with the UK ETS have recently been launched. The EEA EFTA States are integrated in the EU ETS, and in the future a possible enlargement of the European Union may lead to the integration of further countries.</w:t>
      </w:r>
    </w:p>
    <w:p w14:paraId="631EDC92" w14:textId="77777777" w:rsidR="009010D9" w:rsidRDefault="009010D9">
      <w:pPr>
        <w:rPr>
          <w:noProof/>
        </w:rPr>
      </w:pPr>
      <w:r w:rsidRPr="0CA44BB8">
        <w:rPr>
          <w:noProof/>
        </w:rPr>
        <w:t>Other ETSs currently in operation around the world are less similar in design as well as price level and stage of decarbonisation, such that considerable obstacles would need to be overcome in order to agree on a Linking Agreement and establish a successful link. For instance, examples of design elements that are assessed in the report include the absence of an absolute cap (explicitly mentioned in Article 25, albeit not a binding prerequisite)</w:t>
      </w:r>
      <w:r>
        <w:rPr>
          <w:noProof/>
        </w:rPr>
        <w:t>, the process of cap setting,</w:t>
      </w:r>
      <w:r w:rsidRPr="0CA44BB8">
        <w:rPr>
          <w:noProof/>
        </w:rPr>
        <w:t xml:space="preserve"> and the global trend towards more intensity-based systems, the impacts of diverging MRV and enforcement regimes, the distinction between volume-based and price-based approaches to market stability, carbon leakage frameworks and, finally, approaches to revenue use. </w:t>
      </w:r>
    </w:p>
    <w:p w14:paraId="3200C30D" w14:textId="77777777" w:rsidR="009010D9" w:rsidRDefault="009010D9">
      <w:pPr>
        <w:rPr>
          <w:noProof/>
        </w:rPr>
      </w:pPr>
      <w:r>
        <w:rPr>
          <w:noProof/>
        </w:rPr>
        <w:t>The EU ETS itself is also subject to reform, which is relevant for linking because the changes reflect not only the sectoral scope, but also key building blocks related to carbon leakage (free allocation, CBAM), market stability, and the integration of domestic removals (and non-integration of international credits). Moreover, ETS2 will start in 2028, which has implications even if a linking partner is primarily interested in linking with the EU ETS. Where a prospective linking partner is unwilling or unable to implement similar rules, the level playing field is once more at risk of distortion to the detriment of the covered industries. In such instances, it is important to agree on</w:t>
      </w:r>
      <w:r w:rsidRPr="004352F1">
        <w:rPr>
          <w:noProof/>
        </w:rPr>
        <w:t xml:space="preserve"> strong rules for </w:t>
      </w:r>
      <w:r>
        <w:rPr>
          <w:noProof/>
        </w:rPr>
        <w:t xml:space="preserve">enforcement, dispute settlement mechanism as well as for </w:t>
      </w:r>
      <w:r w:rsidRPr="004352F1">
        <w:rPr>
          <w:noProof/>
        </w:rPr>
        <w:t>how the linking can be suspended and terminated.</w:t>
      </w:r>
    </w:p>
    <w:p w14:paraId="6247A6C8" w14:textId="77777777" w:rsidR="009010D9" w:rsidRDefault="009010D9" w:rsidP="00F25D82">
      <w:pPr>
        <w:pStyle w:val="Heading1COM"/>
        <w:outlineLvl w:val="1"/>
        <w:rPr>
          <w:noProof/>
        </w:rPr>
      </w:pPr>
      <w:bookmarkStart w:id="929" w:name="_Toc232751216"/>
      <w:r>
        <w:rPr>
          <w:noProof/>
        </w:rPr>
        <w:t>Conclusion</w:t>
      </w:r>
      <w:bookmarkEnd w:id="929"/>
    </w:p>
    <w:p w14:paraId="71D6376C" w14:textId="77777777" w:rsidR="009010D9" w:rsidRDefault="009010D9">
      <w:pPr>
        <w:rPr>
          <w:noProof/>
        </w:rPr>
      </w:pPr>
      <w:r w:rsidRPr="0CA44BB8">
        <w:rPr>
          <w:noProof/>
        </w:rPr>
        <w:t xml:space="preserve">The answer to the question in Article 30(6) ETS Directive how linking the EU ETS to other systems can be established without impeding the achievement of the climate-neutrality objective and the Union climate targets crucially depends on the climate ambition and the ETS-design of the other jurisdiction. Only where ambition and design are relatively aligned can linking be considered as a serious option. Given the substantial resources needed to negotiate, establish and maintain a link over time, such considerations need to be weighed before embarking on linking talks. </w:t>
      </w:r>
    </w:p>
    <w:p w14:paraId="4219123C" w14:textId="77777777" w:rsidR="009010D9" w:rsidRDefault="009010D9" w:rsidP="009010D9">
      <w:pPr>
        <w:rPr>
          <w:noProof/>
        </w:rPr>
      </w:pPr>
      <w:r>
        <w:rPr>
          <w:noProof/>
        </w:rPr>
        <w:t xml:space="preserve">Finally, it is important to recall that there are other, less far-reaching forms of carbon market cooperation that can deliver important benefits. Recognition of prices paid under other schemes for instance can help facilitate trade and reduce payments under a carbon border measure. This requires understanding and trust of underlying rules, in particular those related to MRV and carbon leakage, that can only be established through close cooperation. Several multilateral fora exist to foster such cooperation and the EU, as well as several of its Member States, play a constructive role.  </w:t>
      </w:r>
    </w:p>
    <w:p w14:paraId="74E9307E" w14:textId="77777777" w:rsidR="009010D9" w:rsidRDefault="009010D9">
      <w:pPr>
        <w:rPr>
          <w:noProof/>
        </w:rPr>
      </w:pPr>
    </w:p>
    <w:p w14:paraId="30F65520" w14:textId="77777777" w:rsidR="009010D9" w:rsidRPr="003D3BB3" w:rsidRDefault="009010D9">
      <w:pPr>
        <w:rPr>
          <w:noProof/>
        </w:rPr>
      </w:pPr>
    </w:p>
    <w:p w14:paraId="118DCDFF" w14:textId="684D0179" w:rsidR="3F8C0C4D" w:rsidRPr="000653A9" w:rsidRDefault="3F8C0C4D" w:rsidP="1640CB9A">
      <w:pPr>
        <w:jc w:val="left"/>
        <w:rPr>
          <w:rFonts w:eastAsia="Times New Roman"/>
          <w:noProof/>
        </w:rPr>
      </w:pPr>
    </w:p>
    <w:p w14:paraId="4C9601B8" w14:textId="026DFE44" w:rsidR="000F29F9" w:rsidRPr="00C600D7" w:rsidRDefault="000F29F9" w:rsidP="2B7FB05A">
      <w:pPr>
        <w:rPr>
          <w:noProof/>
          <w:color w:val="auto"/>
        </w:rPr>
      </w:pPr>
    </w:p>
    <w:sectPr w:rsidR="000F29F9" w:rsidRPr="00C600D7" w:rsidSect="009010D9">
      <w:headerReference w:type="default" r:id="rId70"/>
      <w:footerReference w:type="default" r:id="rId71"/>
      <w:pgSz w:w="11906" w:h="16838" w:code="9"/>
      <w:pgMar w:top="1440" w:right="1440" w:bottom="1440" w:left="1440"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C2958" w14:textId="77777777" w:rsidR="00361315" w:rsidRPr="000653A9" w:rsidRDefault="00361315" w:rsidP="00F73B5B">
      <w:r w:rsidRPr="000653A9">
        <w:separator/>
      </w:r>
    </w:p>
    <w:p w14:paraId="0FAB08E3" w14:textId="77777777" w:rsidR="00361315" w:rsidRPr="000653A9" w:rsidRDefault="00361315" w:rsidP="00F73B5B"/>
  </w:endnote>
  <w:endnote w:type="continuationSeparator" w:id="0">
    <w:p w14:paraId="7481D259" w14:textId="77777777" w:rsidR="00361315" w:rsidRPr="000653A9" w:rsidRDefault="00361315" w:rsidP="00F73B5B">
      <w:r w:rsidRPr="000653A9">
        <w:continuationSeparator/>
      </w:r>
    </w:p>
    <w:p w14:paraId="336FA435" w14:textId="77777777" w:rsidR="00361315" w:rsidRPr="000653A9" w:rsidRDefault="00361315" w:rsidP="00F73B5B"/>
  </w:endnote>
  <w:endnote w:type="continuationNotice" w:id="1">
    <w:p w14:paraId="30B00216" w14:textId="77777777" w:rsidR="00361315" w:rsidRPr="000653A9" w:rsidRDefault="00361315" w:rsidP="00F73B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MinionPro-Regular">
    <w:altName w:val="Calibri"/>
    <w:charset w:val="4D"/>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Times New Roman Bold">
    <w:panose1 w:val="02020803070505020304"/>
    <w:charset w:val="00"/>
    <w:family w:val="roman"/>
    <w:notTrueType/>
    <w:pitch w:val="default"/>
  </w:font>
  <w:font w:name="Aptos Light">
    <w:charset w:val="00"/>
    <w:family w:val="swiss"/>
    <w:pitch w:val="variable"/>
    <w:sig w:usb0="20000287" w:usb1="00000003" w:usb2="00000000" w:usb3="00000000" w:csb0="0000019F" w:csb1="00000000"/>
  </w:font>
  <w:font w:name="TimesNewRomanPSM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88842" w14:textId="5D6F0B16" w:rsidR="00073EDD" w:rsidRPr="00073EDD" w:rsidRDefault="00073EDD" w:rsidP="00073EDD">
    <w:pPr>
      <w:pStyle w:val="FooterCoverPage"/>
      <w:rPr>
        <w:rFonts w:ascii="Arial" w:hAnsi="Arial" w:cs="Arial"/>
        <w:b/>
        <w:sz w:val="48"/>
      </w:rPr>
    </w:pPr>
    <w:r w:rsidRPr="00073EDD">
      <w:rPr>
        <w:rFonts w:ascii="Arial" w:hAnsi="Arial" w:cs="Arial"/>
        <w:b/>
        <w:sz w:val="48"/>
      </w:rPr>
      <w:t>EN</w:t>
    </w:r>
    <w:r w:rsidRPr="00073EDD">
      <w:rPr>
        <w:rFonts w:ascii="Arial" w:hAnsi="Arial" w:cs="Arial"/>
        <w:b/>
        <w:sz w:val="48"/>
      </w:rPr>
      <w:tab/>
    </w:r>
    <w:r w:rsidRPr="00073EDD">
      <w:rPr>
        <w:rFonts w:ascii="Arial" w:hAnsi="Arial" w:cs="Arial"/>
        <w:b/>
        <w:sz w:val="48"/>
      </w:rPr>
      <w:tab/>
    </w:r>
    <w:r w:rsidRPr="00073EDD">
      <w:tab/>
    </w:r>
    <w:r w:rsidRPr="00073ED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C1FAB" w14:textId="66C03594" w:rsidR="00073EDD" w:rsidRPr="00073EDD" w:rsidRDefault="00073EDD" w:rsidP="00073EDD">
    <w:pPr>
      <w:pStyle w:val="FooterCoverPage"/>
      <w:rPr>
        <w:rFonts w:ascii="Arial" w:hAnsi="Arial" w:cs="Arial"/>
        <w:b/>
        <w:sz w:val="48"/>
      </w:rPr>
    </w:pPr>
    <w:r w:rsidRPr="00073EDD">
      <w:rPr>
        <w:rFonts w:ascii="Arial" w:hAnsi="Arial" w:cs="Arial"/>
        <w:b/>
        <w:sz w:val="48"/>
      </w:rPr>
      <w:t>EN</w:t>
    </w:r>
    <w:r w:rsidRPr="00073EDD">
      <w:rPr>
        <w:rFonts w:ascii="Arial" w:hAnsi="Arial" w:cs="Arial"/>
        <w:b/>
        <w:sz w:val="48"/>
      </w:rPr>
      <w:tab/>
    </w:r>
    <w:r w:rsidRPr="00073EDD">
      <w:rPr>
        <w:rFonts w:ascii="Arial" w:hAnsi="Arial" w:cs="Arial"/>
        <w:b/>
        <w:sz w:val="48"/>
      </w:rPr>
      <w:tab/>
    </w:r>
    <w:r w:rsidRPr="00073EDD">
      <w:tab/>
    </w:r>
    <w:r w:rsidRPr="00073ED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0BBFA" w14:textId="77777777" w:rsidR="00073EDD" w:rsidRPr="00073EDD" w:rsidRDefault="00073EDD" w:rsidP="00073ED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6368F" w14:textId="77777777" w:rsidR="00090168" w:rsidRPr="0006475C" w:rsidRDefault="00090168" w:rsidP="0006475C">
    <w:pPr>
      <w:pStyle w:val="FooterCoverPage"/>
      <w:rPr>
        <w:rFonts w:ascii="Arial" w:hAnsi="Arial" w:cs="Arial"/>
        <w:b/>
        <w:sz w:val="48"/>
      </w:rPr>
    </w:pPr>
    <w:r w:rsidRPr="0006475C">
      <w:rPr>
        <w:rFonts w:ascii="Arial" w:hAnsi="Arial" w:cs="Arial"/>
        <w:b/>
        <w:sz w:val="48"/>
      </w:rPr>
      <w:t>EN</w:t>
    </w:r>
    <w:r w:rsidRPr="0006475C">
      <w:rPr>
        <w:rFonts w:ascii="Arial" w:hAnsi="Arial" w:cs="Arial"/>
        <w:b/>
        <w:sz w:val="48"/>
      </w:rPr>
      <w:tab/>
    </w:r>
    <w:r w:rsidRPr="0006475C">
      <w:rPr>
        <w:rFonts w:ascii="Arial" w:hAnsi="Arial" w:cs="Arial"/>
        <w:b/>
        <w:sz w:val="48"/>
      </w:rPr>
      <w:tab/>
    </w:r>
    <w:r w:rsidRPr="0006475C">
      <w:tab/>
    </w:r>
    <w:r w:rsidRPr="0006475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531909"/>
      <w:docPartObj>
        <w:docPartGallery w:val="Page Numbers (Bottom of Page)"/>
        <w:docPartUnique/>
      </w:docPartObj>
    </w:sdtPr>
    <w:sdtEndPr>
      <w:rPr>
        <w:noProof/>
        <w:sz w:val="24"/>
      </w:rPr>
    </w:sdtEndPr>
    <w:sdtContent>
      <w:p w14:paraId="19F92D9B" w14:textId="01764146" w:rsidR="001100D1" w:rsidRPr="001100D1" w:rsidRDefault="001100D1">
        <w:pPr>
          <w:pStyle w:val="Footer"/>
          <w:rPr>
            <w:sz w:val="24"/>
          </w:rPr>
        </w:pPr>
        <w:r w:rsidRPr="001100D1">
          <w:rPr>
            <w:sz w:val="24"/>
          </w:rPr>
          <w:fldChar w:fldCharType="begin"/>
        </w:r>
        <w:r w:rsidRPr="001100D1">
          <w:rPr>
            <w:sz w:val="24"/>
          </w:rPr>
          <w:instrText xml:space="preserve"> PAGE   \* MERGEFORMAT </w:instrText>
        </w:r>
        <w:r w:rsidRPr="001100D1">
          <w:rPr>
            <w:sz w:val="24"/>
          </w:rPr>
          <w:fldChar w:fldCharType="separate"/>
        </w:r>
        <w:r w:rsidR="00073EDD">
          <w:rPr>
            <w:noProof/>
            <w:sz w:val="24"/>
          </w:rPr>
          <w:t>1</w:t>
        </w:r>
        <w:r w:rsidRPr="001100D1">
          <w:rPr>
            <w:noProof/>
            <w:sz w:val="24"/>
          </w:rPr>
          <w:fldChar w:fldCharType="end"/>
        </w:r>
      </w:p>
    </w:sdtContent>
  </w:sdt>
  <w:p w14:paraId="32BB4753" w14:textId="77777777" w:rsidR="0006475C" w:rsidRPr="000653A9" w:rsidRDefault="0006475C" w:rsidP="00F73B5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3E651" w14:textId="77777777" w:rsidR="002403C6" w:rsidRPr="0006475C" w:rsidRDefault="002403C6" w:rsidP="0006475C">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9F9D5" w14:textId="77777777" w:rsidR="009010D9" w:rsidRDefault="009010D9" w:rsidP="006C14F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7494822"/>
      <w:docPartObj>
        <w:docPartGallery w:val="Page Numbers (Bottom of Page)"/>
        <w:docPartUnique/>
      </w:docPartObj>
    </w:sdtPr>
    <w:sdtEndPr>
      <w:rPr>
        <w:noProof/>
        <w:sz w:val="24"/>
        <w:szCs w:val="40"/>
      </w:rPr>
    </w:sdtEndPr>
    <w:sdtContent>
      <w:p w14:paraId="72CC37F1" w14:textId="46FEB685" w:rsidR="00C92FA9" w:rsidRPr="00C92FA9" w:rsidRDefault="00C92FA9">
        <w:pPr>
          <w:pStyle w:val="Footer"/>
          <w:rPr>
            <w:sz w:val="24"/>
            <w:szCs w:val="40"/>
          </w:rPr>
        </w:pPr>
        <w:r w:rsidRPr="00C92FA9">
          <w:rPr>
            <w:sz w:val="24"/>
            <w:szCs w:val="40"/>
          </w:rPr>
          <w:fldChar w:fldCharType="begin"/>
        </w:r>
        <w:r w:rsidRPr="00C92FA9">
          <w:rPr>
            <w:sz w:val="24"/>
            <w:szCs w:val="40"/>
          </w:rPr>
          <w:instrText xml:space="preserve"> PAGE   \* MERGEFORMAT </w:instrText>
        </w:r>
        <w:r w:rsidRPr="00C92FA9">
          <w:rPr>
            <w:sz w:val="24"/>
            <w:szCs w:val="40"/>
          </w:rPr>
          <w:fldChar w:fldCharType="separate"/>
        </w:r>
        <w:r w:rsidRPr="00C92FA9">
          <w:rPr>
            <w:noProof/>
            <w:sz w:val="24"/>
            <w:szCs w:val="40"/>
          </w:rPr>
          <w:t>2</w:t>
        </w:r>
        <w:r w:rsidRPr="00C92FA9">
          <w:rPr>
            <w:noProof/>
            <w:sz w:val="24"/>
            <w:szCs w:val="40"/>
          </w:rPr>
          <w:fldChar w:fldCharType="end"/>
        </w:r>
      </w:p>
    </w:sdtContent>
  </w:sdt>
  <w:p w14:paraId="58A728C1" w14:textId="77777777" w:rsidR="009010D9" w:rsidRPr="00B04996" w:rsidRDefault="009010D9" w:rsidP="006C14F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C271F" w14:textId="77777777" w:rsidR="009010D9" w:rsidRDefault="009010D9" w:rsidP="006C14F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882258"/>
      <w:docPartObj>
        <w:docPartGallery w:val="Page Numbers (Bottom of Page)"/>
        <w:docPartUnique/>
      </w:docPartObj>
    </w:sdtPr>
    <w:sdtEndPr>
      <w:rPr>
        <w:noProof/>
        <w:sz w:val="24"/>
        <w:szCs w:val="40"/>
      </w:rPr>
    </w:sdtEndPr>
    <w:sdtContent>
      <w:p w14:paraId="40360493" w14:textId="45C86280" w:rsidR="0085116B" w:rsidRPr="0085116B" w:rsidRDefault="0085116B">
        <w:pPr>
          <w:pStyle w:val="Footer"/>
          <w:rPr>
            <w:sz w:val="24"/>
            <w:szCs w:val="40"/>
          </w:rPr>
        </w:pPr>
        <w:r w:rsidRPr="0085116B">
          <w:rPr>
            <w:sz w:val="24"/>
            <w:szCs w:val="40"/>
          </w:rPr>
          <w:fldChar w:fldCharType="begin"/>
        </w:r>
        <w:r w:rsidRPr="0085116B">
          <w:rPr>
            <w:sz w:val="24"/>
            <w:szCs w:val="40"/>
          </w:rPr>
          <w:instrText xml:space="preserve"> PAGE   \* MERGEFORMAT </w:instrText>
        </w:r>
        <w:r w:rsidRPr="0085116B">
          <w:rPr>
            <w:sz w:val="24"/>
            <w:szCs w:val="40"/>
          </w:rPr>
          <w:fldChar w:fldCharType="separate"/>
        </w:r>
        <w:r w:rsidRPr="0085116B">
          <w:rPr>
            <w:noProof/>
            <w:sz w:val="24"/>
            <w:szCs w:val="40"/>
          </w:rPr>
          <w:t>2</w:t>
        </w:r>
        <w:r w:rsidRPr="0085116B">
          <w:rPr>
            <w:noProof/>
            <w:sz w:val="24"/>
            <w:szCs w:val="40"/>
          </w:rPr>
          <w:fldChar w:fldCharType="end"/>
        </w:r>
      </w:p>
    </w:sdtContent>
  </w:sdt>
  <w:p w14:paraId="0738EAFF" w14:textId="77777777" w:rsidR="0006475C" w:rsidRPr="00B04996" w:rsidRDefault="0006475C" w:rsidP="006C14F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532935"/>
      <w:docPartObj>
        <w:docPartGallery w:val="Page Numbers (Bottom of Page)"/>
        <w:docPartUnique/>
      </w:docPartObj>
    </w:sdtPr>
    <w:sdtEndPr>
      <w:rPr>
        <w:noProof/>
      </w:rPr>
    </w:sdtEndPr>
    <w:sdtContent>
      <w:p w14:paraId="53075280" w14:textId="77777777" w:rsidR="0006475C" w:rsidRDefault="0006475C" w:rsidP="00FF38B3">
        <w:pPr>
          <w:pStyle w:val="Footer"/>
        </w:pPr>
        <w:r w:rsidRPr="00D43DB8">
          <w:rPr>
            <w:sz w:val="24"/>
          </w:rPr>
          <w:fldChar w:fldCharType="begin"/>
        </w:r>
        <w:r w:rsidRPr="00D43DB8">
          <w:rPr>
            <w:sz w:val="24"/>
          </w:rPr>
          <w:instrText xml:space="preserve"> PAGE   \* MERGEFORMAT </w:instrText>
        </w:r>
        <w:r w:rsidRPr="00D43DB8">
          <w:rPr>
            <w:sz w:val="24"/>
          </w:rPr>
          <w:fldChar w:fldCharType="separate"/>
        </w:r>
        <w:r w:rsidRPr="00D43DB8">
          <w:rPr>
            <w:noProof/>
            <w:sz w:val="24"/>
          </w:rPr>
          <w:t>2</w:t>
        </w:r>
        <w:r w:rsidRPr="00D43DB8">
          <w:rPr>
            <w:noProof/>
            <w:sz w:val="24"/>
          </w:rPr>
          <w:fldChar w:fldCharType="end"/>
        </w:r>
      </w:p>
    </w:sdtContent>
  </w:sdt>
  <w:p w14:paraId="5AF4E97E" w14:textId="77777777" w:rsidR="0006475C" w:rsidRPr="00B04996" w:rsidRDefault="0006475C" w:rsidP="006C14F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4199146"/>
      <w:docPartObj>
        <w:docPartGallery w:val="Page Numbers (Bottom of Page)"/>
        <w:docPartUnique/>
      </w:docPartObj>
    </w:sdtPr>
    <w:sdtEndPr>
      <w:rPr>
        <w:noProof/>
      </w:rPr>
    </w:sdtEndPr>
    <w:sdtContent>
      <w:p w14:paraId="140AC605" w14:textId="77777777" w:rsidR="0006475C" w:rsidRDefault="0006475C">
        <w:pPr>
          <w:pStyle w:val="Footer"/>
          <w:jc w:val="left"/>
        </w:pPr>
        <w:r w:rsidRPr="00D43DB8">
          <w:rPr>
            <w:sz w:val="24"/>
          </w:rPr>
          <w:fldChar w:fldCharType="begin"/>
        </w:r>
        <w:r w:rsidRPr="00D43DB8">
          <w:rPr>
            <w:sz w:val="24"/>
          </w:rPr>
          <w:instrText xml:space="preserve"> PAGE   \* MERGEFORMAT </w:instrText>
        </w:r>
        <w:r w:rsidRPr="00D43DB8">
          <w:rPr>
            <w:sz w:val="24"/>
          </w:rPr>
          <w:fldChar w:fldCharType="separate"/>
        </w:r>
        <w:r w:rsidRPr="00D43DB8">
          <w:rPr>
            <w:noProof/>
            <w:sz w:val="24"/>
          </w:rPr>
          <w:t>2</w:t>
        </w:r>
        <w:r w:rsidRPr="00D43DB8">
          <w:rPr>
            <w:noProof/>
            <w:sz w:val="24"/>
          </w:rPr>
          <w:fldChar w:fldCharType="end"/>
        </w:r>
      </w:p>
    </w:sdtContent>
  </w:sdt>
  <w:p w14:paraId="7C5B5B12" w14:textId="77777777" w:rsidR="0006475C" w:rsidRPr="00B04996" w:rsidRDefault="0006475C" w:rsidP="006C1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507B0" w14:textId="77777777" w:rsidR="00361315" w:rsidRPr="000653A9" w:rsidRDefault="00361315" w:rsidP="00F73B5B">
      <w:r w:rsidRPr="000653A9">
        <w:separator/>
      </w:r>
    </w:p>
  </w:footnote>
  <w:footnote w:type="continuationSeparator" w:id="0">
    <w:p w14:paraId="4227FD44" w14:textId="77777777" w:rsidR="00361315" w:rsidRPr="000653A9" w:rsidRDefault="00361315" w:rsidP="00F73B5B">
      <w:r w:rsidRPr="000653A9">
        <w:continuationSeparator/>
      </w:r>
    </w:p>
    <w:p w14:paraId="132C029B" w14:textId="77777777" w:rsidR="00361315" w:rsidRPr="000653A9" w:rsidRDefault="00361315" w:rsidP="00F73B5B"/>
  </w:footnote>
  <w:footnote w:type="continuationNotice" w:id="1">
    <w:p w14:paraId="57228808" w14:textId="77777777" w:rsidR="00361315" w:rsidRPr="000653A9" w:rsidRDefault="00361315" w:rsidP="00F73B5B"/>
  </w:footnote>
  <w:footnote w:id="2">
    <w:p w14:paraId="07991ACA" w14:textId="20F26C10" w:rsidR="005D6256" w:rsidRPr="00C92FA9" w:rsidRDefault="005D6256"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9010D9" w:rsidRPr="00C92FA9">
        <w:rPr>
          <w:rFonts w:cs="Times New Roman"/>
          <w:sz w:val="20"/>
          <w:szCs w:val="20"/>
        </w:rPr>
        <w:tab/>
      </w:r>
      <w:r w:rsidRPr="00C92FA9">
        <w:rPr>
          <w:rFonts w:cs="Times New Roman"/>
          <w:sz w:val="20"/>
          <w:szCs w:val="20"/>
        </w:rPr>
        <w:t>The Cross Sectoral Correction Factor (CSCF) is used to prevent free allocation exceeding the free allocation budget and is applied to preliminary</w:t>
      </w:r>
      <w:r w:rsidR="002A74C2" w:rsidRPr="00C92FA9">
        <w:rPr>
          <w:rFonts w:cs="Times New Roman"/>
          <w:sz w:val="20"/>
          <w:szCs w:val="20"/>
        </w:rPr>
        <w:t xml:space="preserve"> </w:t>
      </w:r>
      <w:r w:rsidRPr="00C92FA9">
        <w:rPr>
          <w:rFonts w:cs="Times New Roman"/>
          <w:sz w:val="20"/>
          <w:szCs w:val="20"/>
        </w:rPr>
        <w:t>allocation to determine the final allocation.</w:t>
      </w:r>
    </w:p>
  </w:footnote>
  <w:footnote w:id="3">
    <w:p w14:paraId="33D9E61D" w14:textId="0F28682C" w:rsidR="006922D5" w:rsidRPr="00C92FA9" w:rsidRDefault="006922D5"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9010D9" w:rsidRPr="00C92FA9">
        <w:rPr>
          <w:rFonts w:cs="Times New Roman"/>
          <w:sz w:val="20"/>
          <w:szCs w:val="20"/>
        </w:rPr>
        <w:tab/>
      </w:r>
      <w:r w:rsidRPr="00C92FA9">
        <w:rPr>
          <w:rFonts w:cs="Times New Roman"/>
          <w:sz w:val="20"/>
          <w:szCs w:val="20"/>
        </w:rPr>
        <w:t>Commission Delegated Regulation (EU) 2024/873 of 30 January 2024 amending Delegated Regulation (EU) 2019/331 as regards transitional Union-wide rules for harmonised free allocation of emission allowances</w:t>
      </w:r>
    </w:p>
  </w:footnote>
  <w:footnote w:id="4">
    <w:p w14:paraId="6B615F37" w14:textId="0701FAE8" w:rsidR="002E1DAA" w:rsidRPr="00C92FA9" w:rsidRDefault="002E1DAA"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06475C" w:rsidRPr="00C92FA9">
        <w:rPr>
          <w:rFonts w:cs="Times New Roman"/>
          <w:sz w:val="20"/>
          <w:szCs w:val="20"/>
        </w:rPr>
        <w:tab/>
      </w:r>
      <w:r w:rsidRPr="00C92FA9">
        <w:rPr>
          <w:rFonts w:cs="Times New Roman"/>
          <w:sz w:val="20"/>
          <w:szCs w:val="20"/>
        </w:rPr>
        <w:t>Guidelines on certain State aid measures in the context of the system for greenhouse gas emission allowance trading post-2021 (2020/C 317/04) supplemented by Communication 2021/C 528/01, amended by C/2026/196.</w:t>
      </w:r>
    </w:p>
  </w:footnote>
  <w:footnote w:id="5">
    <w:p w14:paraId="145A7B69" w14:textId="72035764" w:rsidR="007166D6" w:rsidRPr="00C92FA9" w:rsidRDefault="007166D6"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06475C" w:rsidRPr="00C92FA9">
        <w:rPr>
          <w:rFonts w:cs="Times New Roman"/>
          <w:sz w:val="20"/>
          <w:szCs w:val="20"/>
        </w:rPr>
        <w:tab/>
      </w:r>
      <w:r w:rsidRPr="00C92FA9">
        <w:rPr>
          <w:rFonts w:cs="Times New Roman"/>
          <w:sz w:val="20"/>
          <w:szCs w:val="20"/>
        </w:rPr>
        <w:t xml:space="preserve">The </w:t>
      </w:r>
      <w:r w:rsidR="00407A39" w:rsidRPr="00C92FA9">
        <w:rPr>
          <w:rFonts w:cs="Times New Roman"/>
          <w:sz w:val="20"/>
          <w:szCs w:val="20"/>
        </w:rPr>
        <w:t xml:space="preserve">2021 -2025 </w:t>
      </w:r>
      <w:r w:rsidRPr="00C92FA9">
        <w:rPr>
          <w:rFonts w:cs="Times New Roman"/>
          <w:sz w:val="20"/>
          <w:szCs w:val="20"/>
        </w:rPr>
        <w:t>guidelines also allow aid to exceed 75% intensity under specific circumstances.</w:t>
      </w:r>
      <w:r w:rsidR="002C0A49" w:rsidRPr="00C92FA9">
        <w:rPr>
          <w:rFonts w:cs="Times New Roman"/>
          <w:sz w:val="20"/>
          <w:szCs w:val="20"/>
        </w:rPr>
        <w:t xml:space="preserve"> The amendment for 2026-2030 </w:t>
      </w:r>
      <w:r w:rsidR="00C22D21" w:rsidRPr="00C92FA9">
        <w:rPr>
          <w:rFonts w:cs="Times New Roman"/>
          <w:sz w:val="20"/>
          <w:szCs w:val="20"/>
        </w:rPr>
        <w:t>allows aid intensity of 75% or 80%, depending on the sector.</w:t>
      </w:r>
    </w:p>
  </w:footnote>
  <w:footnote w:id="6">
    <w:p w14:paraId="123E63B6" w14:textId="053C919D" w:rsidR="00BF3218" w:rsidRPr="00C92FA9" w:rsidRDefault="00BF3218"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Style w:val="FootnoteReference"/>
          <w:rFonts w:cs="Times New Roman"/>
          <w:sz w:val="20"/>
          <w:szCs w:val="20"/>
        </w:rPr>
        <w:t xml:space="preserve"> </w:t>
      </w:r>
      <w:r w:rsidR="0006475C" w:rsidRPr="00C92FA9">
        <w:rPr>
          <w:rFonts w:cs="Times New Roman"/>
          <w:sz w:val="20"/>
          <w:szCs w:val="20"/>
        </w:rPr>
        <w:tab/>
      </w:r>
      <w:r w:rsidRPr="00C92FA9">
        <w:rPr>
          <w:rFonts w:cs="Times New Roman"/>
          <w:sz w:val="20"/>
          <w:szCs w:val="20"/>
        </w:rPr>
        <w:t>Commission Delegated Regulation (EU) 2024/873 amending Delegated Regulation (EU) 2019/331</w:t>
      </w:r>
    </w:p>
  </w:footnote>
  <w:footnote w:id="7">
    <w:p w14:paraId="4DD5A626" w14:textId="7FAAF84B" w:rsidR="00A85458" w:rsidRPr="00C92FA9" w:rsidRDefault="00A85458"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06475C" w:rsidRPr="00C92FA9">
        <w:rPr>
          <w:rFonts w:cs="Times New Roman"/>
          <w:sz w:val="20"/>
          <w:szCs w:val="20"/>
        </w:rPr>
        <w:tab/>
      </w:r>
      <w:r w:rsidRPr="00C92FA9">
        <w:rPr>
          <w:rFonts w:cs="Times New Roman"/>
          <w:sz w:val="20"/>
          <w:szCs w:val="20"/>
        </w:rPr>
        <w:t>Gasparella et al. (2023) The merit order and price-setting dynamics in European electricity markets</w:t>
      </w:r>
      <w:r w:rsidR="00656473" w:rsidRPr="00C92FA9">
        <w:rPr>
          <w:rFonts w:cs="Times New Roman"/>
          <w:sz w:val="20"/>
          <w:szCs w:val="20"/>
        </w:rPr>
        <w:t>.</w:t>
      </w:r>
      <w:r w:rsidR="001F4C41" w:rsidRPr="00C92FA9">
        <w:rPr>
          <w:rFonts w:cs="Times New Roman"/>
          <w:sz w:val="20"/>
          <w:szCs w:val="20"/>
        </w:rPr>
        <w:t xml:space="preserve"> Report</w:t>
      </w:r>
      <w:r w:rsidRPr="00C92FA9">
        <w:rPr>
          <w:rFonts w:cs="Times New Roman"/>
          <w:sz w:val="20"/>
          <w:szCs w:val="20"/>
        </w:rPr>
        <w:t xml:space="preserve"> JRC134300</w:t>
      </w:r>
    </w:p>
  </w:footnote>
  <w:footnote w:id="8">
    <w:p w14:paraId="3B7AD386" w14:textId="5D04414B" w:rsidR="002C48D6" w:rsidRPr="00C92FA9" w:rsidRDefault="002C48D6"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06475C" w:rsidRPr="00C92FA9">
        <w:rPr>
          <w:rFonts w:cs="Times New Roman"/>
          <w:sz w:val="20"/>
          <w:szCs w:val="20"/>
        </w:rPr>
        <w:tab/>
      </w:r>
      <w:r w:rsidR="006C1638" w:rsidRPr="00C92FA9">
        <w:rPr>
          <w:rFonts w:cs="Times New Roman"/>
          <w:sz w:val="20"/>
          <w:szCs w:val="20"/>
        </w:rPr>
        <w:t xml:space="preserve">Report from the Commission to the European Parliament and the Council on the functioning of the European carbon market in 2024. </w:t>
      </w:r>
      <w:r w:rsidR="00050F32" w:rsidRPr="00C92FA9">
        <w:rPr>
          <w:rFonts w:cs="Times New Roman"/>
          <w:sz w:val="20"/>
          <w:szCs w:val="20"/>
        </w:rPr>
        <w:t>SWD (</w:t>
      </w:r>
      <w:r w:rsidR="006C1638" w:rsidRPr="00C92FA9">
        <w:rPr>
          <w:rFonts w:cs="Times New Roman"/>
          <w:sz w:val="20"/>
          <w:szCs w:val="20"/>
        </w:rPr>
        <w:t>2025) 388 final.</w:t>
      </w:r>
    </w:p>
  </w:footnote>
  <w:footnote w:id="9">
    <w:p w14:paraId="67D74D57" w14:textId="0749B164" w:rsidR="007954A3" w:rsidRPr="00C92FA9" w:rsidRDefault="004D3E31"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06475C" w:rsidRPr="00C92FA9">
        <w:rPr>
          <w:rFonts w:cs="Times New Roman"/>
          <w:sz w:val="20"/>
          <w:szCs w:val="20"/>
        </w:rPr>
        <w:tab/>
      </w:r>
      <w:r w:rsidRPr="00C92FA9">
        <w:rPr>
          <w:rFonts w:cs="Times New Roman"/>
          <w:sz w:val="20"/>
          <w:szCs w:val="20"/>
        </w:rPr>
        <w:t>Communication from the Commission, Guidelines on certain State aid measures in the context of the system for greenhouse gas emission allowance trading post-2021 (2020/C 317/04)</w:t>
      </w:r>
      <w:r w:rsidR="007954A3" w:rsidRPr="00C92FA9">
        <w:rPr>
          <w:rFonts w:cs="Times New Roman"/>
          <w:sz w:val="20"/>
          <w:szCs w:val="20"/>
        </w:rPr>
        <w:t xml:space="preserve"> and</w:t>
      </w:r>
      <w:r w:rsidR="00050F32" w:rsidRPr="00C92FA9">
        <w:rPr>
          <w:rFonts w:cs="Times New Roman"/>
          <w:sz w:val="20"/>
          <w:szCs w:val="20"/>
        </w:rPr>
        <w:t xml:space="preserve"> </w:t>
      </w:r>
      <w:r w:rsidR="007954A3" w:rsidRPr="00C92FA9">
        <w:rPr>
          <w:rFonts w:cs="Times New Roman"/>
          <w:sz w:val="20"/>
          <w:szCs w:val="20"/>
        </w:rPr>
        <w:t>Communication from the Commission amending the Guidelines on certain State aid measures in the context of the system for greenhouse gas emission allowance trading post-2021. C/2026/196</w:t>
      </w:r>
    </w:p>
  </w:footnote>
  <w:footnote w:id="10">
    <w:p w14:paraId="6E02A549" w14:textId="027097B0" w:rsidR="009260A9" w:rsidRPr="00C92FA9" w:rsidRDefault="009260A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 xml:space="preserve">Commission Delegated Regulation (EU) 2019/331 of 19 December 2018 determining transitional Union-wide rules for harmonised free allocation of emission allowances pursuant to Article 10a of Directive 2003/87/EC of the European Parliament and of the Council, </w:t>
      </w:r>
      <w:hyperlink r:id="rId1" w:tooltip="Gives access to this document through its ELI URI." w:history="1">
        <w:r w:rsidRPr="00C92FA9">
          <w:rPr>
            <w:rStyle w:val="Hyperlink"/>
            <w:rFonts w:cs="Times New Roman"/>
            <w:szCs w:val="20"/>
          </w:rPr>
          <w:t>http://data.europa.eu/eli/reg_del/2019/331/oj</w:t>
        </w:r>
      </w:hyperlink>
    </w:p>
  </w:footnote>
  <w:footnote w:id="11">
    <w:p w14:paraId="75FEC878" w14:textId="680DA40C" w:rsidR="000C3AC4" w:rsidRPr="00C92FA9" w:rsidRDefault="000C3AC4"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Regulation (EU)</w:t>
      </w:r>
      <w:r w:rsidR="00B91056" w:rsidRPr="00C92FA9">
        <w:rPr>
          <w:rFonts w:cs="Times New Roman"/>
          <w:sz w:val="20"/>
          <w:szCs w:val="20"/>
        </w:rPr>
        <w:t xml:space="preserve"> 2023/956 envisages free allocation</w:t>
      </w:r>
      <w:r w:rsidR="00CD4E4D" w:rsidRPr="00C92FA9">
        <w:rPr>
          <w:rFonts w:cs="Times New Roman"/>
          <w:sz w:val="20"/>
          <w:szCs w:val="20"/>
        </w:rPr>
        <w:t>s after 2030.</w:t>
      </w:r>
    </w:p>
  </w:footnote>
  <w:footnote w:id="12">
    <w:p w14:paraId="2B833577" w14:textId="6E5B45E2" w:rsidR="00FB6CAC" w:rsidRPr="00C92FA9" w:rsidRDefault="00FB6CAC"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The proposed approach for updating benchmark values for Phase V for the purpose of the modelling exercise was to continue the update rate applied</w:t>
      </w:r>
      <w:r w:rsidR="0024785B" w:rsidRPr="00C92FA9">
        <w:rPr>
          <w:rFonts w:cs="Times New Roman"/>
          <w:sz w:val="20"/>
          <w:szCs w:val="20"/>
        </w:rPr>
        <w:t xml:space="preserve"> </w:t>
      </w:r>
      <w:r w:rsidRPr="00C92FA9">
        <w:rPr>
          <w:rFonts w:cs="Times New Roman"/>
          <w:sz w:val="20"/>
          <w:szCs w:val="20"/>
        </w:rPr>
        <w:t>for the calculation of the 2026-30 benchmarks up until 2040. The BM value for 203</w:t>
      </w:r>
      <w:r w:rsidR="00383F88" w:rsidRPr="00C92FA9">
        <w:rPr>
          <w:rFonts w:cs="Times New Roman"/>
          <w:sz w:val="20"/>
          <w:szCs w:val="20"/>
        </w:rPr>
        <w:t>1-</w:t>
      </w:r>
      <w:r w:rsidRPr="00C92FA9">
        <w:rPr>
          <w:rFonts w:cs="Times New Roman"/>
          <w:sz w:val="20"/>
          <w:szCs w:val="20"/>
        </w:rPr>
        <w:t>35 will be based on the 2033 value and the BM value for 2036-40 will be based on the 2038 value.</w:t>
      </w:r>
    </w:p>
  </w:footnote>
  <w:footnote w:id="13">
    <w:p w14:paraId="1A5F786C" w14:textId="27D9F68E" w:rsidR="00BF73CF" w:rsidRPr="00C92FA9" w:rsidRDefault="00BF73CF"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However, it is important to acknowledge that this is under the assumption that refinery output remains constant overtime. This simplification in the methodology was necessary for consistency but in reality, it is expected that the output from the refinery sector will decline over the 2031-40 period as the use of fossil fuels are expected to be progressively phased out.</w:t>
      </w:r>
    </w:p>
  </w:footnote>
  <w:footnote w:id="14">
    <w:p w14:paraId="5B9B9A2E" w14:textId="6FD471C9" w:rsidR="00BF73CF" w:rsidRPr="00C92FA9" w:rsidRDefault="00BF73CF" w:rsidP="00FF38B3">
      <w:pPr>
        <w:spacing w:before="0" w:after="0"/>
        <w:ind w:left="357" w:hanging="357"/>
        <w:contextualSpacing/>
        <w:rPr>
          <w:sz w:val="20"/>
          <w:szCs w:val="20"/>
        </w:rPr>
      </w:pPr>
      <w:r w:rsidRPr="00C92FA9">
        <w:rPr>
          <w:rStyle w:val="FootnoteReference"/>
          <w:sz w:val="20"/>
          <w:szCs w:val="20"/>
        </w:rPr>
        <w:footnoteRef/>
      </w:r>
      <w:r w:rsidRPr="00C92FA9">
        <w:rPr>
          <w:sz w:val="20"/>
          <w:szCs w:val="20"/>
        </w:rPr>
        <w:t xml:space="preserve"> </w:t>
      </w:r>
      <w:r w:rsidR="001100D1" w:rsidRPr="00C92FA9">
        <w:rPr>
          <w:sz w:val="20"/>
          <w:szCs w:val="20"/>
        </w:rPr>
        <w:tab/>
      </w:r>
      <w:r w:rsidRPr="00C92FA9">
        <w:rPr>
          <w:sz w:val="20"/>
          <w:szCs w:val="20"/>
        </w:rPr>
        <w:t>The iron and steel sector continued to receive some allocation for goods that are not currently covered under the CBAM after 2034.</w:t>
      </w:r>
    </w:p>
  </w:footnote>
  <w:footnote w:id="15">
    <w:p w14:paraId="18A706D0" w14:textId="5CF7C1FD" w:rsidR="00830486" w:rsidRPr="00C92FA9" w:rsidRDefault="00830486"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The preliminary allocation calculated under CL1 differs slightly from the baseline. The minor difference occurs due to the fact that process emissions are different in the baseline and policy scenarios due to the assumption of different caps. This results in minor differences in free allocation as allocation to process emission fall-back benchmarks are based on a share of verified emissions.</w:t>
      </w:r>
    </w:p>
  </w:footnote>
  <w:footnote w:id="16">
    <w:p w14:paraId="6069BC33" w14:textId="3E94F406" w:rsidR="00084212" w:rsidRPr="00C92FA9" w:rsidRDefault="00084212"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00D063D0" w:rsidRPr="00C92FA9">
        <w:rPr>
          <w:rFonts w:cs="Times New Roman"/>
          <w:sz w:val="20"/>
          <w:szCs w:val="20"/>
        </w:rPr>
        <w:t xml:space="preserve">The Eurostat series </w:t>
      </w:r>
      <w:r w:rsidR="00D063D0" w:rsidRPr="00C92FA9">
        <w:rPr>
          <w:rFonts w:cs="Times New Roman"/>
          <w:i/>
          <w:iCs/>
          <w:sz w:val="20"/>
          <w:szCs w:val="20"/>
        </w:rPr>
        <w:t>nrg_d_indq_n</w:t>
      </w:r>
      <w:r w:rsidR="00D063D0" w:rsidRPr="00C92FA9">
        <w:rPr>
          <w:rFonts w:cs="Times New Roman"/>
          <w:sz w:val="20"/>
          <w:szCs w:val="20"/>
        </w:rPr>
        <w:t xml:space="preserve"> was used for this purpose. </w:t>
      </w:r>
      <w:r w:rsidR="007D0C2E" w:rsidRPr="00C92FA9">
        <w:rPr>
          <w:rFonts w:cs="Times New Roman"/>
          <w:sz w:val="20"/>
          <w:szCs w:val="20"/>
        </w:rPr>
        <w:t xml:space="preserve">However, this only provides consumption at 2-digit NACE level. </w:t>
      </w:r>
      <w:r w:rsidR="00074738" w:rsidRPr="00C92FA9">
        <w:rPr>
          <w:rFonts w:cs="Times New Roman"/>
          <w:sz w:val="20"/>
          <w:szCs w:val="20"/>
        </w:rPr>
        <w:t xml:space="preserve">Electricity consumption at the appropriate </w:t>
      </w:r>
      <w:r w:rsidR="00F70EDD" w:rsidRPr="00C92FA9">
        <w:rPr>
          <w:rFonts w:cs="Times New Roman"/>
          <w:sz w:val="20"/>
          <w:szCs w:val="20"/>
        </w:rPr>
        <w:t>4-digit and 6-digit</w:t>
      </w:r>
      <w:r w:rsidR="00074738" w:rsidRPr="00C92FA9">
        <w:rPr>
          <w:rFonts w:cs="Times New Roman"/>
          <w:sz w:val="20"/>
          <w:szCs w:val="20"/>
        </w:rPr>
        <w:t xml:space="preserve"> level was estimated using</w:t>
      </w:r>
      <w:r w:rsidR="00F70EDD" w:rsidRPr="00C92FA9">
        <w:rPr>
          <w:rFonts w:cs="Times New Roman"/>
          <w:sz w:val="20"/>
          <w:szCs w:val="20"/>
        </w:rPr>
        <w:t xml:space="preserve"> </w:t>
      </w:r>
      <w:r w:rsidR="00074738" w:rsidRPr="00C92FA9">
        <w:rPr>
          <w:rFonts w:cs="Times New Roman"/>
          <w:sz w:val="20"/>
          <w:szCs w:val="20"/>
        </w:rPr>
        <w:t xml:space="preserve">production value data from the PRODCOM database as a weighting factor. </w:t>
      </w:r>
    </w:p>
  </w:footnote>
  <w:footnote w:id="17">
    <w:p w14:paraId="6D270948" w14:textId="73626D02" w:rsidR="00BA40CB" w:rsidRPr="00C92FA9" w:rsidRDefault="00BA40CB"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 xml:space="preserve">In some cases, the same emission factor covers more than one Member State based on </w:t>
      </w:r>
      <w:r w:rsidR="00D75C04" w:rsidRPr="00C92FA9">
        <w:rPr>
          <w:rFonts w:cs="Times New Roman"/>
          <w:sz w:val="20"/>
          <w:szCs w:val="20"/>
        </w:rPr>
        <w:t>price convergence.</w:t>
      </w:r>
    </w:p>
  </w:footnote>
  <w:footnote w:id="18">
    <w:p w14:paraId="175BF138" w14:textId="21FCD5F9" w:rsidR="007E4E5D" w:rsidRPr="00C92FA9" w:rsidRDefault="007E4E5D"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 xml:space="preserve">For this purpose, </w:t>
      </w:r>
      <w:r w:rsidR="00EC225A" w:rsidRPr="00C92FA9">
        <w:rPr>
          <w:rFonts w:cs="Times New Roman"/>
          <w:sz w:val="20"/>
          <w:szCs w:val="20"/>
        </w:rPr>
        <w:t>electricity consumption by PRIMES for the following sectors</w:t>
      </w:r>
      <w:r w:rsidR="006F46B9" w:rsidRPr="00C92FA9">
        <w:rPr>
          <w:rFonts w:cs="Times New Roman"/>
          <w:sz w:val="20"/>
          <w:szCs w:val="20"/>
        </w:rPr>
        <w:t xml:space="preserve"> was used</w:t>
      </w:r>
      <w:r w:rsidR="00EC225A" w:rsidRPr="00C92FA9">
        <w:rPr>
          <w:rFonts w:cs="Times New Roman"/>
          <w:sz w:val="20"/>
          <w:szCs w:val="20"/>
        </w:rPr>
        <w:t>: iron &amp; steel, pulp &amp; paper, non-ferrous metals, chemicals</w:t>
      </w:r>
      <w:r w:rsidR="006F46B9" w:rsidRPr="00C92FA9">
        <w:rPr>
          <w:rFonts w:cs="Times New Roman"/>
          <w:sz w:val="20"/>
          <w:szCs w:val="20"/>
        </w:rPr>
        <w:t xml:space="preserve">, other industrial sectors. </w:t>
      </w:r>
      <w:r w:rsidR="00276736" w:rsidRPr="00C92FA9">
        <w:rPr>
          <w:rFonts w:cs="Times New Roman"/>
          <w:sz w:val="20"/>
          <w:szCs w:val="20"/>
        </w:rPr>
        <w:t xml:space="preserve">The influence of each sectoral projection was weighted according to </w:t>
      </w:r>
      <w:r w:rsidR="00EC5824" w:rsidRPr="00C92FA9">
        <w:rPr>
          <w:rFonts w:cs="Times New Roman"/>
          <w:sz w:val="20"/>
          <w:szCs w:val="20"/>
        </w:rPr>
        <w:t>Eurostat electricity consumption in the period 2021-2023.</w:t>
      </w:r>
    </w:p>
  </w:footnote>
  <w:footnote w:id="19">
    <w:p w14:paraId="17A01B74" w14:textId="7BA968D3" w:rsidR="00BD56D2" w:rsidRPr="00C92FA9" w:rsidRDefault="00BD56D2"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 xml:space="preserve">JRC analysis is taken from </w:t>
      </w:r>
      <w:r w:rsidR="00D31F48" w:rsidRPr="00C92FA9">
        <w:rPr>
          <w:rFonts w:cs="Times New Roman"/>
          <w:sz w:val="20"/>
          <w:szCs w:val="20"/>
        </w:rPr>
        <w:t xml:space="preserve">Gasparella et al. (2023). </w:t>
      </w:r>
      <w:r w:rsidR="00D31F48" w:rsidRPr="00C92FA9">
        <w:rPr>
          <w:rFonts w:cs="Times New Roman"/>
          <w:i/>
          <w:iCs/>
          <w:sz w:val="20"/>
          <w:szCs w:val="20"/>
        </w:rPr>
        <w:t>The Merit Order and Price-setting Dynamics in European Electricity Markets</w:t>
      </w:r>
      <w:r w:rsidR="00D31F48" w:rsidRPr="00C92FA9">
        <w:rPr>
          <w:rFonts w:cs="Times New Roman"/>
          <w:sz w:val="20"/>
          <w:szCs w:val="20"/>
        </w:rPr>
        <w:t xml:space="preserve">. Science for Policy Brief JRC134300. </w:t>
      </w:r>
      <w:r w:rsidR="0079241D" w:rsidRPr="00C92FA9">
        <w:rPr>
          <w:rFonts w:cs="Times New Roman"/>
          <w:sz w:val="20"/>
          <w:szCs w:val="20"/>
        </w:rPr>
        <w:t xml:space="preserve">8% assumption for 2040 is based on analysis of </w:t>
      </w:r>
      <w:r w:rsidR="00396CC7" w:rsidRPr="00C92FA9">
        <w:rPr>
          <w:rFonts w:cs="Times New Roman"/>
          <w:sz w:val="20"/>
          <w:szCs w:val="20"/>
        </w:rPr>
        <w:t xml:space="preserve">price-setting </w:t>
      </w:r>
      <w:r w:rsidR="00B6160C" w:rsidRPr="00C92FA9">
        <w:rPr>
          <w:rFonts w:cs="Times New Roman"/>
          <w:sz w:val="20"/>
          <w:szCs w:val="20"/>
        </w:rPr>
        <w:t xml:space="preserve">in </w:t>
      </w:r>
      <w:r w:rsidR="0079241D" w:rsidRPr="00C92FA9">
        <w:rPr>
          <w:rFonts w:cs="Times New Roman"/>
          <w:sz w:val="20"/>
          <w:szCs w:val="20"/>
        </w:rPr>
        <w:t xml:space="preserve">Germany </w:t>
      </w:r>
      <w:r w:rsidR="00B6160C" w:rsidRPr="00C92FA9">
        <w:rPr>
          <w:rFonts w:cs="Times New Roman"/>
          <w:sz w:val="20"/>
          <w:szCs w:val="20"/>
        </w:rPr>
        <w:t>in Geis et al. (</w:t>
      </w:r>
      <w:r w:rsidR="00F9489E" w:rsidRPr="00C92FA9">
        <w:rPr>
          <w:rFonts w:cs="Times New Roman"/>
          <w:sz w:val="20"/>
          <w:szCs w:val="20"/>
        </w:rPr>
        <w:t xml:space="preserve">2025). </w:t>
      </w:r>
      <w:r w:rsidR="00F8492A" w:rsidRPr="00C92FA9">
        <w:rPr>
          <w:rFonts w:cs="Times New Roman"/>
          <w:i/>
          <w:iCs/>
          <w:sz w:val="20"/>
          <w:szCs w:val="20"/>
        </w:rPr>
        <w:t>Price Formation in a Highly-Renewable, Sector-Coupled Energy System.</w:t>
      </w:r>
      <w:r w:rsidR="00F8492A" w:rsidRPr="00C92FA9">
        <w:rPr>
          <w:rFonts w:cs="Times New Roman"/>
          <w:sz w:val="20"/>
          <w:szCs w:val="20"/>
        </w:rPr>
        <w:t xml:space="preserve"> </w:t>
      </w:r>
      <w:hyperlink r:id="rId2" w:history="1">
        <w:r w:rsidR="008C1112" w:rsidRPr="00C92FA9">
          <w:rPr>
            <w:rStyle w:val="Hyperlink"/>
            <w:rFonts w:cs="Times New Roman"/>
            <w:szCs w:val="20"/>
          </w:rPr>
          <w:t>https://doi.org/10.48550/arXiv.2509.10092</w:t>
        </w:r>
      </w:hyperlink>
      <w:r w:rsidR="008C1112" w:rsidRPr="00C92FA9">
        <w:rPr>
          <w:rFonts w:cs="Times New Roman"/>
          <w:sz w:val="20"/>
          <w:szCs w:val="20"/>
        </w:rPr>
        <w:t xml:space="preserve"> </w:t>
      </w:r>
    </w:p>
  </w:footnote>
  <w:footnote w:id="20">
    <w:p w14:paraId="18B0B0A9" w14:textId="1012AF08" w:rsidR="00CB28E2" w:rsidRPr="00C92FA9" w:rsidRDefault="00CB28E2"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F9133B" w:rsidRPr="00C92FA9">
        <w:rPr>
          <w:rFonts w:cs="Times New Roman"/>
          <w:sz w:val="20"/>
          <w:szCs w:val="20"/>
        </w:rPr>
        <w:t>Wang M (2024) Does compensating firms for indirect carbon costs work? Evidence from Finnish manufacturing</w:t>
      </w:r>
    </w:p>
  </w:footnote>
  <w:footnote w:id="21">
    <w:p w14:paraId="0926CB20" w14:textId="441E21CF" w:rsidR="00CF7D70" w:rsidRPr="00C92FA9" w:rsidRDefault="00CF7D70"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Refer to the synopsis report documenting the stakeholder engagement strategy for the evaluation and impact assessment.</w:t>
      </w:r>
    </w:p>
  </w:footnote>
  <w:footnote w:id="22">
    <w:p w14:paraId="05AEEB0B" w14:textId="1195EDCB" w:rsidR="00CE2C48" w:rsidRPr="00C92FA9" w:rsidRDefault="00CE2C48"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 xml:space="preserve">Refer to </w:t>
      </w:r>
      <w:hyperlink r:id="rId3" w:history="1">
        <w:r w:rsidRPr="00C92FA9">
          <w:rPr>
            <w:rStyle w:val="Hyperlink"/>
            <w:rFonts w:cs="Times New Roman"/>
            <w:szCs w:val="20"/>
          </w:rPr>
          <w:t>https://eur-lex.europa.eu/legal-content/EN/TXT/PDF/?uri=CELEX:E2021X0415(01)</w:t>
        </w:r>
      </w:hyperlink>
      <w:r w:rsidRPr="00C92FA9">
        <w:rPr>
          <w:rFonts w:cs="Times New Roman"/>
          <w:sz w:val="20"/>
          <w:szCs w:val="20"/>
        </w:rPr>
        <w:t>)</w:t>
      </w:r>
    </w:p>
  </w:footnote>
  <w:footnote w:id="23">
    <w:p w14:paraId="227BA8F7" w14:textId="3FD036E0" w:rsidR="00CE2C48" w:rsidRPr="00C92FA9" w:rsidRDefault="00CE2C48"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The 5,000 MWh threshold does not refer to any specific legislation but is how the data is presented. So it is more likely that sub-installations below this threshold are SMEs.</w:t>
      </w:r>
    </w:p>
  </w:footnote>
  <w:footnote w:id="24">
    <w:p w14:paraId="69477C21" w14:textId="7FBAF506" w:rsidR="0002580C" w:rsidRPr="00C92FA9" w:rsidRDefault="0002580C"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Note from IEA Electricity 2026: “Values for 2025 are preliminary. The final electricity price for US is based off the final electricity for industry in Texas. The final electricity price for China is based off the final electricity for industry in Inner Mongolia. The prices for the United States and China are indicative of the average reported prices, individual industries depend on their energy consumption levels and where they are located.”</w:t>
      </w:r>
    </w:p>
  </w:footnote>
  <w:footnote w:id="25">
    <w:p w14:paraId="21AAB834" w14:textId="07C23037" w:rsidR="00194FFB" w:rsidRPr="00C92FA9" w:rsidRDefault="00194FFB"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30439E" w:rsidRPr="00C92FA9">
        <w:rPr>
          <w:rFonts w:cs="Times New Roman"/>
          <w:sz w:val="20"/>
          <w:szCs w:val="20"/>
        </w:rPr>
        <w:t xml:space="preserve"> </w:t>
      </w:r>
      <w:r w:rsidR="00F81849">
        <w:rPr>
          <w:rFonts w:cs="Times New Roman"/>
          <w:sz w:val="20"/>
          <w:szCs w:val="20"/>
        </w:rPr>
        <w:tab/>
      </w:r>
      <w:r w:rsidR="0030439E" w:rsidRPr="00C92FA9">
        <w:rPr>
          <w:rFonts w:cs="Times New Roman"/>
          <w:sz w:val="20"/>
          <w:szCs w:val="20"/>
        </w:rPr>
        <w:t>ESTAT NRG_PC_205, band IG (150 000 MWh or over), 2025 is based only on the first semester</w:t>
      </w:r>
    </w:p>
  </w:footnote>
  <w:footnote w:id="26">
    <w:p w14:paraId="56E64CCD" w14:textId="52115B0E" w:rsidR="009D41F4" w:rsidRPr="00C92FA9" w:rsidRDefault="009D41F4"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00F652C8" w:rsidRPr="00C92FA9">
        <w:rPr>
          <w:rFonts w:cs="Times New Roman"/>
          <w:sz w:val="20"/>
          <w:szCs w:val="20"/>
        </w:rPr>
        <w:t xml:space="preserve">Communication from the Commission to the European Parliament, the Council, the European Economic and Social Committee and the Committee of the Regions, 'European Grids Package’, </w:t>
      </w:r>
      <w:r w:rsidR="00C212B3" w:rsidRPr="00C92FA9">
        <w:rPr>
          <w:rFonts w:cs="Times New Roman"/>
          <w:sz w:val="20"/>
          <w:szCs w:val="20"/>
        </w:rPr>
        <w:t>COM (</w:t>
      </w:r>
      <w:r w:rsidR="00F652C8" w:rsidRPr="00C92FA9">
        <w:rPr>
          <w:rFonts w:cs="Times New Roman"/>
          <w:sz w:val="20"/>
          <w:szCs w:val="20"/>
        </w:rPr>
        <w:t>2025)1005 final</w:t>
      </w:r>
      <w:r>
        <w:rPr>
          <w:rFonts w:cs="Times New Roman"/>
          <w:sz w:val="20"/>
          <w:szCs w:val="20"/>
        </w:rPr>
        <w:t xml:space="preserve">; </w:t>
      </w:r>
    </w:p>
  </w:footnote>
  <w:footnote w:id="27">
    <w:p w14:paraId="192B55F5" w14:textId="3524412A" w:rsidR="009D41F4" w:rsidRPr="00C92FA9" w:rsidRDefault="005367D9" w:rsidP="00FF38B3">
      <w:pPr>
        <w:pStyle w:val="FootnoteText"/>
        <w:spacing w:before="0" w:after="0"/>
        <w:ind w:left="357"/>
        <w:contextualSpacing/>
        <w:jc w:val="left"/>
        <w:rPr>
          <w:rFonts w:cs="Times New Roman"/>
          <w:sz w:val="20"/>
          <w:szCs w:val="20"/>
        </w:rPr>
      </w:pPr>
      <w:r w:rsidRPr="00C92FA9">
        <w:rPr>
          <w:rFonts w:cs="Times New Roman"/>
          <w:sz w:val="20"/>
          <w:szCs w:val="20"/>
        </w:rPr>
        <w:t>Communication from the Commission, Framework for State aid measures to support the Clean Industrial Deal. C/2025/3602</w:t>
      </w:r>
    </w:p>
  </w:footnote>
  <w:footnote w:id="28">
    <w:p w14:paraId="77DC4F8D" w14:textId="4AE4A6AC" w:rsidR="00FA3D0C" w:rsidRPr="00C92FA9" w:rsidRDefault="00FA3D0C"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 xml:space="preserve">Representing more than half of </w:t>
      </w:r>
      <w:r w:rsidR="00F844E2" w:rsidRPr="00C92FA9">
        <w:rPr>
          <w:rFonts w:cs="Times New Roman"/>
          <w:sz w:val="20"/>
          <w:szCs w:val="20"/>
        </w:rPr>
        <w:t>the 74% of respondents who supported the continuation of indirect cost compensation beyond 2030.</w:t>
      </w:r>
    </w:p>
  </w:footnote>
  <w:footnote w:id="29">
    <w:p w14:paraId="15D9636B" w14:textId="7EDF0A04" w:rsidR="00C5089B" w:rsidRPr="00C92FA9" w:rsidRDefault="00C5089B"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009A065F" w:rsidRPr="00C92FA9">
        <w:rPr>
          <w:rFonts w:cs="Times New Roman"/>
          <w:sz w:val="20"/>
          <w:szCs w:val="20"/>
        </w:rPr>
        <w:t xml:space="preserve">Annex 9 of </w:t>
      </w:r>
      <w:r w:rsidR="009E3C28" w:rsidRPr="00C92FA9">
        <w:rPr>
          <w:rFonts w:cs="Times New Roman"/>
          <w:sz w:val="20"/>
          <w:szCs w:val="20"/>
        </w:rPr>
        <w:t>SWD (</w:t>
      </w:r>
      <w:r w:rsidR="009A065F" w:rsidRPr="00C92FA9">
        <w:rPr>
          <w:rFonts w:cs="Times New Roman"/>
          <w:sz w:val="20"/>
          <w:szCs w:val="20"/>
        </w:rPr>
        <w:t>2021) 601 final. Part 4/4</w:t>
      </w:r>
    </w:p>
  </w:footnote>
  <w:footnote w:id="30">
    <w:p w14:paraId="06DD5738" w14:textId="1685891D" w:rsidR="00C7531F" w:rsidRPr="00C92FA9" w:rsidRDefault="00C7531F"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Fraunhofer ISI (2024): Direct electrification of industrial process heat</w:t>
      </w:r>
      <w:r w:rsidR="009720D2" w:rsidRPr="00C92FA9">
        <w:rPr>
          <w:rFonts w:cs="Times New Roman"/>
          <w:sz w:val="20"/>
          <w:szCs w:val="20"/>
        </w:rPr>
        <w:t>. An assessment of technologies, potentials and future prospects for the EU. Study on behalf of Agora Industry.</w:t>
      </w:r>
    </w:p>
  </w:footnote>
  <w:footnote w:id="31">
    <w:p w14:paraId="5242BE95" w14:textId="65964726" w:rsidR="001100D1" w:rsidRPr="00C92FA9" w:rsidRDefault="00D679AB" w:rsidP="00FF38B3">
      <w:pPr>
        <w:pStyle w:val="FootnoteText"/>
        <w:spacing w:before="0" w:after="0"/>
        <w:ind w:left="357" w:hanging="357"/>
        <w:contextualSpacing/>
        <w:rPr>
          <w:rFonts w:cs="Times New Roman"/>
          <w:sz w:val="20"/>
          <w:szCs w:val="20"/>
          <w:lang w:val="es-ES"/>
        </w:rPr>
      </w:pPr>
      <w:r w:rsidRPr="00C92FA9">
        <w:rPr>
          <w:rStyle w:val="FootnoteReference"/>
          <w:rFonts w:cs="Times New Roman"/>
          <w:sz w:val="20"/>
          <w:szCs w:val="20"/>
        </w:rPr>
        <w:footnoteRef/>
      </w:r>
      <w:r w:rsidR="001100D1"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European Environment Agency. </w:t>
      </w:r>
      <w:r w:rsidRPr="00C92FA9">
        <w:rPr>
          <w:rFonts w:cs="Times New Roman"/>
          <w:i/>
          <w:sz w:val="20"/>
          <w:szCs w:val="20"/>
        </w:rPr>
        <w:t>Greenhouse Gas Data Viewer</w:t>
      </w:r>
      <w:r w:rsidRPr="00C92FA9">
        <w:rPr>
          <w:rFonts w:cs="Times New Roman"/>
          <w:sz w:val="20"/>
          <w:szCs w:val="20"/>
        </w:rPr>
        <w:t xml:space="preserve">. </w:t>
      </w:r>
      <w:r w:rsidRPr="00C92FA9">
        <w:rPr>
          <w:rFonts w:cs="Times New Roman"/>
          <w:sz w:val="20"/>
          <w:szCs w:val="20"/>
          <w:lang w:val="es-ES"/>
        </w:rPr>
        <w:t>European Union,</w:t>
      </w:r>
    </w:p>
    <w:p w14:paraId="55C9EA20" w14:textId="513461A8" w:rsidR="00D679AB" w:rsidRPr="00C92FA9" w:rsidRDefault="00D679AB" w:rsidP="00FF38B3">
      <w:pPr>
        <w:pStyle w:val="FootnoteText"/>
        <w:spacing w:before="0" w:after="0"/>
        <w:ind w:left="357" w:hanging="357"/>
        <w:contextualSpacing/>
        <w:rPr>
          <w:rFonts w:cs="Times New Roman"/>
          <w:sz w:val="20"/>
          <w:szCs w:val="20"/>
        </w:rPr>
      </w:pPr>
      <w:r w:rsidRPr="00C92FA9">
        <w:rPr>
          <w:rFonts w:cs="Times New Roman"/>
          <w:sz w:val="20"/>
          <w:szCs w:val="20"/>
          <w:lang w:val="es-ES"/>
        </w:rPr>
        <w:t> </w:t>
      </w:r>
      <w:r w:rsidR="001100D1" w:rsidRPr="00C92FA9">
        <w:rPr>
          <w:rFonts w:cs="Times New Roman"/>
          <w:sz w:val="20"/>
          <w:szCs w:val="20"/>
          <w:lang w:val="es-ES"/>
        </w:rPr>
        <w:tab/>
      </w:r>
      <w:r w:rsidRPr="00C92FA9">
        <w:rPr>
          <w:rFonts w:cs="Times New Roman"/>
          <w:sz w:val="20"/>
          <w:szCs w:val="20"/>
          <w:lang w:val="es-ES"/>
        </w:rPr>
        <w:t xml:space="preserve">https://www.eea.europa.eu/data-and-maps/data/data-viewers/greenhouse-gases. </w:t>
      </w:r>
      <w:r w:rsidRPr="00C92FA9">
        <w:rPr>
          <w:rFonts w:cs="Times New Roman"/>
          <w:sz w:val="20"/>
          <w:szCs w:val="20"/>
        </w:rPr>
        <w:t>Accessed 21 August 2025.</w:t>
      </w:r>
    </w:p>
  </w:footnote>
  <w:footnote w:id="32">
    <w:p w14:paraId="3E27C117" w14:textId="4F2E2769" w:rsidR="00D679AB" w:rsidRPr="00C92FA9" w:rsidRDefault="00D679AB"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001100D1" w:rsidRPr="00C92FA9">
        <w:rPr>
          <w:rFonts w:cs="Times New Roman"/>
          <w:sz w:val="20"/>
          <w:szCs w:val="20"/>
        </w:rPr>
        <w:tab/>
        <w:t>Ibid</w:t>
      </w:r>
    </w:p>
  </w:footnote>
  <w:footnote w:id="33">
    <w:p w14:paraId="162765AD" w14:textId="38AAC375" w:rsidR="00D679AB" w:rsidRPr="00C92FA9" w:rsidRDefault="00D679AB"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0097700C"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Department of Agriculture, Environment and Rural Affairs. </w:t>
      </w:r>
      <w:r w:rsidRPr="00C92FA9">
        <w:rPr>
          <w:rFonts w:cs="Times New Roman"/>
          <w:i/>
          <w:sz w:val="20"/>
          <w:szCs w:val="20"/>
        </w:rPr>
        <w:t>Emissions Trading Schemes: Fees, Charges and Civil Penalties</w:t>
      </w:r>
      <w:r w:rsidRPr="00C92FA9">
        <w:rPr>
          <w:rFonts w:cs="Times New Roman"/>
          <w:sz w:val="20"/>
          <w:szCs w:val="20"/>
        </w:rPr>
        <w:t>. Northern Ireland Executive. https://www.daera-ni.gov.uk/articles/emissions-trading-schemes-fees-charges-and-civil-penalties. Accessed 21 August 2025.</w:t>
      </w:r>
    </w:p>
  </w:footnote>
  <w:footnote w:id="34">
    <w:p w14:paraId="00745AEB" w14:textId="0A1930F4" w:rsidR="00D679AB" w:rsidRPr="00C92FA9" w:rsidRDefault="00D679AB"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0097700C"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European Parliament and Council. Directive 2003/87/EC of 13 October 2003 Establishing a System for Greenhouse Gas Emission Allowance Trading within the Union and Amending Council Directive 96/61/EC (Consolidated Version as of 1 March 2024). Official Journal of the European Union. https://eur-lex.europa.eu/legal-content/EN/TXT/PDF/?uri=CELEX:02003L0087-20240301</w:t>
      </w:r>
    </w:p>
  </w:footnote>
  <w:footnote w:id="35">
    <w:p w14:paraId="0054A00D" w14:textId="0377C521" w:rsidR="00D679AB" w:rsidRPr="00C92FA9" w:rsidRDefault="00D679AB"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0097700C"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Schleich, Joachim, and Regina Betz. "EU Emissions Trading and Transaction Costs for Small and Medium Sized Companies." </w:t>
      </w:r>
      <w:r w:rsidRPr="00C92FA9">
        <w:rPr>
          <w:rFonts w:cs="Times New Roman"/>
          <w:i/>
          <w:sz w:val="20"/>
          <w:szCs w:val="20"/>
        </w:rPr>
        <w:t>Intereconomics</w:t>
      </w:r>
      <w:r w:rsidRPr="00C92FA9">
        <w:rPr>
          <w:rFonts w:cs="Times New Roman"/>
          <w:sz w:val="20"/>
          <w:szCs w:val="20"/>
        </w:rPr>
        <w:t> 39, no. 3 (2004): 121–123. Heidelberg: Springer. https://www.econstor.eu/bitstream/10419/41807/1/388948892.pdf</w:t>
      </w:r>
    </w:p>
  </w:footnote>
  <w:footnote w:id="36">
    <w:p w14:paraId="6088336F" w14:textId="24D23737" w:rsidR="00D679AB" w:rsidRPr="00C92FA9" w:rsidRDefault="00D679AB"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0097700C"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Department of Agriculture, Environment and Rural Affairs</w:t>
      </w:r>
      <w:r w:rsidR="00A71849" w:rsidRPr="00C92FA9">
        <w:rPr>
          <w:rFonts w:cs="Times New Roman"/>
          <w:sz w:val="20"/>
          <w:szCs w:val="20"/>
        </w:rPr>
        <w:t xml:space="preserve"> (DAERA)</w:t>
      </w:r>
      <w:r w:rsidRPr="00C92FA9">
        <w:rPr>
          <w:rFonts w:cs="Times New Roman"/>
          <w:sz w:val="20"/>
          <w:szCs w:val="20"/>
        </w:rPr>
        <w:t>. </w:t>
      </w:r>
      <w:r w:rsidRPr="00C92FA9">
        <w:rPr>
          <w:rFonts w:cs="Times New Roman"/>
          <w:i/>
          <w:sz w:val="20"/>
          <w:szCs w:val="20"/>
        </w:rPr>
        <w:t>Emissions Trading Schemes: Fees, Charges and Civil Penalties</w:t>
      </w:r>
      <w:r w:rsidRPr="00C92FA9">
        <w:rPr>
          <w:rFonts w:cs="Times New Roman"/>
          <w:sz w:val="20"/>
          <w:szCs w:val="20"/>
        </w:rPr>
        <w:t>. Northern Ireland Executive. https://www.daera-ni.gov.uk/articles/emissions-trading-schemes-fees-charges-and-civil-penalties. Accessed 21 August 2025.</w:t>
      </w:r>
    </w:p>
  </w:footnote>
  <w:footnote w:id="37">
    <w:p w14:paraId="1B5C3B55" w14:textId="0F12515B" w:rsidR="00FD7A94" w:rsidRPr="00C92FA9" w:rsidRDefault="00FD7A94"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0097700C"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European Environment Agency. </w:t>
      </w:r>
      <w:r w:rsidRPr="00C92FA9">
        <w:rPr>
          <w:rFonts w:cs="Times New Roman"/>
          <w:i/>
          <w:sz w:val="20"/>
          <w:szCs w:val="20"/>
        </w:rPr>
        <w:t>Monitoring Mechanism Regulation (MMR) Reporting Tools</w:t>
      </w:r>
      <w:r w:rsidRPr="00C92FA9">
        <w:rPr>
          <w:rFonts w:cs="Times New Roman"/>
          <w:sz w:val="20"/>
          <w:szCs w:val="20"/>
        </w:rPr>
        <w:t>. Eionet Central Data Repository. https://cdr.eionet.europa.eu/at/eu/mcp/. Accessed 21 August 2025.</w:t>
      </w:r>
    </w:p>
  </w:footnote>
  <w:footnote w:id="38">
    <w:p w14:paraId="7E04F4B6" w14:textId="40336765" w:rsidR="00D679AB" w:rsidRPr="00C92FA9" w:rsidRDefault="00D679AB"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001100D1" w:rsidRPr="00C92FA9">
        <w:rPr>
          <w:rFonts w:cs="Times New Roman"/>
          <w:sz w:val="20"/>
          <w:szCs w:val="20"/>
        </w:rPr>
        <w:t xml:space="preserve"> </w:t>
      </w:r>
      <w:r w:rsidR="001100D1" w:rsidRPr="00C92FA9">
        <w:rPr>
          <w:rFonts w:cs="Times New Roman"/>
          <w:sz w:val="20"/>
          <w:szCs w:val="20"/>
        </w:rPr>
        <w:tab/>
      </w:r>
      <w:r w:rsidRPr="00C92FA9">
        <w:rPr>
          <w:rFonts w:cs="Times New Roman"/>
          <w:sz w:val="20"/>
          <w:szCs w:val="20"/>
        </w:rPr>
        <w:t>Heindl, Peter. The Impact of Administrative Transaction Costs in the EU Emissions Trading System. </w:t>
      </w:r>
      <w:r w:rsidRPr="00C92FA9">
        <w:rPr>
          <w:rFonts w:cs="Times New Roman"/>
          <w:sz w:val="20"/>
          <w:szCs w:val="20"/>
          <w:lang w:val="de-DE"/>
        </w:rPr>
        <w:t>ZEW Discussion Paper No. 15-076. Mannheim: Zentrum für Europäische Wirtschaftsforschung (ZEW), 2015. </w:t>
      </w:r>
      <w:hyperlink r:id="rId4" w:history="1">
        <w:r w:rsidRPr="00C92FA9">
          <w:rPr>
            <w:rStyle w:val="Hyperlink"/>
            <w:rFonts w:cs="Times New Roman"/>
            <w:i/>
            <w:szCs w:val="20"/>
          </w:rPr>
          <w:t>https://www.econstor.eu/bitstream/10419/41807/1/388948892.pdf</w:t>
        </w:r>
      </w:hyperlink>
      <w:r w:rsidRPr="00C92FA9">
        <w:rPr>
          <w:rFonts w:cs="Times New Roman"/>
          <w:sz w:val="20"/>
          <w:szCs w:val="20"/>
        </w:rPr>
        <w:t>.</w:t>
      </w:r>
    </w:p>
  </w:footnote>
  <w:footnote w:id="39">
    <w:p w14:paraId="5C2155F0" w14:textId="4CC7C45C" w:rsidR="00BD4FCB" w:rsidRPr="00C92FA9" w:rsidRDefault="00BD4FCB" w:rsidP="00FF38B3">
      <w:pPr>
        <w:pStyle w:val="FootnoteText"/>
        <w:spacing w:before="0" w:after="0"/>
        <w:ind w:left="357" w:hanging="357"/>
        <w:contextualSpacing/>
        <w:rPr>
          <w:rFonts w:cs="Times New Roman"/>
          <w:sz w:val="20"/>
          <w:szCs w:val="20"/>
          <w:lang w:val="de-DE"/>
        </w:rPr>
      </w:pPr>
      <w:r w:rsidRPr="00C92FA9">
        <w:rPr>
          <w:rStyle w:val="FootnoteReference"/>
          <w:rFonts w:cs="Times New Roman"/>
          <w:sz w:val="20"/>
          <w:szCs w:val="20"/>
        </w:rPr>
        <w:footnoteRef/>
      </w:r>
      <w:r w:rsidRPr="00C92FA9">
        <w:rPr>
          <w:rFonts w:cs="Times New Roman"/>
          <w:sz w:val="20"/>
          <w:szCs w:val="20"/>
        </w:rPr>
        <w:t xml:space="preserve"> </w:t>
      </w:r>
      <w:r w:rsidR="001100D1" w:rsidRPr="00C92FA9">
        <w:rPr>
          <w:rFonts w:cs="Times New Roman"/>
          <w:sz w:val="20"/>
          <w:szCs w:val="20"/>
        </w:rPr>
        <w:tab/>
      </w:r>
      <w:r w:rsidR="00456B97" w:rsidRPr="00C92FA9">
        <w:rPr>
          <w:rFonts w:cs="Times New Roman"/>
          <w:sz w:val="20"/>
          <w:szCs w:val="20"/>
        </w:rPr>
        <w:t>Heindl, Peter. </w:t>
      </w:r>
      <w:r w:rsidR="00456B97" w:rsidRPr="00C92FA9">
        <w:rPr>
          <w:rFonts w:cs="Times New Roman"/>
          <w:i/>
          <w:sz w:val="20"/>
          <w:szCs w:val="20"/>
        </w:rPr>
        <w:t>Transaction Costs and Tradable Permits: Empirical Evidence from the EU Emissions Trading Scheme.</w:t>
      </w:r>
      <w:r w:rsidR="00456B97" w:rsidRPr="00C92FA9">
        <w:rPr>
          <w:rFonts w:cs="Times New Roman"/>
          <w:sz w:val="20"/>
          <w:szCs w:val="20"/>
        </w:rPr>
        <w:t> </w:t>
      </w:r>
      <w:r w:rsidR="00456B97" w:rsidRPr="00C92FA9">
        <w:rPr>
          <w:rFonts w:cs="Times New Roman"/>
          <w:sz w:val="20"/>
          <w:szCs w:val="20"/>
          <w:lang w:val="de-DE"/>
        </w:rPr>
        <w:t>ZEW Discussion Paper No. 12-021. Mannheim: Zentrum für Europäische Wirtschaftsforschung (ZEW), 2012. https://nbn-resolving.de/urn:nbn:de:bsz:180-madoc-322019</w:t>
      </w:r>
    </w:p>
  </w:footnote>
  <w:footnote w:id="40">
    <w:p w14:paraId="03010A10" w14:textId="77777777" w:rsidR="009F1235" w:rsidRPr="00C92FA9" w:rsidRDefault="009F1235"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European Parliament. </w:t>
      </w:r>
      <w:r w:rsidRPr="00C92FA9">
        <w:rPr>
          <w:rStyle w:val="Emphasis"/>
          <w:rFonts w:ascii="Times New Roman" w:hAnsi="Times New Roman" w:cs="Times New Roman"/>
          <w:sz w:val="20"/>
          <w:szCs w:val="20"/>
        </w:rPr>
        <w:t>Charter of Fundamental Rights of the European Union</w:t>
      </w:r>
      <w:r w:rsidRPr="00C92FA9">
        <w:rPr>
          <w:rFonts w:cs="Times New Roman"/>
          <w:sz w:val="20"/>
          <w:szCs w:val="20"/>
        </w:rPr>
        <w:t xml:space="preserve">, 2000/C 364/01, proclaimed in Nice on December 7, 2000, </w:t>
      </w:r>
      <w:hyperlink r:id="rId5" w:tgtFrame="_blank" w:history="1">
        <w:r w:rsidRPr="00C92FA9">
          <w:rPr>
            <w:rStyle w:val="Hyperlink"/>
            <w:rFonts w:cs="Times New Roman"/>
            <w:szCs w:val="20"/>
          </w:rPr>
          <w:t>https://www.europarl.europa.eu/charter/pdf/text_en.pdf</w:t>
        </w:r>
      </w:hyperlink>
      <w:r w:rsidRPr="00C92FA9">
        <w:rPr>
          <w:rFonts w:cs="Times New Roman"/>
          <w:sz w:val="20"/>
          <w:szCs w:val="20"/>
        </w:rPr>
        <w:t>.</w:t>
      </w:r>
    </w:p>
  </w:footnote>
  <w:footnote w:id="41">
    <w:p w14:paraId="17E42C06" w14:textId="77777777" w:rsidR="00D679AB" w:rsidRPr="00C92FA9" w:rsidRDefault="00D679AB"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These are emissions that Member States can exclude from EU ETS subject to equivalent national measures being in place</w:t>
      </w:r>
    </w:p>
  </w:footnote>
  <w:footnote w:id="42">
    <w:p w14:paraId="27799D60" w14:textId="77777777" w:rsidR="00D679AB" w:rsidRPr="00C92FA9" w:rsidRDefault="00D679AB"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European Environment Agency. </w:t>
      </w:r>
      <w:r w:rsidRPr="00C92FA9">
        <w:rPr>
          <w:rFonts w:cs="Times New Roman"/>
          <w:i/>
          <w:sz w:val="20"/>
          <w:szCs w:val="20"/>
        </w:rPr>
        <w:t>Monitoring Mechanism Regulation (MMR) Reporting Tools</w:t>
      </w:r>
      <w:r w:rsidRPr="00C92FA9">
        <w:rPr>
          <w:rFonts w:cs="Times New Roman"/>
          <w:sz w:val="20"/>
          <w:szCs w:val="20"/>
        </w:rPr>
        <w:t>. Eionet Central Data Repository. https://cdr.eionet.europa.eu/at/eu/mcp/. Accessed 21 August 2025.</w:t>
      </w:r>
    </w:p>
  </w:footnote>
  <w:footnote w:id="43">
    <w:p w14:paraId="6674B084" w14:textId="77777777" w:rsidR="00D679AB" w:rsidRPr="00C92FA9" w:rsidRDefault="00D679AB"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European Commission: Directorate-General for Climate Action, Oudenes, M., Iersel, S. v., Bystricky, E. and Gardiner, A., Application of the European Union Emissions Trading Directive – Analysis of national responses under Article 21 of the EU ETS Directive (reported data in 2023), Publications Office of the European Union, 2024, https://data.europa.eu/doi/10.2834/662983</w:t>
      </w:r>
    </w:p>
  </w:footnote>
  <w:footnote w:id="44">
    <w:p w14:paraId="18C9BC3C" w14:textId="14F03973" w:rsidR="009010D9" w:rsidRPr="00C92FA9" w:rsidRDefault="009010D9"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sidRPr="00C92FA9">
        <w:rPr>
          <w:rFonts w:cs="Times New Roman"/>
          <w:sz w:val="20"/>
          <w:szCs w:val="20"/>
        </w:rPr>
        <w:tab/>
      </w:r>
      <w:r w:rsidRPr="00C92FA9">
        <w:rPr>
          <w:rFonts w:cs="Times New Roman"/>
          <w:sz w:val="20"/>
          <w:szCs w:val="20"/>
        </w:rPr>
        <w:t xml:space="preserve">European Commission (2025). </w:t>
      </w:r>
      <w:r w:rsidRPr="00C92FA9">
        <w:rPr>
          <w:rFonts w:cs="Times New Roman"/>
          <w:i/>
          <w:iCs/>
          <w:sz w:val="20"/>
          <w:szCs w:val="20"/>
        </w:rPr>
        <w:t>Waste Framework Directive.</w:t>
      </w:r>
      <w:r w:rsidRPr="00C92FA9">
        <w:rPr>
          <w:rFonts w:cs="Times New Roman"/>
          <w:sz w:val="20"/>
          <w:szCs w:val="20"/>
        </w:rPr>
        <w:t xml:space="preserve"> Available at: https://environment.ec.europa.eu/topics/waste-and-recycling/waste-framework-directive_en (Accessed: 7 November 2025).</w:t>
      </w:r>
    </w:p>
  </w:footnote>
  <w:footnote w:id="45">
    <w:p w14:paraId="0E4707FE" w14:textId="5ED8B94E" w:rsidR="009010D9" w:rsidRPr="00C92FA9" w:rsidRDefault="009010D9"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sidRPr="00C92FA9">
        <w:rPr>
          <w:rFonts w:cs="Times New Roman"/>
          <w:sz w:val="20"/>
          <w:szCs w:val="20"/>
        </w:rPr>
        <w:tab/>
      </w:r>
      <w:r w:rsidRPr="00C92FA9">
        <w:rPr>
          <w:rFonts w:cs="Times New Roman"/>
          <w:sz w:val="20"/>
          <w:szCs w:val="20"/>
        </w:rPr>
        <w:t xml:space="preserve">CRT source category 5A to 5D. </w:t>
      </w:r>
      <w:r w:rsidRPr="00C92FA9">
        <w:rPr>
          <w:rFonts w:eastAsia="Arial" w:cs="Times New Roman"/>
          <w:sz w:val="20"/>
          <w:szCs w:val="20"/>
          <w:lang w:val="fr-BE"/>
        </w:rPr>
        <w:t xml:space="preserve">UNFCCC </w:t>
      </w:r>
      <w:r w:rsidRPr="00C92FA9">
        <w:rPr>
          <w:rFonts w:cs="Times New Roman"/>
          <w:sz w:val="20"/>
          <w:szCs w:val="20"/>
          <w:lang w:val="fr-BE"/>
        </w:rPr>
        <w:t xml:space="preserve">EU National Inventory Document (NID) (2025). </w:t>
      </w:r>
      <w:r w:rsidRPr="00C92FA9">
        <w:rPr>
          <w:rFonts w:cs="Times New Roman"/>
          <w:sz w:val="20"/>
          <w:szCs w:val="20"/>
        </w:rPr>
        <w:t>Available at:  https://www.eea.europa.eu/en/analysis/publications/annual-european-union-greenhouse-gas-inventory-2025/eu-nid-2025-1.pdf/@@download/file</w:t>
      </w:r>
    </w:p>
  </w:footnote>
  <w:footnote w:id="46">
    <w:p w14:paraId="560A459B" w14:textId="3B49DEF2" w:rsidR="009010D9" w:rsidRPr="00C92FA9" w:rsidRDefault="009010D9"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sidRPr="00C92FA9">
        <w:rPr>
          <w:rFonts w:cs="Times New Roman"/>
          <w:sz w:val="20"/>
          <w:szCs w:val="20"/>
        </w:rPr>
        <w:tab/>
      </w:r>
      <w:r w:rsidRPr="00C92FA9">
        <w:rPr>
          <w:rFonts w:cs="Times New Roman"/>
          <w:sz w:val="20"/>
          <w:szCs w:val="20"/>
        </w:rPr>
        <w:t>Counting fossil and biogenic emissions of waste incineration with energy recovery of all waste types (municipal, industrial and hazardous). See section 1.2.1.2. for more details.</w:t>
      </w:r>
    </w:p>
  </w:footnote>
  <w:footnote w:id="47">
    <w:p w14:paraId="631D3D33" w14:textId="61A03442"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eastAsia="Arial" w:cs="Times New Roman"/>
          <w:sz w:val="20"/>
          <w:szCs w:val="20"/>
        </w:rPr>
        <w:t xml:space="preserve">Eurostat (2025). Municipal waste statistics. Available at: </w:t>
      </w:r>
      <w:hyperlink r:id="rId6" w:anchor="Municipal_waste_treatment" w:history="1">
        <w:r w:rsidRPr="00C92FA9">
          <w:rPr>
            <w:rStyle w:val="Hyperlink"/>
            <w:rFonts w:eastAsia="Arial" w:cs="Times New Roman"/>
            <w:szCs w:val="20"/>
          </w:rPr>
          <w:t>link</w:t>
        </w:r>
      </w:hyperlink>
    </w:p>
  </w:footnote>
  <w:footnote w:id="48">
    <w:p w14:paraId="73C1AAF6" w14:textId="23D84ED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The combined volume of municipal waste recycled (+44 million tonnes of waste), composted (+31 million tonnes of waste) and incinerated (+31 million tonnes of waste) increased by two thirds more than the decrease in volume of municipal waste landfilled (-71 million tonnes of waste) over 1995-2024 (Eurostat), reflecting both a significant increase in overall municipal waste generated and a diversion of waste streams from landfilling to both composting, recycling and incineration. </w:t>
      </w:r>
    </w:p>
  </w:footnote>
  <w:footnote w:id="49">
    <w:p w14:paraId="67C88C9C" w14:textId="7E3E8F35"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Article 50(5) Industrial Emissions Directive: “Any heat generated by waste incineration plants or waste co-incineration plants shall be recovered as far as practicable.”</w:t>
      </w:r>
    </w:p>
  </w:footnote>
  <w:footnote w:id="50">
    <w:p w14:paraId="13C73695" w14:textId="4690FA5D"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CEWEP (2022). </w:t>
      </w:r>
      <w:r w:rsidRPr="00C92FA9">
        <w:rPr>
          <w:rFonts w:cs="Times New Roman"/>
          <w:i/>
          <w:iCs/>
          <w:sz w:val="20"/>
          <w:szCs w:val="20"/>
        </w:rPr>
        <w:t>Waste-to-Energy Plants in Europe in 2022.</w:t>
      </w:r>
      <w:r w:rsidRPr="00C92FA9">
        <w:rPr>
          <w:rFonts w:cs="Times New Roman"/>
          <w:sz w:val="20"/>
          <w:szCs w:val="20"/>
        </w:rPr>
        <w:t xml:space="preserve"> Available at: https://www.cewep.eu/waste-to-energy-plants-in-europe-in-2022/ </w:t>
      </w:r>
    </w:p>
  </w:footnote>
  <w:footnote w:id="51">
    <w:p w14:paraId="5C85B9E9" w14:textId="18F6B83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ZeroWasteEurope (2023). Enough is enough: the case for a moratorium on incineration. Available on : https://zerowasteeurope.eu/wp-content/uploads/2023/09/zwe_sep23_report_enoughisenoughwtemoratorium-1.pdf</w:t>
      </w:r>
    </w:p>
  </w:footnote>
  <w:footnote w:id="52">
    <w:p w14:paraId="1139F9F0" w14:textId="3428C89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8 Member States had no MWI incineration capacity in 2024 (CY, BG, EL, HR, LV, MT, RO, SI).</w:t>
      </w:r>
    </w:p>
  </w:footnote>
  <w:footnote w:id="53">
    <w:p w14:paraId="78361AF1" w14:textId="4765D011"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cs="Times New Roman"/>
          <w:sz w:val="20"/>
          <w:szCs w:val="20"/>
        </w:rPr>
        <w:t xml:space="preserve">P. Hockenos (2021). ‘Waste to Energy – Controversial power generation by incineration’, </w:t>
      </w:r>
      <w:r w:rsidRPr="00C92FA9">
        <w:rPr>
          <w:rFonts w:cs="Times New Roman"/>
          <w:i/>
          <w:sz w:val="20"/>
          <w:szCs w:val="20"/>
        </w:rPr>
        <w:t>Clean Energy Wire</w:t>
      </w:r>
      <w:r w:rsidRPr="00C92FA9">
        <w:rPr>
          <w:rFonts w:cs="Times New Roman"/>
          <w:sz w:val="20"/>
          <w:szCs w:val="20"/>
        </w:rPr>
        <w:t>, 26 May 2021. Available at: https://www.cleanenergywire.org/factsheets/waste-energy-controversial-power-generation-incineration</w:t>
      </w:r>
    </w:p>
  </w:footnote>
  <w:footnote w:id="54">
    <w:p w14:paraId="4EB47694" w14:textId="2B4A2AC5"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IPCC (2000). Emissions from waste incineration, in IPCC </w:t>
      </w:r>
      <w:r w:rsidRPr="00C92FA9">
        <w:rPr>
          <w:rFonts w:cs="Times New Roman"/>
          <w:i/>
          <w:sz w:val="20"/>
          <w:szCs w:val="20"/>
        </w:rPr>
        <w:t>Good Practice Guidance and Uncertainty Management in National Greenhouse Gas Inventories</w:t>
      </w:r>
      <w:r w:rsidRPr="00C92FA9">
        <w:rPr>
          <w:rFonts w:cs="Times New Roman"/>
          <w:sz w:val="20"/>
          <w:szCs w:val="20"/>
        </w:rPr>
        <w:t>. Published for the IPCC by the Institute for Global Environmental Strategies, Japan. Available at: https://www.ipcc-nggip.iges.or.jp/public/gp/bgp/5_3_Waste_Incineration.pdf</w:t>
      </w:r>
    </w:p>
  </w:footnote>
  <w:footnote w:id="55">
    <w:p w14:paraId="7C35DC4F" w14:textId="7891BB80"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sidRPr="00C92FA9">
        <w:rPr>
          <w:rFonts w:cs="Times New Roman"/>
          <w:sz w:val="20"/>
          <w:szCs w:val="20"/>
        </w:rPr>
        <w:tab/>
      </w:r>
      <w:r w:rsidRPr="00C92FA9">
        <w:rPr>
          <w:rFonts w:cs="Times New Roman"/>
          <w:sz w:val="20"/>
          <w:szCs w:val="20"/>
        </w:rPr>
        <w:t>Based on UNFCCC Inventory Data for categories 5C and 1A1a.</w:t>
      </w:r>
    </w:p>
  </w:footnote>
  <w:footnote w:id="56">
    <w:p w14:paraId="3951CD05" w14:textId="09D328B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sidRPr="00C92FA9">
        <w:rPr>
          <w:rFonts w:cs="Times New Roman"/>
          <w:sz w:val="20"/>
          <w:szCs w:val="20"/>
        </w:rPr>
        <w:tab/>
      </w:r>
      <w:r w:rsidRPr="00C92FA9">
        <w:rPr>
          <w:rFonts w:cs="Times New Roman"/>
          <w:sz w:val="20"/>
          <w:szCs w:val="20"/>
        </w:rPr>
        <w:t xml:space="preserve">The increase in incineration emissions is primarily driven by the increase in total municipal waste generated. The volume of plastics incinerated and the volume of plastics recycled have increased more than the volume of plastics landfilled have decreased. The EU generated 42.5 million tonnes of plastic waste in 2022, of which roughly 80% was incinerated or landfilled (JRC, 2025. </w:t>
      </w:r>
      <w:r w:rsidRPr="00C92FA9">
        <w:rPr>
          <w:rFonts w:cs="Times New Roman"/>
          <w:i/>
          <w:iCs/>
          <w:sz w:val="20"/>
          <w:szCs w:val="20"/>
        </w:rPr>
        <w:t>Plastic materials flows in the EU-27 and their environmental impacts</w:t>
      </w:r>
      <w:r w:rsidRPr="00C92FA9">
        <w:rPr>
          <w:rFonts w:cs="Times New Roman"/>
          <w:sz w:val="20"/>
          <w:szCs w:val="20"/>
        </w:rPr>
        <w:t xml:space="preserve">). </w:t>
      </w:r>
    </w:p>
  </w:footnote>
  <w:footnote w:id="57">
    <w:p w14:paraId="1232F849" w14:textId="7A47C6E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This estimate uses the PRIMES model, calibrated to Eurostat energy balances and the reporting by EU Member States under the EU Governance Regulation and reflected in GHG inventory data under UNFCCC, and compared to the emissions reported under the ETS MRV obligation in 2024, to draw an average.</w:t>
      </w:r>
    </w:p>
  </w:footnote>
  <w:footnote w:id="58">
    <w:p w14:paraId="486BB63A" w14:textId="07BF200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Total missing reporting data identified from 4 installations in 3 Member States (BE, DE, HU) estimated at ~0.40 MtCO2e in total based on combined nominal capacity and standardised fossil-based emission factor of 0.5/tonne of waste, in addition to 0.20 MtCO2e emissions reported under the fuel combustion activity by 2 installations in LT.</w:t>
      </w:r>
    </w:p>
  </w:footnote>
  <w:footnote w:id="59">
    <w:p w14:paraId="673AA144" w14:textId="0D01B08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Estimated at 4% (EU27 only) based on extrapolation of capacity increase over the previous ten-year period (2012-2022) and desk research on planned projects by 2030.</w:t>
      </w:r>
    </w:p>
  </w:footnote>
  <w:footnote w:id="60">
    <w:p w14:paraId="4F499182" w14:textId="3ED302E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Eurostat (2024). Waste Statistics. Available at: </w:t>
      </w:r>
      <w:r w:rsidRPr="00C92FA9">
        <w:rPr>
          <w:rFonts w:cs="Times New Roman"/>
          <w:color w:val="0000FF"/>
          <w:sz w:val="20"/>
          <w:szCs w:val="20"/>
          <w:u w:val="single"/>
        </w:rPr>
        <w:t>Waste statistics - Statistics Explained - Eurostat</w:t>
      </w:r>
      <w:r w:rsidRPr="00C92FA9">
        <w:rPr>
          <w:rFonts w:cs="Times New Roman"/>
          <w:sz w:val="20"/>
          <w:szCs w:val="20"/>
        </w:rPr>
        <w:t xml:space="preserve"> </w:t>
      </w:r>
    </w:p>
  </w:footnote>
  <w:footnote w:id="61">
    <w:p w14:paraId="545FFFF7" w14:textId="1263ECD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In the European Pollutant Release and Transfer Register (E-PRTR), which covers specific landfills defined as receiving 10 tonnes per day or with a total capacity of 25,000 tonnes or more, excluding inert waste landfills and those closed before July 16, 2001. Facilities only report if they exceed specific thresholds for pollutant releases or waste transfers.</w:t>
      </w:r>
    </w:p>
  </w:footnote>
  <w:footnote w:id="62">
    <w:p w14:paraId="01EB9B79" w14:textId="1FC6B3A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Commission report (COM(2023)304final) on </w:t>
      </w:r>
      <w:r w:rsidRPr="00C92FA9">
        <w:rPr>
          <w:rFonts w:cs="Times New Roman"/>
          <w:i/>
          <w:iCs/>
          <w:sz w:val="20"/>
          <w:szCs w:val="20"/>
        </w:rPr>
        <w:t>identifying Member States at risk of not meeting the 2025 preparing for re-use and  recycling target for municipal waste, the 2025 recycling target for packaging waste and  the 2035 municipal waste landfilling reduction target.</w:t>
      </w:r>
    </w:p>
  </w:footnote>
  <w:footnote w:id="63">
    <w:p w14:paraId="46B82448" w14:textId="1ABD54A2"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cs="Times New Roman"/>
          <w:sz w:val="20"/>
          <w:szCs w:val="20"/>
        </w:rPr>
        <w:t>Alongside small amounts of nitrogen, oxygen, ammonia, sulphides, hydrogen, carbon monoxide, and non-methane organic compounds (NMOCs) such as trichloroethylene, benzene, and vinyl chloride.</w:t>
      </w:r>
    </w:p>
  </w:footnote>
  <w:footnote w:id="64">
    <w:p w14:paraId="2154C842" w14:textId="701CC4F8"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eastAsia="Arial" w:cs="Times New Roman"/>
          <w:sz w:val="20"/>
          <w:szCs w:val="20"/>
        </w:rPr>
        <w:t xml:space="preserve">European Commission (2025). </w:t>
      </w:r>
      <w:r w:rsidRPr="00C92FA9">
        <w:rPr>
          <w:rFonts w:eastAsia="Arial" w:cs="Times New Roman"/>
          <w:i/>
          <w:iCs/>
          <w:sz w:val="20"/>
          <w:szCs w:val="20"/>
        </w:rPr>
        <w:t>Methane Emissions.</w:t>
      </w:r>
      <w:r w:rsidRPr="00C92FA9">
        <w:rPr>
          <w:rFonts w:eastAsia="Arial" w:cs="Times New Roman"/>
          <w:sz w:val="20"/>
          <w:szCs w:val="20"/>
        </w:rPr>
        <w:t xml:space="preserve"> Available at : https://energy.ec.europa.eu/topics/carbon-management-and-fossil-fuels/methane-emissions_en#:~:text=On%20a%20100%2Dyear%20timescale,on%20a%2020%2Dyear%20timescale</w:t>
      </w:r>
    </w:p>
  </w:footnote>
  <w:footnote w:id="65">
    <w:p w14:paraId="4C935E3F" w14:textId="7218D26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EEA (2024). Annual European Union greenhouse gas inventory 1990–2022 and inventory document 2024. Available at: </w:t>
      </w:r>
      <w:hyperlink r:id="rId7" w:history="1">
        <w:r w:rsidRPr="00C92FA9">
          <w:rPr>
            <w:rStyle w:val="Hyperlink"/>
            <w:rFonts w:cs="Times New Roman"/>
            <w:szCs w:val="20"/>
          </w:rPr>
          <w:t>https://www.eea.europa.eu/en/analysis/publications/annual-european-union-greenhouse-gas-inventory</w:t>
        </w:r>
      </w:hyperlink>
      <w:r w:rsidRPr="00C92FA9">
        <w:rPr>
          <w:rFonts w:cs="Times New Roman"/>
          <w:sz w:val="20"/>
          <w:szCs w:val="20"/>
        </w:rPr>
        <w:t xml:space="preserve">. </w:t>
      </w:r>
    </w:p>
  </w:footnote>
  <w:footnote w:id="66">
    <w:p w14:paraId="4C9381A9" w14:textId="1C757948" w:rsidR="009010D9" w:rsidRPr="00C92FA9" w:rsidRDefault="009010D9" w:rsidP="00FF38B3">
      <w:pPr>
        <w:spacing w:before="0" w:after="0"/>
        <w:ind w:left="357" w:hanging="357"/>
        <w:contextualSpacing/>
        <w:rPr>
          <w:rFonts w:eastAsia="Times New Roman"/>
          <w:sz w:val="20"/>
          <w:szCs w:val="20"/>
        </w:rPr>
      </w:pPr>
      <w:r w:rsidRPr="00C92FA9">
        <w:rPr>
          <w:sz w:val="20"/>
          <w:szCs w:val="20"/>
          <w:vertAlign w:val="superscript"/>
        </w:rPr>
        <w:footnoteRef/>
      </w:r>
      <w:r w:rsidRPr="00C92FA9">
        <w:rPr>
          <w:sz w:val="20"/>
          <w:szCs w:val="20"/>
        </w:rPr>
        <w:t xml:space="preserve"> </w:t>
      </w:r>
      <w:r w:rsidR="00C92FA9" w:rsidRPr="00C92FA9">
        <w:rPr>
          <w:sz w:val="20"/>
          <w:szCs w:val="20"/>
        </w:rPr>
        <w:tab/>
      </w:r>
      <w:r w:rsidRPr="00C92FA9">
        <w:rPr>
          <w:sz w:val="20"/>
          <w:szCs w:val="20"/>
        </w:rPr>
        <w:t xml:space="preserve">EEA (2024). </w:t>
      </w:r>
      <w:r w:rsidRPr="00C92FA9">
        <w:rPr>
          <w:i/>
          <w:iCs/>
          <w:sz w:val="20"/>
          <w:szCs w:val="20"/>
        </w:rPr>
        <w:t>Capturing the climate change mitigation benefits of circular economy and waste sector policies and measures.</w:t>
      </w:r>
      <w:r w:rsidRPr="00C92FA9">
        <w:rPr>
          <w:sz w:val="20"/>
          <w:szCs w:val="20"/>
        </w:rPr>
        <w:t xml:space="preserve"> Available at: </w:t>
      </w:r>
      <w:r w:rsidRPr="00C92FA9">
        <w:rPr>
          <w:rFonts w:eastAsia="Times New Roman"/>
          <w:sz w:val="20"/>
          <w:szCs w:val="20"/>
        </w:rPr>
        <w:t>Capturing the climate change mitigation benefits of circular economy and waste sector policies and measures | Publications | European Environment Agency (EEA)</w:t>
      </w:r>
    </w:p>
  </w:footnote>
  <w:footnote w:id="67">
    <w:p w14:paraId="51E20404" w14:textId="757649B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It is important to note the differences in scope when comparing emissions data between landfills and municipal waste incineration. Whereas landfill emissions data generally cover emissions from all solid waste, municipal waste incineration emissions cover emissions only from municipal waste.</w:t>
      </w:r>
    </w:p>
  </w:footnote>
  <w:footnote w:id="68">
    <w:p w14:paraId="66C0DC33" w14:textId="55F7087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For example, a recent study comparing different waste treatment options found that chemical recycling through solvolysis of wind blades would be the most circular solution – up to 83% more resource-efficient than the other alternatives: Diez-Canamero, B. and Mendoza, J. M. F. (2023) Circular economy performance and carbon footprint of wind turbine blade waste management alternatives. Waste Management 164: 94–105.</w:t>
      </w:r>
    </w:p>
  </w:footnote>
  <w:footnote w:id="69">
    <w:p w14:paraId="0FCC8D10" w14:textId="010C710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The bulk organic chemicals activity under the EU ETS is process specific.</w:t>
      </w:r>
    </w:p>
  </w:footnote>
  <w:footnote w:id="70">
    <w:p w14:paraId="354C4DF2" w14:textId="3BDE3C9E"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 xml:space="preserve">For example, whether its application remains limited to recycling waste streams that can otherwise not be mechanically </w:t>
      </w:r>
      <w:r w:rsidR="00421233" w:rsidRPr="00C92FA9">
        <w:rPr>
          <w:rFonts w:cs="Times New Roman"/>
          <w:sz w:val="20"/>
          <w:szCs w:val="20"/>
        </w:rPr>
        <w:t>recycled or</w:t>
      </w:r>
      <w:r w:rsidRPr="00C92FA9">
        <w:rPr>
          <w:rFonts w:cs="Times New Roman"/>
          <w:sz w:val="20"/>
          <w:szCs w:val="20"/>
        </w:rPr>
        <w:t xml:space="preserve"> is expanded to cover waste streams that could also be mechanically recycled.</w:t>
      </w:r>
    </w:p>
  </w:footnote>
  <w:footnote w:id="71">
    <w:p w14:paraId="4B56FA0E" w14:textId="4A4AA93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Such as paper and cardboard, flexible plastics, different dense plastics, wood materials, glass, ferrous metals, non-ferrous metals, etc.</w:t>
      </w:r>
    </w:p>
  </w:footnote>
  <w:footnote w:id="72">
    <w:p w14:paraId="62C3CD51" w14:textId="78F2E019"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This is, for example, applicable to the recycling of glass and metals, and for many plastics (depending on the process).</w:t>
      </w:r>
    </w:p>
  </w:footnote>
  <w:footnote w:id="73">
    <w:p w14:paraId="0CA87B4A" w14:textId="188C055D"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lang w:val="fr-BE"/>
        </w:rPr>
        <w:t xml:space="preserve">  </w:t>
      </w:r>
      <w:r w:rsidR="00C92FA9">
        <w:rPr>
          <w:rFonts w:eastAsia="Arial" w:cs="Times New Roman"/>
          <w:sz w:val="20"/>
          <w:szCs w:val="20"/>
          <w:lang w:val="fr-BE"/>
        </w:rPr>
        <w:tab/>
      </w:r>
      <w:r w:rsidRPr="00C92FA9">
        <w:rPr>
          <w:rFonts w:eastAsia="Arial" w:cs="Times New Roman"/>
          <w:sz w:val="20"/>
          <w:szCs w:val="20"/>
          <w:lang w:val="fr-BE"/>
        </w:rPr>
        <w:t xml:space="preserve">UNFCCC EU National Inventory Document (NID) (2024). </w:t>
      </w:r>
      <w:r w:rsidRPr="00C92FA9">
        <w:rPr>
          <w:rFonts w:eastAsia="Arial" w:cs="Times New Roman"/>
          <w:sz w:val="20"/>
          <w:szCs w:val="20"/>
        </w:rPr>
        <w:t xml:space="preserve">Available at: https://unfccc.int/documents/644896 </w:t>
      </w:r>
    </w:p>
  </w:footnote>
  <w:footnote w:id="74">
    <w:p w14:paraId="368E77B6" w14:textId="5D84CC5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EEA (2023). Overview of taxes on the incineration of municipal waste used in EU Member States, 2023.</w:t>
      </w:r>
    </w:p>
  </w:footnote>
  <w:footnote w:id="75">
    <w:p w14:paraId="129352F1" w14:textId="5A13FA4E"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EEA (2023). Overview of landfill taxes on municipal waste used in EU Member States, 2023.</w:t>
      </w:r>
    </w:p>
  </w:footnote>
  <w:footnote w:id="76">
    <w:p w14:paraId="38E1A884" w14:textId="392CE630"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Gate fees vary significantly between Member States and regions, ranging between 80 and 120 EUR per tonne of waste.</w:t>
      </w:r>
    </w:p>
  </w:footnote>
  <w:footnote w:id="77">
    <w:p w14:paraId="440A95F0" w14:textId="3D35F540"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While gate fees for landfills are generally lower in the EU than for municipal waste incineration, taxation and levies on landfills are considerably higher and more prevalent than on incineration; EEA (2013). Typical charge (gate fee and landfill tax) for legal landfilling of non-hazardous municipal waste in EU Member States and regions. Last updated on 11 September 2024. Available at: https://www.eea.europa.eu/en/analysis/maps-and-charts/typical-charge-gate-fee-and </w:t>
      </w:r>
    </w:p>
  </w:footnote>
  <w:footnote w:id="78">
    <w:p w14:paraId="6526E4B0" w14:textId="6832916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Conventional landfill with flaring. See Appendix 1 for further details.</w:t>
      </w:r>
    </w:p>
  </w:footnote>
  <w:footnote w:id="79">
    <w:p w14:paraId="20201F3D" w14:textId="57CBADFA" w:rsidR="009010D9" w:rsidRPr="00C92FA9" w:rsidRDefault="009010D9" w:rsidP="00FF38B3">
      <w:pPr>
        <w:pStyle w:val="FootnoteText"/>
        <w:spacing w:before="0" w:after="0"/>
        <w:ind w:left="357" w:hanging="357"/>
        <w:contextualSpacing/>
        <w:rPr>
          <w:rFonts w:cs="Times New Roman"/>
          <w:i/>
          <w:iCs/>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 xml:space="preserve">See among others: Nordic Council of Ministers (2025). Can Economic Instruments Transform Behaviour? Available at: https://pub.norden.org/temanord2025-523/index.html; CE Delft (2025) for ZeroWasteEurope. </w:t>
      </w:r>
      <w:r w:rsidRPr="00C92FA9">
        <w:rPr>
          <w:rFonts w:cs="Times New Roman"/>
          <w:i/>
          <w:iCs/>
          <w:sz w:val="20"/>
          <w:szCs w:val="20"/>
        </w:rPr>
        <w:t>Waste Incineration under the EU ETS.</w:t>
      </w:r>
      <w:r w:rsidRPr="00C92FA9">
        <w:rPr>
          <w:rFonts w:cs="Times New Roman"/>
          <w:sz w:val="20"/>
          <w:szCs w:val="20"/>
        </w:rPr>
        <w:t xml:space="preserve"> Delft, CE Delft. Available at : https://cedelft.eu/publications/waste-incineration-under-the-eu-ets/; Meens-Eriksson, S. (2024). </w:t>
      </w:r>
      <w:r w:rsidRPr="00C92FA9">
        <w:rPr>
          <w:rFonts w:cs="Times New Roman"/>
          <w:i/>
          <w:iCs/>
          <w:sz w:val="20"/>
          <w:szCs w:val="20"/>
        </w:rPr>
        <w:t>Does costlier waste treatment lead to less residual waste? Evidence from Swedish municipalities.</w:t>
      </w:r>
      <w:r w:rsidRPr="00C92FA9">
        <w:rPr>
          <w:rFonts w:cs="Times New Roman"/>
          <w:sz w:val="20"/>
          <w:szCs w:val="20"/>
        </w:rPr>
        <w:t xml:space="preserve"> In the Economics of Residual Waste. Umea University. Available at: https://umu.diva-portal.org/smash/search.jsf?dswid=-8748; Gautier, A and Salem, I (2023). </w:t>
      </w:r>
      <w:r w:rsidRPr="00C92FA9">
        <w:rPr>
          <w:rFonts w:cs="Times New Roman"/>
          <w:i/>
          <w:iCs/>
          <w:sz w:val="20"/>
          <w:szCs w:val="20"/>
        </w:rPr>
        <w:t>The impact of prices and pricing units on residual and organic waste: evidence from Wallonia, Belgium.</w:t>
      </w:r>
      <w:r w:rsidRPr="00C92FA9">
        <w:rPr>
          <w:rFonts w:cs="Times New Roman"/>
          <w:sz w:val="20"/>
          <w:szCs w:val="20"/>
        </w:rPr>
        <w:t xml:space="preserve"> </w:t>
      </w:r>
      <w:r w:rsidRPr="00C92FA9">
        <w:rPr>
          <w:rFonts w:cs="Times New Roman"/>
          <w:sz w:val="20"/>
          <w:szCs w:val="20"/>
          <w:lang w:val="fr-BE"/>
        </w:rPr>
        <w:t xml:space="preserve">Waste Management, Volume 155, pages 99-106. https://doi.org/10.1016/j.wasman.2022.10.027;  Finnish Environment Institute (SYKE) (2026). </w:t>
      </w:r>
      <w:r w:rsidRPr="00C92FA9">
        <w:rPr>
          <w:rFonts w:cs="Times New Roman"/>
          <w:i/>
          <w:sz w:val="20"/>
          <w:szCs w:val="20"/>
          <w:lang w:val="fr-BE"/>
        </w:rPr>
        <w:t xml:space="preserve">Selvitys kierrätyksen edistämisen ja jätteenpolton hillinnän ohjauskeinoista. </w:t>
      </w:r>
      <w:r w:rsidRPr="00C92FA9">
        <w:rPr>
          <w:rFonts w:cs="Times New Roman"/>
          <w:sz w:val="20"/>
          <w:szCs w:val="20"/>
          <w:lang w:val="fr-BE"/>
        </w:rPr>
        <w:t xml:space="preserve">Available at: https://julkaisut.valtioneuvosto.fi/server/api/core/bitstreams/58c2facb-a2f2-4028-9bec-4e6f146ce9b9/content; OECD (2019), Waste management and the circular economy in selected OECD countries: evidence from environmental performance reviews, OECD Environmental Performance Reviews, OECD Publishing, Paris (https://doi.org/10.1787/9789264309395-en; Sasao T. et al. </w:t>
      </w:r>
      <w:r w:rsidRPr="00C92FA9">
        <w:rPr>
          <w:rFonts w:cs="Times New Roman"/>
          <w:sz w:val="20"/>
          <w:szCs w:val="20"/>
        </w:rPr>
        <w:t xml:space="preserve">(2021). Does Weight-based pricing for municipal waste collection contribute to waste reduction? A dynamic panel analysis in Flanders. Waste Management, Volume 128, pages 132-141. Available at: https://doi.org/10.1016/j.wasman.2021.04.056; Bel G., Gradus R. (2016). </w:t>
      </w:r>
      <w:r w:rsidRPr="00C92FA9">
        <w:rPr>
          <w:rFonts w:cs="Times New Roman"/>
          <w:i/>
          <w:iCs/>
          <w:sz w:val="20"/>
          <w:szCs w:val="20"/>
        </w:rPr>
        <w:t>Effects of unit-based pricing on household waste collection demand: A meta-regression analysis.</w:t>
      </w:r>
      <w:r w:rsidRPr="00C92FA9">
        <w:rPr>
          <w:rFonts w:cs="Times New Roman"/>
          <w:sz w:val="20"/>
          <w:szCs w:val="20"/>
        </w:rPr>
        <w:t xml:space="preserve"> Resource and Energy Economics, Volume 44, 2016, Pages 169-182. https://doi.org/10.1016/j.reseneeco.2016.03.003.</w:t>
      </w:r>
    </w:p>
  </w:footnote>
  <w:footnote w:id="80">
    <w:p w14:paraId="0B5B1ED6" w14:textId="73A58487" w:rsidR="009010D9" w:rsidRPr="00C92FA9" w:rsidRDefault="009010D9" w:rsidP="00FF38B3">
      <w:pPr>
        <w:spacing w:before="0" w:after="0"/>
        <w:ind w:left="357" w:hanging="357"/>
        <w:contextualSpacing/>
        <w:rPr>
          <w:sz w:val="20"/>
          <w:szCs w:val="20"/>
        </w:rPr>
      </w:pPr>
      <w:r w:rsidRPr="00C92FA9">
        <w:rPr>
          <w:sz w:val="20"/>
          <w:szCs w:val="20"/>
          <w:vertAlign w:val="superscript"/>
        </w:rPr>
        <w:footnoteRef/>
      </w:r>
      <w:r w:rsidRPr="00C92FA9">
        <w:rPr>
          <w:sz w:val="20"/>
          <w:szCs w:val="20"/>
        </w:rPr>
        <w:t xml:space="preserve"> </w:t>
      </w:r>
      <w:r w:rsidR="00C92FA9">
        <w:rPr>
          <w:sz w:val="20"/>
          <w:szCs w:val="20"/>
        </w:rPr>
        <w:tab/>
      </w:r>
      <w:r w:rsidRPr="00C92FA9">
        <w:rPr>
          <w:sz w:val="20"/>
          <w:szCs w:val="20"/>
        </w:rPr>
        <w:t>While the waste additionally sent for recycling may also carry an offtake cost, waste customer costs for recycling are generally substantially lower than for disposal and part of the mixed waste reduction is also assumed to result from waste prevention.</w:t>
      </w:r>
    </w:p>
  </w:footnote>
  <w:footnote w:id="81">
    <w:p w14:paraId="41BAA9A5" w14:textId="571571B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 xml:space="preserve">Albizzati, P.F. (2024). </w:t>
      </w:r>
      <w:r w:rsidRPr="00C92FA9">
        <w:rPr>
          <w:rFonts w:cs="Times New Roman"/>
          <w:i/>
          <w:iCs/>
          <w:sz w:val="20"/>
          <w:szCs w:val="20"/>
        </w:rPr>
        <w:t>A model to assess the environmental and economic impacts of municipal waste management in Europe.</w:t>
      </w:r>
      <w:r w:rsidRPr="00C92FA9">
        <w:rPr>
          <w:rFonts w:cs="Times New Roman"/>
          <w:sz w:val="20"/>
          <w:szCs w:val="20"/>
        </w:rPr>
        <w:t xml:space="preserve"> Waste Management 174, p. 605-617.</w:t>
      </w:r>
    </w:p>
  </w:footnote>
  <w:footnote w:id="82">
    <w:p w14:paraId="310AF7BC" w14:textId="6CB875A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 xml:space="preserve">Sund, J.H. et al. (2025). </w:t>
      </w:r>
      <w:r w:rsidRPr="00C92FA9">
        <w:rPr>
          <w:rFonts w:cs="Times New Roman"/>
          <w:i/>
          <w:iCs/>
          <w:sz w:val="20"/>
          <w:szCs w:val="20"/>
        </w:rPr>
        <w:t>Comprehensive assessment of environmental and economic impacts of the entire EU waste management system.</w:t>
      </w:r>
      <w:r w:rsidRPr="00C92FA9">
        <w:rPr>
          <w:rFonts w:cs="Times New Roman"/>
          <w:sz w:val="20"/>
          <w:szCs w:val="20"/>
        </w:rPr>
        <w:t xml:space="preserve"> Waste Management 204, 114910.</w:t>
      </w:r>
    </w:p>
  </w:footnote>
  <w:footnote w:id="83">
    <w:p w14:paraId="0CCEA424" w14:textId="7B85C73A" w:rsidR="009010D9" w:rsidRPr="00C92FA9" w:rsidRDefault="009010D9" w:rsidP="00FF38B3">
      <w:pPr>
        <w:spacing w:before="0" w:after="0"/>
        <w:ind w:left="357" w:hanging="357"/>
        <w:contextualSpacing/>
        <w:rPr>
          <w:rFonts w:eastAsia="Times New Roman"/>
          <w:b/>
          <w:bCs/>
          <w:color w:val="2C2A29"/>
          <w:sz w:val="20"/>
          <w:szCs w:val="20"/>
        </w:rPr>
      </w:pPr>
      <w:r w:rsidRPr="00C92FA9">
        <w:rPr>
          <w:sz w:val="20"/>
          <w:szCs w:val="20"/>
          <w:vertAlign w:val="superscript"/>
        </w:rPr>
        <w:footnoteRef/>
      </w:r>
      <w:r w:rsidRPr="00C92FA9">
        <w:rPr>
          <w:sz w:val="20"/>
          <w:szCs w:val="20"/>
        </w:rPr>
        <w:t xml:space="preserve"> </w:t>
      </w:r>
      <w:r w:rsidR="00C92FA9">
        <w:rPr>
          <w:sz w:val="20"/>
          <w:szCs w:val="20"/>
        </w:rPr>
        <w:tab/>
      </w:r>
      <w:r w:rsidRPr="00C92FA9">
        <w:rPr>
          <w:sz w:val="20"/>
          <w:szCs w:val="20"/>
        </w:rPr>
        <w:t xml:space="preserve">Helsinki Region Environmental Services Authority (HSY) (2024). </w:t>
      </w:r>
      <w:r w:rsidRPr="00C92FA9">
        <w:rPr>
          <w:i/>
          <w:iCs/>
          <w:sz w:val="20"/>
          <w:szCs w:val="20"/>
        </w:rPr>
        <w:t>Composition of mixed household waste in the Helsinki Metropolitan Area in 2024.</w:t>
      </w:r>
    </w:p>
  </w:footnote>
  <w:footnote w:id="84">
    <w:p w14:paraId="6E7BBF6F" w14:textId="64F0B84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SUEZ (2025). Strategic approaches to minimising ETS costs for waste producers. Available at: https://www.suez.co.uk/en-gb/news/list-of-publications </w:t>
      </w:r>
    </w:p>
  </w:footnote>
  <w:footnote w:id="85">
    <w:p w14:paraId="1C6BF4AC" w14:textId="5638F42E"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Antonopoulos, I., Faraca, G. and Tonini, D., Recycling of post-consumer plastic packaging waste in the EU: Recovery rates, material flows, and barriers, WASTE MANAGEMENT, ISSN 0956-053X, 126, 2021, p. 694–705, JRC121522.</w:t>
      </w:r>
    </w:p>
  </w:footnote>
  <w:footnote w:id="86">
    <w:p w14:paraId="74961AF6" w14:textId="61FC692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For example 81.1% for PET (polyethylene terephthalate) packaging and 88% for HDPE (high-density polyethylene) packaging.</w:t>
      </w:r>
    </w:p>
  </w:footnote>
  <w:footnote w:id="87">
    <w:p w14:paraId="3D953D36" w14:textId="2B5A818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Residues or rejects from recycling activities are generally attributable to contamination or the higher complexity in the materials of products hindering recyclability, infrastructure limitations or economic viability</w:t>
      </w:r>
    </w:p>
  </w:footnote>
  <w:footnote w:id="88">
    <w:p w14:paraId="215A258C" w14:textId="4A276CF5"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Gate fees are the charges levied on waste producers for disposing of waste, which can be modified to account for the carbon cost.</w:t>
      </w:r>
    </w:p>
  </w:footnote>
  <w:footnote w:id="89">
    <w:p w14:paraId="1A5F390A" w14:textId="658BE23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sidR="00C92FA9">
        <w:rPr>
          <w:rFonts w:eastAsia="Arial" w:cs="Times New Roman"/>
          <w:sz w:val="20"/>
          <w:szCs w:val="20"/>
        </w:rPr>
        <w:tab/>
      </w:r>
      <w:r w:rsidRPr="00C92FA9">
        <w:rPr>
          <w:rFonts w:eastAsia="Arial" w:cs="Times New Roman"/>
          <w:sz w:val="20"/>
          <w:szCs w:val="20"/>
        </w:rPr>
        <w:t xml:space="preserve">Mechanical-biological treatment (MBT) and advanced sorting technologies, such as mechanical separation, near-infrared (NIR) sensors, and AI-powered classification, can identify plastics for recycling or chemical recovery, reducing fossil CO2 emissions. and advanced sorting systems can extract. Additionally, pre-drying and shredding waste enhances combustion efficiency by removing excess moisture, decreasing the need for auxiliary fuel, and further cutting emissions. </w:t>
      </w:r>
    </w:p>
  </w:footnote>
  <w:footnote w:id="90">
    <w:p w14:paraId="521BEB8E" w14:textId="42718748"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sidR="00C92FA9">
        <w:rPr>
          <w:rFonts w:eastAsia="Arial" w:cs="Times New Roman"/>
          <w:sz w:val="20"/>
          <w:szCs w:val="20"/>
        </w:rPr>
        <w:tab/>
      </w:r>
      <w:r w:rsidRPr="00C92FA9">
        <w:rPr>
          <w:rFonts w:cs="Times New Roman"/>
          <w:sz w:val="20"/>
          <w:szCs w:val="20"/>
        </w:rPr>
        <w:t xml:space="preserve">Eunomia (2023). </w:t>
      </w:r>
      <w:r w:rsidRPr="00C92FA9">
        <w:rPr>
          <w:rFonts w:cs="Times New Roman"/>
          <w:i/>
          <w:iCs/>
          <w:sz w:val="20"/>
          <w:szCs w:val="20"/>
        </w:rPr>
        <w:t>Mixed Waste Sorting to meet the EU’s Circular Economy Objectives.</w:t>
      </w:r>
      <w:r w:rsidRPr="00C92FA9">
        <w:rPr>
          <w:rFonts w:cs="Times New Roman"/>
          <w:sz w:val="20"/>
          <w:szCs w:val="20"/>
        </w:rPr>
        <w:t xml:space="preserve"> Available at: https://eunomia.eco/reports/mixed-waste-sorting-to-meet-the-eus-circular-economy-objectives/ </w:t>
      </w:r>
    </w:p>
  </w:footnote>
  <w:footnote w:id="91">
    <w:p w14:paraId="142885E6" w14:textId="185FBD4F"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C92FA9">
        <w:rPr>
          <w:rFonts w:cs="Times New Roman"/>
          <w:sz w:val="20"/>
          <w:szCs w:val="20"/>
        </w:rPr>
        <w:tab/>
      </w:r>
      <w:r w:rsidRPr="00C92FA9">
        <w:rPr>
          <w:rFonts w:cs="Times New Roman"/>
          <w:sz w:val="20"/>
          <w:szCs w:val="20"/>
        </w:rPr>
        <w:t>IVL Swedish Environoment Research Institute (2025). Comparing high-quality recycling and downcycling of plastics. Available at: https://ivl.diva-portal.org/smash/get/diva2:1936329/FULLTEXT01.pdf</w:t>
      </w:r>
    </w:p>
  </w:footnote>
  <w:footnote w:id="92">
    <w:p w14:paraId="71A57DD3" w14:textId="01DADCF5"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SUEZ (2025). Strategic approaches to minimising ETS costs for waste producers. Available at: https://www.suez.co.uk/en-gb/news/list-of-publications. Exchange rate used: 1 GBP = 1.15 EUR.</w:t>
      </w:r>
    </w:p>
  </w:footnote>
  <w:footnote w:id="93">
    <w:p w14:paraId="74D90D79" w14:textId="2BEE459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sidR="00C92FA9">
        <w:rPr>
          <w:rFonts w:eastAsia="Arial" w:cs="Times New Roman"/>
          <w:sz w:val="20"/>
          <w:szCs w:val="20"/>
        </w:rPr>
        <w:tab/>
      </w:r>
      <w:r w:rsidRPr="00C92FA9">
        <w:rPr>
          <w:rFonts w:cs="Times New Roman"/>
          <w:sz w:val="20"/>
          <w:szCs w:val="20"/>
        </w:rPr>
        <w:t xml:space="preserve">ZeroWasteEurope (2023). </w:t>
      </w:r>
      <w:r w:rsidRPr="00C92FA9">
        <w:rPr>
          <w:rFonts w:cs="Times New Roman"/>
          <w:i/>
          <w:iCs/>
          <w:sz w:val="20"/>
          <w:szCs w:val="20"/>
        </w:rPr>
        <w:t>Nothing left behind: modelling Material Recovery and Biological Treatment’s contribution to resource recovery and fighting climate change.</w:t>
      </w:r>
      <w:r w:rsidRPr="00C92FA9">
        <w:rPr>
          <w:rFonts w:cs="Times New Roman"/>
          <w:sz w:val="20"/>
          <w:szCs w:val="20"/>
        </w:rPr>
        <w:t xml:space="preserve"> Available at: </w:t>
      </w:r>
      <w:r w:rsidRPr="00C92FA9">
        <w:rPr>
          <w:rFonts w:eastAsia="Arial" w:cs="Times New Roman"/>
          <w:sz w:val="20"/>
          <w:szCs w:val="20"/>
        </w:rPr>
        <w:t xml:space="preserve">https://zerowasteeurope.eu/wp-content/uploads/2023/04/ZWE_Apr23_Study_MRBT_costs_study.pdf.pdf </w:t>
      </w:r>
    </w:p>
  </w:footnote>
  <w:footnote w:id="94">
    <w:p w14:paraId="45E6C4AE" w14:textId="6C2C1C5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These could be for example hydrogen, hydrogenated vegetable oil (HVO) or biomass co-firing.</w:t>
      </w:r>
    </w:p>
  </w:footnote>
  <w:footnote w:id="95">
    <w:p w14:paraId="41142C70" w14:textId="7347C54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 xml:space="preserve">There are several carbon capture methods suitable for incineration plants. Post-combustion capture is the most practical for existing facilities, using chemical solvents, adsorbents, or membranes to extract CO2 from exhaust gases. Oxy-fuel combustion involves burning waste in an oxygen-rich environment instead of air, producing a high-purity CO2 stream that is easier to capture. While pre-combustion capture is less common in incineration, it can be applied in waste gasification processes. </w:t>
      </w:r>
    </w:p>
  </w:footnote>
  <w:footnote w:id="96">
    <w:p w14:paraId="3DF9ADBD" w14:textId="23679A3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JRC (2024). Carbon capture, utilisation and storage in the European Union.</w:t>
      </w:r>
    </w:p>
  </w:footnote>
  <w:footnote w:id="97">
    <w:p w14:paraId="2E8AF877" w14:textId="5893379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Eunomia Research &amp; Consulting for Viridor (2021). CCUS Development Pathway for the EfW Sector. Exchange rate applied: 1 GBP = 1.15 EUR. The lower costs in this range relate to WtE facilities that are in closer proximity to CCUS clusters as they can benefit from shared infrastructure.</w:t>
      </w:r>
    </w:p>
  </w:footnote>
  <w:footnote w:id="98">
    <w:p w14:paraId="246AA7AD" w14:textId="22C7B9D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Capture costs are primarily determined by the characteristics of the CO2-rich stream. The high concentration of CO₂ in flue gases enhances the efficiency and cost-effectiveness of capture compared to other industrial sources.</w:t>
      </w:r>
    </w:p>
  </w:footnote>
  <w:footnote w:id="99">
    <w:p w14:paraId="2AAF6566" w14:textId="6331A38E"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Oxford Institute for Energy Studies (2024). Carbon capture from energy-from-waste (EfW): A low-hanging fruit for CCS deployment in the UK? Exchange rate applied: 1 GBP = 1.15 EUR.</w:t>
      </w:r>
    </w:p>
  </w:footnote>
  <w:footnote w:id="100">
    <w:p w14:paraId="25D1D3D2" w14:textId="65F9B0F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eastAsia="Arial" w:cs="Times New Roman"/>
          <w:sz w:val="20"/>
          <w:szCs w:val="20"/>
        </w:rPr>
        <w:footnoteRef/>
      </w:r>
      <w:r w:rsidR="0085116B">
        <w:rPr>
          <w:rFonts w:cs="Times New Roman"/>
          <w:sz w:val="20"/>
          <w:szCs w:val="20"/>
        </w:rPr>
        <w:t xml:space="preserve"> </w:t>
      </w:r>
      <w:r>
        <w:rPr>
          <w:rFonts w:cs="Times New Roman"/>
          <w:sz w:val="20"/>
          <w:szCs w:val="20"/>
        </w:rPr>
        <w:tab/>
      </w:r>
      <w:r w:rsidRPr="00C92FA9">
        <w:rPr>
          <w:rFonts w:cs="Times New Roman"/>
          <w:sz w:val="20"/>
          <w:szCs w:val="20"/>
        </w:rPr>
        <w:t xml:space="preserve">Global CCS Institute (2021). </w:t>
      </w:r>
      <w:r w:rsidRPr="00C92FA9">
        <w:rPr>
          <w:rFonts w:cs="Times New Roman"/>
          <w:i/>
          <w:iCs/>
          <w:sz w:val="20"/>
          <w:szCs w:val="20"/>
        </w:rPr>
        <w:t>Technology Readiness and Costs of CCS</w:t>
      </w:r>
      <w:r w:rsidRPr="00C92FA9">
        <w:rPr>
          <w:rFonts w:cs="Times New Roman"/>
          <w:sz w:val="20"/>
          <w:szCs w:val="20"/>
        </w:rPr>
        <w:t xml:space="preserve">. Available at : </w:t>
      </w:r>
      <w:r w:rsidRPr="00C92FA9">
        <w:rPr>
          <w:rFonts w:eastAsia="Arial" w:cs="Times New Roman"/>
          <w:sz w:val="20"/>
          <w:szCs w:val="20"/>
        </w:rPr>
        <w:t xml:space="preserve">https://scienceforsustainability.org/w/images/b/bc/Technology-Readiness-and-Costs-for-CCS-2021-1.pdf </w:t>
      </w:r>
    </w:p>
  </w:footnote>
  <w:footnote w:id="101">
    <w:p w14:paraId="7DB7E9FD" w14:textId="35BE0817"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0085116B">
        <w:rPr>
          <w:rFonts w:cs="Times New Roman"/>
          <w:sz w:val="20"/>
          <w:szCs w:val="20"/>
        </w:rPr>
        <w:t xml:space="preserve"> </w:t>
      </w:r>
      <w:r>
        <w:rPr>
          <w:rFonts w:cs="Times New Roman"/>
          <w:sz w:val="20"/>
          <w:szCs w:val="20"/>
        </w:rPr>
        <w:tab/>
      </w:r>
      <w:r w:rsidRPr="00C92FA9">
        <w:rPr>
          <w:rFonts w:cs="Times New Roman"/>
          <w:sz w:val="20"/>
          <w:szCs w:val="20"/>
        </w:rPr>
        <w:t>Carbon Clean (2021). https://www.carbonclean.com/en/press-releases/breakthrough-industrial-carbon-capture-solution#:~:text=CycloneCC%20has%20a%20footprint%20that,and%20storage%20(CCUS)%20undeniable</w:t>
      </w:r>
    </w:p>
  </w:footnote>
  <w:footnote w:id="102">
    <w:p w14:paraId="139892C9" w14:textId="61B3092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JRC (2024). Carbon capture, utilisation and storage in the European Union.</w:t>
      </w:r>
    </w:p>
  </w:footnote>
  <w:footnote w:id="103">
    <w:p w14:paraId="5F43F6DE" w14:textId="2C72D7C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 xml:space="preserve">The operation of carbon capture technology is energy intensive. An estimate of the energy demand required, depending on the size and configuration of the installation, is around 3.6-3.9 GJ/tCO2 or 1MWh/tCO2 (thermal input, usually from medium pressure steam to run the stripper) and in the range of 100-250kWe/tCO2 (electrical or power input, to run all equipment such as pumps, fans, etc). This can reduce the heat and/or power output available for supply by a waste-to-energy installation to a district heating or energy network. The loss in heat output can be fully recovered by means of carbon capture technology selection and waste heat recovery through heat integration and installation of heat pumps. Conversely, full recovery of heat output results in a significant (up to 50%) reduction in power output, as alternative capture technologies and heat pumps consume power. </w:t>
      </w:r>
    </w:p>
  </w:footnote>
  <w:footnote w:id="104">
    <w:p w14:paraId="4D629849" w14:textId="6659FA4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Oxford Institute for Energy Studies (2024). Carbon capture from energy-from-waste (EfW): A low-hanging fruit for CCS deployment in the UK?</w:t>
      </w:r>
    </w:p>
  </w:footnote>
  <w:footnote w:id="105">
    <w:p w14:paraId="5A79091A" w14:textId="1DEA7A8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For example, the UK has implemented the CCS Readiness Requirement that mandates that all new combustion power stations with a capacity of 300 MW or more must be designed to allow future retrofitting of CCS technology, to make new infrastructure compatible with future decarbonisation technologies.</w:t>
      </w:r>
    </w:p>
  </w:footnote>
  <w:footnote w:id="106">
    <w:p w14:paraId="705F0974" w14:textId="74DAFA86"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According to literature sources, the footprint for a carbon capture plant could range between 270-1,600 m</w:t>
      </w:r>
      <w:r w:rsidRPr="00C92FA9">
        <w:rPr>
          <w:rFonts w:cs="Times New Roman"/>
          <w:sz w:val="20"/>
          <w:szCs w:val="20"/>
          <w:vertAlign w:val="superscript"/>
        </w:rPr>
        <w:t>2</w:t>
      </w:r>
      <w:r w:rsidRPr="00C92FA9">
        <w:rPr>
          <w:rFonts w:cs="Times New Roman"/>
          <w:sz w:val="20"/>
          <w:szCs w:val="20"/>
        </w:rPr>
        <w:t>/tCO</w:t>
      </w:r>
      <w:r w:rsidRPr="00C92FA9">
        <w:rPr>
          <w:rFonts w:cs="Times New Roman"/>
          <w:sz w:val="20"/>
          <w:szCs w:val="20"/>
          <w:vertAlign w:val="subscript"/>
        </w:rPr>
        <w:t>2</w:t>
      </w:r>
      <w:r w:rsidRPr="00C92FA9">
        <w:rPr>
          <w:rFonts w:eastAsia="Arial" w:cs="Times New Roman"/>
          <w:sz w:val="20"/>
          <w:szCs w:val="20"/>
        </w:rPr>
        <w:t xml:space="preserve">. See for example: Realmonte, G., Drouet, L., Gambhir, A. et al. An inter-model assessment of the role of direct air capture in deep mitigation pathways. Nat Commun 10, 3277 (2019). https://doi.org/10.1038/s41467-019-10842-5 </w:t>
      </w:r>
    </w:p>
  </w:footnote>
  <w:footnote w:id="107">
    <w:p w14:paraId="08FA8D46" w14:textId="37C3FD5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A biofilter comprises a porous material layer topped with organic matter, such as compost, designed to oxidise methane present in LFG. LFG is directed from gas vents through flexible tubing into the biofilter, where methanotrophic bacteria convert methane into carbon dioxide which is a significantly less potent GHG. Alternatively, a biocover involves placing a porous material layer directly on top the landfill, covered by an oxidising layer of mature compost. As fugitive LFG permeates this cover, methane oxidation occurs.</w:t>
      </w:r>
    </w:p>
  </w:footnote>
  <w:footnote w:id="108">
    <w:p w14:paraId="0F0A59B9" w14:textId="0FC9D38E"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sidR="0085116B">
        <w:rPr>
          <w:rFonts w:eastAsia="Arial" w:cs="Times New Roman"/>
          <w:sz w:val="20"/>
          <w:szCs w:val="20"/>
        </w:rPr>
        <w:tab/>
      </w:r>
      <w:r w:rsidRPr="00C92FA9">
        <w:rPr>
          <w:rFonts w:cs="Times New Roman"/>
          <w:sz w:val="20"/>
          <w:szCs w:val="20"/>
        </w:rPr>
        <w:t xml:space="preserve">EPA (2025). </w:t>
      </w:r>
      <w:r w:rsidRPr="00C92FA9">
        <w:rPr>
          <w:rFonts w:cs="Times New Roman"/>
          <w:i/>
          <w:iCs/>
          <w:sz w:val="20"/>
          <w:szCs w:val="20"/>
        </w:rPr>
        <w:t>Apply Biofilters or Biocovers</w:t>
      </w:r>
      <w:r w:rsidRPr="00C92FA9">
        <w:rPr>
          <w:rFonts w:cs="Times New Roman"/>
          <w:sz w:val="20"/>
          <w:szCs w:val="20"/>
        </w:rPr>
        <w:t xml:space="preserve">. Available at : </w:t>
      </w:r>
      <w:r w:rsidRPr="00C92FA9">
        <w:rPr>
          <w:rFonts w:eastAsia="Arial" w:cs="Times New Roman"/>
          <w:sz w:val="20"/>
          <w:szCs w:val="20"/>
        </w:rPr>
        <w:t xml:space="preserve">https://www.epa.gov/lmop/apply-biofilters-or-biocovers </w:t>
      </w:r>
    </w:p>
  </w:footnote>
  <w:footnote w:id="109">
    <w:p w14:paraId="55E0A3A5" w14:textId="7E17699B"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eastAsia="Arial" w:cs="Times New Roman"/>
          <w:sz w:val="20"/>
          <w:szCs w:val="20"/>
        </w:rPr>
        <w:t xml:space="preserve">Kurniawan T. A. et al. (2024). ‘Landfill mining: A step forward to reducing CH4 emissions and enhancing CO2 sequestration from landfill’. Journal of Hazardous Materials Advances. Available at: https://doi.org/10.1016/j.hazadv.2024.100512 </w:t>
      </w:r>
    </w:p>
  </w:footnote>
  <w:footnote w:id="110">
    <w:p w14:paraId="25F2E156" w14:textId="633B5CF6"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eastAsia="Arial" w:cs="Times New Roman"/>
          <w:sz w:val="20"/>
          <w:szCs w:val="20"/>
        </w:rPr>
        <w:t>See footnote 65</w:t>
      </w:r>
    </w:p>
  </w:footnote>
  <w:footnote w:id="111">
    <w:p w14:paraId="71BB6566" w14:textId="4D1A8C9C"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cs="Times New Roman"/>
          <w:sz w:val="20"/>
          <w:szCs w:val="20"/>
        </w:rPr>
        <w:t xml:space="preserve">Integrity Council for the Voluntary Carbon Market (2025). </w:t>
      </w:r>
      <w:r w:rsidRPr="00C92FA9">
        <w:rPr>
          <w:rFonts w:cs="Times New Roman"/>
          <w:i/>
          <w:iCs/>
          <w:sz w:val="20"/>
          <w:szCs w:val="20"/>
        </w:rPr>
        <w:t>Landfill Gas Capturing</w:t>
      </w:r>
      <w:r w:rsidRPr="00C92FA9">
        <w:rPr>
          <w:rFonts w:cs="Times New Roman"/>
          <w:sz w:val="20"/>
          <w:szCs w:val="20"/>
        </w:rPr>
        <w:t xml:space="preserve">. Available at: </w:t>
      </w:r>
      <w:r w:rsidRPr="00C92FA9">
        <w:rPr>
          <w:rFonts w:eastAsia="Arial" w:cs="Times New Roman"/>
          <w:sz w:val="20"/>
          <w:szCs w:val="20"/>
        </w:rPr>
        <w:t xml:space="preserve">https://icvcm.org/landfill-gas-capture/ </w:t>
      </w:r>
    </w:p>
  </w:footnote>
  <w:footnote w:id="112">
    <w:p w14:paraId="3D2DECFF" w14:textId="039B8521"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See for example Giordano, R. (2024). </w:t>
      </w:r>
      <w:r w:rsidRPr="00C92FA9">
        <w:rPr>
          <w:rFonts w:cs="Times New Roman"/>
          <w:i/>
          <w:iCs/>
          <w:sz w:val="20"/>
          <w:szCs w:val="20"/>
        </w:rPr>
        <w:t xml:space="preserve">Landfill gas collection efficiency: Categorization of data from existing in-situ measurements. </w:t>
      </w:r>
      <w:r w:rsidRPr="00C92FA9">
        <w:rPr>
          <w:rFonts w:cs="Times New Roman"/>
          <w:sz w:val="20"/>
          <w:szCs w:val="20"/>
        </w:rPr>
        <w:t xml:space="preserve">Waste management, volume 175, pages 83-91. Available at: https://doi.org/10.1016/j.wasman.2023.12.042; and Oonk, H (2012). </w:t>
      </w:r>
      <w:r w:rsidRPr="00C92FA9">
        <w:rPr>
          <w:rFonts w:cs="Times New Roman"/>
          <w:i/>
          <w:iCs/>
          <w:sz w:val="20"/>
          <w:szCs w:val="20"/>
        </w:rPr>
        <w:t>Efficiency of landfill gas collection for methane emission reduction.</w:t>
      </w:r>
      <w:r w:rsidRPr="00C92FA9">
        <w:rPr>
          <w:rFonts w:cs="Times New Roman"/>
          <w:sz w:val="20"/>
          <w:szCs w:val="20"/>
        </w:rPr>
        <w:t xml:space="preserve"> Greenhouse gas measurement and management. Volume 2, 2012 - Issue 2-3. Available at: https://doi.org/10.1080/20430779.2012.730798 </w:t>
      </w:r>
    </w:p>
  </w:footnote>
  <w:footnote w:id="113">
    <w:p w14:paraId="25E9BEB1" w14:textId="25E4EF9D"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Motola V., et al. (2022). </w:t>
      </w:r>
      <w:r w:rsidRPr="00C92FA9">
        <w:rPr>
          <w:rFonts w:cs="Times New Roman"/>
          <w:i/>
          <w:iCs/>
          <w:sz w:val="20"/>
          <w:szCs w:val="20"/>
        </w:rPr>
        <w:t>Clean Energy Technology Observatory: Bioenergy in the European Union – 2022 Status Report on Technology Development, Trends, Value Chains and Markets</w:t>
      </w:r>
      <w:r w:rsidRPr="00C92FA9">
        <w:rPr>
          <w:rFonts w:cs="Times New Roman"/>
          <w:sz w:val="20"/>
          <w:szCs w:val="20"/>
        </w:rPr>
        <w:t xml:space="preserve">, Publications Office of the European Union, Luxembourg, 2022, doi:10.2760/577104, JRC130730  </w:t>
      </w:r>
    </w:p>
  </w:footnote>
  <w:footnote w:id="114">
    <w:p w14:paraId="13454DCB" w14:textId="46FD43A5"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eastAsia="Arial" w:cs="Times New Roman"/>
          <w:sz w:val="20"/>
          <w:szCs w:val="20"/>
        </w:rPr>
        <w:t xml:space="preserve">Unece KIT DFIU-TFTEI Technical Secretariat (2020). </w:t>
      </w:r>
      <w:r w:rsidRPr="00C92FA9">
        <w:rPr>
          <w:rFonts w:eastAsia="Arial" w:cs="Times New Roman"/>
          <w:i/>
          <w:iCs/>
          <w:sz w:val="20"/>
          <w:szCs w:val="20"/>
        </w:rPr>
        <w:t>Background informal technical document on techniques to reduce methane emissions in Europe from landfill gases, the natural gas supply system and biogas facilities.</w:t>
      </w:r>
      <w:r w:rsidRPr="00C92FA9">
        <w:rPr>
          <w:rFonts w:eastAsia="Arial" w:cs="Times New Roman"/>
          <w:sz w:val="20"/>
          <w:szCs w:val="20"/>
        </w:rPr>
        <w:t xml:space="preserve"> Available at: https://unece.org/sites/default/files/2022-07/TFTEI_methane_background_document-december_2020.pdf?utm_source=chatgpt.com </w:t>
      </w:r>
    </w:p>
  </w:footnote>
  <w:footnote w:id="115">
    <w:p w14:paraId="64C60EC7" w14:textId="6BAB8529"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WALKER, A., ALBIZZATI, P.F., MILIOS, L., PINERO MIRA, P., BESLER, M. et al., Capturing the Potential of the Circular Economy Transition in Energy-Intensive Industries - Summary Report, Publications Office of the European Union, Luxembourg, 2025, https://data.europa.eu/doi/10.2760/4604362, JRC142938</w:t>
      </w:r>
    </w:p>
  </w:footnote>
  <w:footnote w:id="116">
    <w:p w14:paraId="1D31E4AD" w14:textId="4CC59F37"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EPR-schemes can be applied through compensation models, where producers are made financially and/or operationally responsible for the management of their products' waste after consumer use, e.g. through a Producer Responsibility Organization (PRO), or cost application models, where the net carbon cost of waste management is (partially) transferred to producers through fees based on the carbon intensity of their products, potentially linked to the ETS-price.</w:t>
      </w:r>
    </w:p>
  </w:footnote>
  <w:footnote w:id="117">
    <w:p w14:paraId="1E1E8868" w14:textId="5479D66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 xml:space="preserve">European (2025). Overview of Member States’ EPR Schemes: https://www.europen-packaging.eu/publication/overview-of-member-states-epr-schemes/ </w:t>
      </w:r>
    </w:p>
  </w:footnote>
  <w:footnote w:id="118">
    <w:p w14:paraId="1463C32B" w14:textId="64D4EE6D"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cs="Times New Roman"/>
          <w:sz w:val="20"/>
          <w:szCs w:val="20"/>
        </w:rPr>
        <w:t xml:space="preserve">Under the UK ETS consultation on incineration (closed in August 2024), it has been estimated that around 20-30% of the fossil waste (wt/wt) is under this plastics-EPR scope, and therefore, Local Authorities could recover those payments. See: </w:t>
      </w:r>
      <w:r w:rsidRPr="00C92FA9">
        <w:rPr>
          <w:rFonts w:eastAsia="Arial" w:cs="Times New Roman"/>
          <w:sz w:val="20"/>
          <w:szCs w:val="20"/>
        </w:rPr>
        <w:t>Joint consultation (2024). ‘UK Emissions Trading Scheme Scope Expansion: Waste</w:t>
      </w:r>
      <w:r w:rsidRPr="00C92FA9">
        <w:rPr>
          <w:rFonts w:cs="Times New Roman"/>
          <w:sz w:val="20"/>
          <w:szCs w:val="20"/>
        </w:rPr>
        <w:t xml:space="preserve">.’ Available at : </w:t>
      </w:r>
      <w:r w:rsidRPr="00C92FA9">
        <w:rPr>
          <w:rFonts w:eastAsia="Arial" w:cs="Times New Roman"/>
          <w:sz w:val="20"/>
          <w:szCs w:val="20"/>
        </w:rPr>
        <w:t>https://assets.publishing.service.gov.uk/media/6669a60c9d27ae501186db79/ukets-scope-expansion-consultation-waste.pdf</w:t>
      </w:r>
    </w:p>
  </w:footnote>
  <w:footnote w:id="119">
    <w:p w14:paraId="524303BD" w14:textId="7D4496C3" w:rsidR="009010D9" w:rsidRPr="00C92FA9" w:rsidRDefault="009010D9" w:rsidP="00FF38B3">
      <w:pPr>
        <w:spacing w:before="0" w:after="0"/>
        <w:ind w:left="357" w:hanging="357"/>
        <w:contextualSpacing/>
        <w:jc w:val="left"/>
        <w:rPr>
          <w:sz w:val="20"/>
          <w:szCs w:val="20"/>
        </w:rPr>
      </w:pPr>
      <w:r>
        <w:rPr>
          <w:sz w:val="20"/>
          <w:vertAlign w:val="superscript"/>
        </w:rPr>
        <w:footnoteRef/>
      </w:r>
      <w:r w:rsidRPr="00C92FA9">
        <w:rPr>
          <w:sz w:val="20"/>
          <w:szCs w:val="20"/>
        </w:rPr>
        <w:t xml:space="preserve"> </w:t>
      </w:r>
      <w:r>
        <w:rPr>
          <w:sz w:val="20"/>
          <w:szCs w:val="20"/>
        </w:rPr>
        <w:tab/>
      </w:r>
      <w:r w:rsidRPr="00C92FA9">
        <w:rPr>
          <w:sz w:val="20"/>
          <w:szCs w:val="20"/>
        </w:rPr>
        <w:t xml:space="preserve">Department for Energy Security &amp; Net Zero (2024). </w:t>
      </w:r>
      <w:r w:rsidRPr="00C92FA9">
        <w:rPr>
          <w:i/>
          <w:sz w:val="20"/>
          <w:szCs w:val="20"/>
        </w:rPr>
        <w:t>MRV Options for Inclusion of Energy from Waste Plants and Waste Incinerators within the UK ETS</w:t>
      </w:r>
      <w:r w:rsidRPr="00C92FA9">
        <w:rPr>
          <w:sz w:val="20"/>
          <w:szCs w:val="20"/>
        </w:rPr>
        <w:t xml:space="preserve">. Available at: https://assets.publishing.service.gov.uk/media/66a24709a3c2a28abb50d725/uk-ets-waste-MRV-report.pdf </w:t>
      </w:r>
    </w:p>
  </w:footnote>
  <w:footnote w:id="120">
    <w:p w14:paraId="6FF34F8F" w14:textId="415C1151"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Estimate based on the combined nominal capacity of these installations (CEWEP data) and a standardised 0.5 fossil emission factor. The result is likely an overestimate as the figure is based on nominal capacity instead of actual volumes incinerated, which is generally lower.</w:t>
      </w:r>
    </w:p>
  </w:footnote>
  <w:footnote w:id="121">
    <w:p w14:paraId="64402259" w14:textId="58FBCEE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CEWEP (2022).</w:t>
      </w:r>
    </w:p>
  </w:footnote>
  <w:footnote w:id="122">
    <w:p w14:paraId="0B72A4D9" w14:textId="34BA143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The Industrial Emissions Directive applies the same thresholds, see Annex I, point 5.2.:</w:t>
      </w:r>
      <w:r w:rsidRPr="00C92FA9">
        <w:rPr>
          <w:rFonts w:cs="Times New Roman"/>
          <w:i/>
          <w:iCs/>
          <w:sz w:val="20"/>
          <w:szCs w:val="20"/>
        </w:rPr>
        <w:t xml:space="preserve"> “Disposal or recovery of waste in waste incineration plants or in waste co-incineration plants: (a) for non-hazardous waste with a capacity exceeding 3 tonnes per hour;”</w:t>
      </w:r>
      <w:r w:rsidRPr="00C92FA9">
        <w:rPr>
          <w:rFonts w:cs="Times New Roman"/>
          <w:sz w:val="20"/>
          <w:szCs w:val="20"/>
        </w:rPr>
        <w:t>. This equates to a capacity of 26.280 tonnes per year. In terms of thermal input, assuming a calorific value of respectively 10 GJ/tonne of (unprepared) or 7.5 GJ/tonne of (prepared) leftover MSW, 3 tonnes per hour would imply respectively 30.000 or 22.5000 MJ/hour, or 8.33 or 6.25 MW (MJ/sec).</w:t>
      </w:r>
    </w:p>
  </w:footnote>
  <w:footnote w:id="123">
    <w:p w14:paraId="482ADD9E" w14:textId="6DFCB2D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Estimate based on the combined nominal capacity of these installations (CEWEP data) and a standardised 0.5 fossil emission factor. The result is likely an overestimate as the figure is based on nominal capacity instead of actual volumes incinerated, which is generally lower.</w:t>
      </w:r>
    </w:p>
  </w:footnote>
  <w:footnote w:id="124">
    <w:p w14:paraId="2F84C680" w14:textId="2BB7239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All exports of plastic waste from the EU to non-OECD countries will be prohibited and subject to strict notification and consent procedures to OECD countries as of November 2026, exports of hazardous and other specific wastes to non-OECD countries will be prohibited as of May 2027, and exports of other non-hazardous waste for recovery to non-OECD countries generally restricted unless explicitly requested by the country and it shows ability to treat it sustainably, and passes audits.</w:t>
      </w:r>
    </w:p>
  </w:footnote>
  <w:footnote w:id="125">
    <w:p w14:paraId="13BFD6A6" w14:textId="04A45F50"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ECA (2025). Special Report 23/2025. Municipal Waste Management. Available at : </w:t>
      </w:r>
      <w:r w:rsidRPr="00C92FA9">
        <w:rPr>
          <w:rFonts w:eastAsia="Times New Roman" w:cs="Times New Roman"/>
          <w:sz w:val="20"/>
          <w:szCs w:val="20"/>
        </w:rPr>
        <w:t>https://www.eca.europa.eu/ECAPublications/SR-2025-23/SR-2025-23_EN.pdf; EEA (2023). Briefing no. 28/2022.</w:t>
      </w:r>
      <w:r w:rsidRPr="00C92FA9">
        <w:rPr>
          <w:rFonts w:cs="Times New Roman"/>
          <w:sz w:val="20"/>
          <w:szCs w:val="20"/>
        </w:rPr>
        <w:t xml:space="preserve"> </w:t>
      </w:r>
      <w:r w:rsidRPr="00C92FA9">
        <w:rPr>
          <w:rFonts w:eastAsia="Times New Roman" w:cs="Times New Roman"/>
          <w:sz w:val="20"/>
          <w:szCs w:val="20"/>
        </w:rPr>
        <w:t>Many EU Member States not on track to meet recycling targets for municipal waste and packaging waste. Available at:</w:t>
      </w:r>
    </w:p>
  </w:footnote>
  <w:footnote w:id="126">
    <w:p w14:paraId="419A4FFB" w14:textId="4985734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JRC (2025). Plastics materials flows in the EU-27 and their environmental impacts. </w:t>
      </w:r>
    </w:p>
  </w:footnote>
  <w:footnote w:id="127">
    <w:p w14:paraId="57FB3A6E" w14:textId="121C719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 xml:space="preserve">Volume-based landfill taxes (present in 22 Member States) ranged from 5 to 110 EUR/tonne of waste landfilled in 2023, while volume-based incineration taxes (present in only 10 Member States) ranged from 5-80 EUR/tonne of municipal waste incinerated. See EEA (2023). </w:t>
      </w:r>
      <w:r w:rsidRPr="00C92FA9">
        <w:rPr>
          <w:rFonts w:cs="Times New Roman"/>
          <w:i/>
          <w:iCs/>
          <w:sz w:val="20"/>
          <w:szCs w:val="20"/>
        </w:rPr>
        <w:t>Technical note accompanying the EEA briefing ‘Economic instruments and separate collection – key instruments to increase recycling’</w:t>
      </w:r>
      <w:r w:rsidRPr="00C92FA9">
        <w:rPr>
          <w:rFonts w:cs="Times New Roman"/>
          <w:sz w:val="20"/>
          <w:szCs w:val="20"/>
        </w:rPr>
        <w:t xml:space="preserve">. https://www.eea.europa.eu/en/analysis/publications/economic-instruments-and-separate-collection/technical-note-accompanying-the-eea-briefing-economic-instruments-and-separate-collection-key-instruments-to-increase-recycling </w:t>
      </w:r>
    </w:p>
  </w:footnote>
  <w:footnote w:id="128">
    <w:p w14:paraId="5BFD7D87" w14:textId="683D98D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sidR="0085116B">
        <w:rPr>
          <w:rFonts w:cs="Times New Roman"/>
          <w:sz w:val="20"/>
          <w:szCs w:val="20"/>
        </w:rPr>
        <w:tab/>
      </w:r>
      <w:r w:rsidRPr="00C92FA9">
        <w:rPr>
          <w:rFonts w:cs="Times New Roman"/>
          <w:sz w:val="20"/>
          <w:szCs w:val="20"/>
        </w:rPr>
        <w:t>Only few Member States apply some form of emissions-based pricing on incineration. Denmark and Sweden have included municipal waste incineration (MWI) installations in their national implementation of the EU ETS, while Germany included waste incineration installations in its national emissions trading system and the Netherlands implemented a carbon levy for emissions from MWI.</w:t>
      </w:r>
    </w:p>
  </w:footnote>
  <w:footnote w:id="129">
    <w:p w14:paraId="26C58FA4" w14:textId="1E1CA5A1" w:rsidR="009010D9" w:rsidRPr="00C92FA9" w:rsidRDefault="009010D9" w:rsidP="00FF38B3">
      <w:pPr>
        <w:pStyle w:val="FootnoteText"/>
        <w:spacing w:before="0" w:after="0"/>
        <w:ind w:left="357" w:hanging="357"/>
        <w:contextualSpacing/>
        <w:rPr>
          <w:rFonts w:cs="Times New Roman"/>
          <w:sz w:val="20"/>
          <w:szCs w:val="20"/>
          <w:lang w:val="nl-NL"/>
        </w:rPr>
      </w:pPr>
      <w:r w:rsidRPr="00C92FA9">
        <w:rPr>
          <w:rStyle w:val="FootnoteReference"/>
          <w:rFonts w:cs="Times New Roman"/>
          <w:sz w:val="20"/>
          <w:szCs w:val="20"/>
        </w:rPr>
        <w:footnoteRef/>
      </w:r>
      <w:r w:rsidRPr="00C92FA9">
        <w:rPr>
          <w:rFonts w:cs="Times New Roman"/>
          <w:sz w:val="20"/>
          <w:szCs w:val="20"/>
          <w:lang w:val="nl-NL"/>
        </w:rPr>
        <w:t xml:space="preserve"> </w:t>
      </w:r>
      <w:r w:rsidR="0085116B">
        <w:rPr>
          <w:rFonts w:cs="Times New Roman"/>
          <w:sz w:val="20"/>
          <w:szCs w:val="20"/>
          <w:lang w:val="nl-NL"/>
        </w:rPr>
        <w:tab/>
      </w:r>
      <w:r w:rsidRPr="00C92FA9">
        <w:rPr>
          <w:rFonts w:cs="Times New Roman"/>
          <w:sz w:val="20"/>
          <w:szCs w:val="20"/>
          <w:lang w:val="nl-NL"/>
        </w:rPr>
        <w:t xml:space="preserve">EEA (2024). Waste Recycling in Europe. </w:t>
      </w:r>
      <w:r w:rsidRPr="00C92FA9">
        <w:rPr>
          <w:rFonts w:eastAsia="Arial" w:cs="Times New Roman"/>
          <w:sz w:val="20"/>
          <w:szCs w:val="20"/>
          <w:lang w:val="nl-NL"/>
        </w:rPr>
        <w:t>https://www.eea.europa.eu/en/analysis/indicators/waste-recycling-in-europe</w:t>
      </w:r>
      <w:r w:rsidRPr="00C92FA9">
        <w:rPr>
          <w:rFonts w:cs="Times New Roman"/>
          <w:sz w:val="20"/>
          <w:szCs w:val="20"/>
          <w:lang w:val="nl-NL"/>
        </w:rPr>
        <w:t xml:space="preserve"> </w:t>
      </w:r>
    </w:p>
  </w:footnote>
  <w:footnote w:id="130">
    <w:p w14:paraId="04245A21" w14:textId="2B589538" w:rsidR="009010D9" w:rsidRPr="00C92FA9" w:rsidRDefault="009010D9" w:rsidP="00FF38B3">
      <w:pPr>
        <w:pStyle w:val="FootnoteText"/>
        <w:spacing w:before="0" w:after="0"/>
        <w:ind w:left="357" w:hanging="357"/>
        <w:contextualSpacing/>
        <w:rPr>
          <w:rFonts w:cs="Times New Roman"/>
          <w:sz w:val="20"/>
          <w:szCs w:val="20"/>
          <w:lang w:val="nl-NL"/>
        </w:rPr>
      </w:pPr>
      <w:r w:rsidRPr="00C92FA9">
        <w:rPr>
          <w:rStyle w:val="FootnoteReference"/>
          <w:rFonts w:cs="Times New Roman"/>
          <w:sz w:val="20"/>
          <w:szCs w:val="20"/>
        </w:rPr>
        <w:footnoteRef/>
      </w:r>
      <w:r w:rsidR="0085116B">
        <w:rPr>
          <w:rFonts w:cs="Times New Roman"/>
          <w:sz w:val="20"/>
          <w:szCs w:val="20"/>
          <w:lang w:val="nl-NL"/>
        </w:rPr>
        <w:t xml:space="preserve"> </w:t>
      </w:r>
      <w:r>
        <w:rPr>
          <w:rFonts w:cs="Times New Roman"/>
          <w:sz w:val="20"/>
          <w:szCs w:val="20"/>
          <w:lang w:val="nl-NL"/>
        </w:rPr>
        <w:tab/>
      </w:r>
      <w:r w:rsidRPr="00C92FA9">
        <w:rPr>
          <w:rFonts w:cs="Times New Roman"/>
          <w:sz w:val="20"/>
          <w:szCs w:val="20"/>
          <w:lang w:val="nl-NL"/>
        </w:rPr>
        <w:t xml:space="preserve">ECA (2025). Special Report 23/2025. Municipal Waste Management. Available at : </w:t>
      </w:r>
      <w:r w:rsidRPr="00C92FA9">
        <w:rPr>
          <w:rFonts w:eastAsia="Times New Roman" w:cs="Times New Roman"/>
          <w:sz w:val="20"/>
          <w:szCs w:val="20"/>
          <w:lang w:val="nl-NL"/>
        </w:rPr>
        <w:t xml:space="preserve">https://www.eca.europa.eu/ECAPublications/SR-2025-23/SR-2025-23_EN.pdf; </w:t>
      </w:r>
      <w:r w:rsidRPr="00C92FA9">
        <w:rPr>
          <w:rFonts w:cs="Times New Roman"/>
          <w:sz w:val="20"/>
          <w:szCs w:val="20"/>
          <w:lang w:val="nl-NL"/>
        </w:rPr>
        <w:t xml:space="preserve"> </w:t>
      </w:r>
    </w:p>
  </w:footnote>
  <w:footnote w:id="131">
    <w:p w14:paraId="01A24569" w14:textId="04113429"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lang w:val="nl-NL"/>
        </w:rPr>
        <w:t xml:space="preserve"> </w:t>
      </w:r>
      <w:r>
        <w:rPr>
          <w:rFonts w:eastAsia="Arial" w:cs="Times New Roman"/>
          <w:sz w:val="20"/>
          <w:szCs w:val="20"/>
          <w:lang w:val="nl-NL"/>
        </w:rPr>
        <w:tab/>
      </w:r>
      <w:r w:rsidRPr="00C92FA9">
        <w:rPr>
          <w:rFonts w:cs="Times New Roman"/>
          <w:sz w:val="20"/>
          <w:szCs w:val="20"/>
          <w:lang w:val="nl-NL"/>
        </w:rPr>
        <w:t xml:space="preserve">European Commission (2025). </w:t>
      </w:r>
      <w:r w:rsidRPr="00C92FA9">
        <w:rPr>
          <w:rFonts w:cs="Times New Roman"/>
          <w:i/>
          <w:iCs/>
          <w:sz w:val="20"/>
          <w:szCs w:val="20"/>
          <w:lang w:val="nl-NL"/>
        </w:rPr>
        <w:t>Methane emissions</w:t>
      </w:r>
      <w:r w:rsidRPr="00C92FA9">
        <w:rPr>
          <w:rFonts w:cs="Times New Roman"/>
          <w:sz w:val="20"/>
          <w:szCs w:val="20"/>
          <w:lang w:val="nl-NL"/>
        </w:rPr>
        <w:t xml:space="preserve">. </w:t>
      </w:r>
      <w:r w:rsidRPr="00C92FA9">
        <w:rPr>
          <w:rFonts w:cs="Times New Roman"/>
          <w:sz w:val="20"/>
          <w:szCs w:val="20"/>
        </w:rPr>
        <w:t xml:space="preserve">Available at: </w:t>
      </w:r>
      <w:r w:rsidRPr="00C92FA9">
        <w:rPr>
          <w:rFonts w:eastAsia="Arial" w:cs="Times New Roman"/>
          <w:sz w:val="20"/>
          <w:szCs w:val="20"/>
        </w:rPr>
        <w:t xml:space="preserve">https://energy.ec.europa.eu/topics/carbon-management-and-fossil-fuels/methane-emissions_en#:~:text=On%20a%20100%2Dyear%20timescale,on%20a%2020%2Dyear%20timescale. </w:t>
      </w:r>
    </w:p>
  </w:footnote>
  <w:footnote w:id="132">
    <w:p w14:paraId="494D8112" w14:textId="3E7E901B"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Albizzati, P.F. (2024). </w:t>
      </w:r>
      <w:r w:rsidRPr="00C92FA9">
        <w:rPr>
          <w:rFonts w:cs="Times New Roman"/>
          <w:i/>
          <w:iCs/>
          <w:sz w:val="20"/>
          <w:szCs w:val="20"/>
        </w:rPr>
        <w:t>A model to assess the environmental and economic impacts of municipal waste management in Europe.</w:t>
      </w:r>
      <w:r w:rsidRPr="00C92FA9">
        <w:rPr>
          <w:rFonts w:cs="Times New Roman"/>
          <w:sz w:val="20"/>
          <w:szCs w:val="20"/>
        </w:rPr>
        <w:t xml:space="preserve"> Waste Management 174, p. 605-617.</w:t>
      </w:r>
    </w:p>
  </w:footnote>
  <w:footnote w:id="133">
    <w:p w14:paraId="3D5D64A9" w14:textId="0330CD0F" w:rsidR="009010D9" w:rsidRPr="00C92FA9" w:rsidRDefault="009010D9" w:rsidP="00FF38B3">
      <w:pPr>
        <w:spacing w:before="0" w:after="0"/>
        <w:ind w:left="357" w:hanging="357"/>
        <w:contextualSpacing/>
        <w:rPr>
          <w:sz w:val="20"/>
          <w:szCs w:val="20"/>
        </w:rPr>
      </w:pPr>
      <w:r w:rsidRPr="00C92FA9">
        <w:rPr>
          <w:sz w:val="20"/>
          <w:szCs w:val="20"/>
          <w:vertAlign w:val="superscript"/>
        </w:rPr>
        <w:footnoteRef/>
      </w:r>
      <w:r w:rsidRPr="00C92FA9">
        <w:rPr>
          <w:sz w:val="20"/>
          <w:szCs w:val="20"/>
        </w:rPr>
        <w:t xml:space="preserve"> </w:t>
      </w:r>
      <w:r>
        <w:rPr>
          <w:sz w:val="20"/>
          <w:szCs w:val="20"/>
        </w:rPr>
        <w:tab/>
      </w:r>
      <w:r w:rsidRPr="00C92FA9">
        <w:rPr>
          <w:sz w:val="20"/>
          <w:szCs w:val="20"/>
        </w:rPr>
        <w:t xml:space="preserve">EEA (2025). Pollutant emissions from waste incineration (Indicator). Available at: https://www.eea.europa.eu/en/european-zero-pollution-dashboards/indicators/pollutant-emissions-from-waste-incineration-indicator </w:t>
      </w:r>
    </w:p>
  </w:footnote>
  <w:footnote w:id="134">
    <w:p w14:paraId="42EB7386" w14:textId="22A72941"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Albizzati, P.F. (2024). </w:t>
      </w:r>
      <w:r w:rsidRPr="00C92FA9">
        <w:rPr>
          <w:rFonts w:cs="Times New Roman"/>
          <w:i/>
          <w:iCs/>
          <w:sz w:val="20"/>
          <w:szCs w:val="20"/>
        </w:rPr>
        <w:t>A model to assess the environmental and economic impacts of municipal waste management in Europe.</w:t>
      </w:r>
      <w:r w:rsidRPr="00C92FA9">
        <w:rPr>
          <w:rFonts w:cs="Times New Roman"/>
          <w:sz w:val="20"/>
          <w:szCs w:val="20"/>
        </w:rPr>
        <w:t xml:space="preserve"> Waste Management 174, p. 605-617.</w:t>
      </w:r>
    </w:p>
  </w:footnote>
  <w:footnote w:id="135">
    <w:p w14:paraId="5DBBA422" w14:textId="134DA637"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Eurostat (2025). Trade in waste by type of material and partner. Available at: https://ec.europa.eu/eurostat/databrowser/view/env_wastrdmp__custom_19587397/default/table </w:t>
      </w:r>
    </w:p>
  </w:footnote>
  <w:footnote w:id="136">
    <w:p w14:paraId="02949EFF" w14:textId="4B36D17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Eurostat (2025). </w:t>
      </w:r>
      <w:r w:rsidRPr="00C92FA9">
        <w:rPr>
          <w:rFonts w:cs="Times New Roman"/>
          <w:i/>
          <w:iCs/>
          <w:sz w:val="20"/>
          <w:szCs w:val="20"/>
        </w:rPr>
        <w:t>Treatment of waste by waste category, hazardousness and waste management operations.</w:t>
      </w:r>
      <w:r w:rsidRPr="00C92FA9">
        <w:rPr>
          <w:rFonts w:cs="Times New Roman"/>
          <w:sz w:val="20"/>
          <w:szCs w:val="20"/>
        </w:rPr>
        <w:t xml:space="preserve"> Available at: https://ec.europa.eu/eurostat/databrowser/view/env_wastrt__custom_18786621/default/table </w:t>
      </w:r>
    </w:p>
  </w:footnote>
  <w:footnote w:id="137">
    <w:p w14:paraId="1AA44CAB" w14:textId="230AB34E" w:rsidR="009010D9" w:rsidRPr="00C92FA9" w:rsidRDefault="009010D9" w:rsidP="00FF38B3">
      <w:pPr>
        <w:spacing w:before="0" w:after="0"/>
        <w:ind w:left="357" w:hanging="357"/>
        <w:contextualSpacing/>
        <w:rPr>
          <w:sz w:val="20"/>
          <w:szCs w:val="20"/>
        </w:rPr>
      </w:pPr>
      <w:r w:rsidRPr="00C92FA9">
        <w:rPr>
          <w:sz w:val="20"/>
          <w:szCs w:val="20"/>
          <w:vertAlign w:val="superscript"/>
        </w:rPr>
        <w:footnoteRef/>
      </w:r>
      <w:r w:rsidRPr="00C92FA9">
        <w:rPr>
          <w:sz w:val="20"/>
          <w:szCs w:val="20"/>
        </w:rPr>
        <w:t xml:space="preserve"> </w:t>
      </w:r>
      <w:r>
        <w:rPr>
          <w:sz w:val="20"/>
          <w:szCs w:val="20"/>
        </w:rPr>
        <w:tab/>
      </w:r>
      <w:r w:rsidRPr="00C92FA9">
        <w:rPr>
          <w:sz w:val="20"/>
          <w:szCs w:val="20"/>
        </w:rPr>
        <w:t>EEA (2024). Leachate pollution from landfills (Signal). Available at: https://www.eea.europa.eu/en/european-zero-pollution-dashboards/indicators/emission-from-waste-management-facilities#:~:text=Key%20messages:%20EU%20legislation%20has,of%20waste%20generation%20is%20essential.</w:t>
      </w:r>
    </w:p>
  </w:footnote>
  <w:footnote w:id="138">
    <w:p w14:paraId="2C1E0029" w14:textId="6C8D89D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CleanLeachate (2010). Combined anode and cathode process to treat landfill leachate. Available at: https://cordis.europa.eu/project/id/262335  </w:t>
      </w:r>
    </w:p>
  </w:footnote>
  <w:footnote w:id="139">
    <w:p w14:paraId="15F8ECAE" w14:textId="0CED89B2" w:rsidR="009010D9" w:rsidRPr="00C92FA9" w:rsidRDefault="009010D9" w:rsidP="00FF38B3">
      <w:pPr>
        <w:pStyle w:val="FootnoteText"/>
        <w:spacing w:before="0" w:after="0"/>
        <w:ind w:left="357" w:hanging="357"/>
        <w:contextualSpacing/>
        <w:rPr>
          <w:rFonts w:cs="Times New Roman"/>
          <w:kern w:val="2"/>
          <w:sz w:val="20"/>
          <w:szCs w:val="20"/>
          <w14:ligatures w14:val="standardContextual"/>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OECD (2025). The Circular Economy in Cities and Regions of the European Union. Available at: https://www.oecd.org/en/publications/the-circular-economy-in-cities-and-regions-of-the-european-union_e09c21e2-en.html</w:t>
      </w:r>
    </w:p>
  </w:footnote>
  <w:footnote w:id="140">
    <w:p w14:paraId="099C8324" w14:textId="0FC838ED"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European Commission (2023) 306 final. Communication on a revised monitoring framework for the circular economy. Available at: https://www.europarl.europa.eu/RegData/docs_autres_institutions/commission_europeenne/com/2023/0306/COM_COM%282023%290306_EN.pdf</w:t>
      </w:r>
    </w:p>
  </w:footnote>
  <w:footnote w:id="141">
    <w:p w14:paraId="545FAAD5" w14:textId="0F3C859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lang w:val="it-IT"/>
        </w:rPr>
        <w:t xml:space="preserve"> </w:t>
      </w:r>
      <w:r>
        <w:rPr>
          <w:rFonts w:cs="Times New Roman"/>
          <w:sz w:val="20"/>
          <w:szCs w:val="20"/>
          <w:lang w:val="it-IT"/>
        </w:rPr>
        <w:tab/>
      </w:r>
      <w:r w:rsidRPr="00C92FA9">
        <w:rPr>
          <w:rFonts w:cs="Times New Roman"/>
          <w:sz w:val="20"/>
          <w:szCs w:val="20"/>
          <w:lang w:val="it-IT"/>
        </w:rPr>
        <w:t xml:space="preserve">Albizzati, P.F., et al. </w:t>
      </w:r>
      <w:r w:rsidRPr="00C92FA9">
        <w:rPr>
          <w:rFonts w:cs="Times New Roman"/>
          <w:sz w:val="20"/>
          <w:szCs w:val="20"/>
        </w:rPr>
        <w:t xml:space="preserve">(2024). </w:t>
      </w:r>
      <w:r w:rsidRPr="00C92FA9">
        <w:rPr>
          <w:rFonts w:cs="Times New Roman"/>
          <w:i/>
          <w:sz w:val="20"/>
          <w:szCs w:val="20"/>
        </w:rPr>
        <w:t>A model to assess the environmental and economic impacts of municipal waste management in Europe.</w:t>
      </w:r>
      <w:r w:rsidRPr="00C92FA9">
        <w:rPr>
          <w:rFonts w:cs="Times New Roman"/>
          <w:sz w:val="20"/>
          <w:szCs w:val="20"/>
        </w:rPr>
        <w:t xml:space="preserve"> Waste Management 174, p. 605-617.</w:t>
      </w:r>
    </w:p>
  </w:footnote>
  <w:footnote w:id="142">
    <w:p w14:paraId="75299467" w14:textId="31A011BB" w:rsidR="009010D9" w:rsidRDefault="009010D9" w:rsidP="00FF38B3">
      <w:pPr>
        <w:pStyle w:val="FootnoteText"/>
        <w:contextualSpacing/>
        <w:rPr>
          <w:b/>
          <w:sz w:val="20"/>
          <w:lang w:val="en-IE"/>
        </w:rPr>
      </w:pPr>
      <w:r w:rsidRPr="00C92FA9">
        <w:rPr>
          <w:rStyle w:val="FootnoteReference"/>
          <w:rFonts w:cs="Times New Roman"/>
          <w:sz w:val="20"/>
          <w:szCs w:val="20"/>
        </w:rPr>
        <w:footnoteRef/>
      </w:r>
      <w:r>
        <w:rPr>
          <w:rFonts w:cs="Times New Roman"/>
          <w:sz w:val="20"/>
          <w:szCs w:val="20"/>
        </w:rPr>
        <w:t xml:space="preserve"> OECD (2025), “</w:t>
      </w:r>
      <w:r>
        <w:rPr>
          <w:rFonts w:cs="Times New Roman"/>
          <w:sz w:val="20"/>
          <w:szCs w:val="20"/>
          <w:lang w:val="en-IE"/>
        </w:rPr>
        <w:t>The Circular Economy in Cities and Regions of the European Union”,</w:t>
      </w:r>
      <w:r w:rsidR="00EE0F6B">
        <w:rPr>
          <w:b/>
          <w:sz w:val="20"/>
          <w:lang w:val="en-IE"/>
        </w:rPr>
        <w:t xml:space="preserve"> </w:t>
      </w:r>
      <w:r w:rsidR="00EE0F6B" w:rsidRPr="00EE0F6B">
        <w:rPr>
          <w:rFonts w:cs="Times New Roman"/>
          <w:sz w:val="20"/>
          <w:szCs w:val="20"/>
        </w:rPr>
        <w:t>https://</w:t>
      </w:r>
      <w:r>
        <w:rPr>
          <w:rFonts w:cs="Times New Roman"/>
          <w:sz w:val="20"/>
          <w:szCs w:val="20"/>
        </w:rPr>
        <w:t>doi</w:t>
      </w:r>
      <w:r w:rsidR="00EE0F6B" w:rsidRPr="00EE0F6B">
        <w:rPr>
          <w:rFonts w:cs="Times New Roman"/>
          <w:sz w:val="20"/>
          <w:szCs w:val="20"/>
        </w:rPr>
        <w:t>.org/</w:t>
      </w:r>
      <w:r>
        <w:rPr>
          <w:rFonts w:cs="Times New Roman"/>
          <w:sz w:val="20"/>
          <w:szCs w:val="20"/>
        </w:rPr>
        <w:t>10.1787/</w:t>
      </w:r>
      <w:r w:rsidR="00EE0F6B" w:rsidRPr="00EE0F6B">
        <w:rPr>
          <w:rFonts w:cs="Times New Roman"/>
          <w:sz w:val="20"/>
          <w:szCs w:val="20"/>
        </w:rPr>
        <w:t>e09c21e2-en</w:t>
      </w:r>
      <w:r w:rsidRPr="00EE0F6B">
        <w:rPr>
          <w:rFonts w:cs="Times New Roman"/>
          <w:sz w:val="20"/>
          <w:szCs w:val="20"/>
        </w:rPr>
        <w:t xml:space="preserve"> </w:t>
      </w:r>
    </w:p>
  </w:footnote>
  <w:footnote w:id="143">
    <w:p w14:paraId="572F2A41" w14:textId="4CDFB4E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CHARTER OF FUNDAMENTAL RIGHTS OF THE EUROPEAN UNION (2000/C 364/01)</w:t>
      </w:r>
    </w:p>
  </w:footnote>
  <w:footnote w:id="144">
    <w:p w14:paraId="4774DCC0" w14:textId="53CEB35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“A high level of environmental protection and the improvement of the quality of the environment must be integrated into the policies of the Union and ensured in accordance with the principle of sustainable development”.</w:t>
      </w:r>
    </w:p>
  </w:footnote>
  <w:footnote w:id="145">
    <w:p w14:paraId="6945831F" w14:textId="3D2BC91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At EU ETS carbon price of EUR 75/tonne of CO2 (Sweden, 2025) and national ETS carbon price of 62/tonne of CO2 (Germany, 2026).</w:t>
      </w:r>
    </w:p>
  </w:footnote>
  <w:footnote w:id="146">
    <w:p w14:paraId="2AC42025" w14:textId="13C3A011"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I</w:t>
      </w:r>
      <w:r w:rsidRPr="00C92FA9">
        <w:rPr>
          <w:rFonts w:cs="Times New Roman"/>
          <w:sz w:val="20"/>
          <w:szCs w:val="20"/>
          <w:lang w:eastAsia="en-GB"/>
        </w:rPr>
        <w:t xml:space="preserve">nstallations carrying out combustion activities and having a total rated thermal input exceeding 20MW (as well as incinerating predominantly municipal waste). </w:t>
      </w:r>
    </w:p>
  </w:footnote>
  <w:footnote w:id="147">
    <w:p w14:paraId="4111E3CA" w14:textId="52E074C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AT, BE, CZ, DE, DK, EE, ES, FI, FR, IE, IT, NL, LT, LU, PL, PT, SE and SK. </w:t>
      </w:r>
    </w:p>
  </w:footnote>
  <w:footnote w:id="148">
    <w:p w14:paraId="665C86A2" w14:textId="07ECF6E0"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Reporting data from 4 installations in 3 Member States (BE, DE, HU) was missing at the time of writing, Based on desk research, this are projected to add approximately a further 0.40 MtCO2e, based on nominal capacity and assuming a standardised 50% fossil emissions factor and bring the total number of MWI installations above the 20MW threshold in the EU to 400. In addition, 2 installations in LT were reported under the fuel combustion activity, representing 0.20 MtCO2e fossil emissions. The remaining 8 Member States had no significant MWI incineration capacity in 2024 (CY, BG, EL, HR, LV, MT, RO, SI).</w:t>
      </w:r>
    </w:p>
  </w:footnote>
  <w:footnote w:id="149">
    <w:p w14:paraId="06A5F548" w14:textId="28C7972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38.6 MtCO2eq and 44.8 MtCO2eq for the EU-27. </w:t>
      </w:r>
    </w:p>
  </w:footnote>
  <w:footnote w:id="150">
    <w:p w14:paraId="27BF8B5F" w14:textId="0BFEEB0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Installations for the incineration of municipal waste already covered by the EU ETS (waste-to-energy installations included as part of national implementation of the EU ETS in certain Member States (DK, SE) reported at 4.8 MtCO2e in 2024 MRV data and co-incineration in industrial installation such as cement kilns) </w:t>
      </w:r>
    </w:p>
  </w:footnote>
  <w:footnote w:id="151">
    <w:p w14:paraId="7A528889" w14:textId="4D8BD51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Source: desk research based on the EU E-PRTR database and installations listed by the sector organisation CEWEP (2017, Interactive Map of Waste-to-Energy Plants. Available at: https://www.cewep.eu/interactive-map/).</w:t>
      </w:r>
    </w:p>
  </w:footnote>
  <w:footnote w:id="152">
    <w:p w14:paraId="4B4CE57B" w14:textId="087ADA3B"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The thermal input is determined by the calorific value of the waste and the mass throughput being fed into the furnace at any given moment. Approximating a throughput (capacity) value for waste incineration installations equivalent to the 20 MW thermal input threshold, assuming a net calorific value of 7.5 MJ/kg and 85% annual availability, results in a 20 MW thermal input corresponding to approximately a throughout of 71.500 tonnes per year (upper threshold).</w:t>
      </w:r>
    </w:p>
  </w:footnote>
  <w:footnote w:id="153">
    <w:p w14:paraId="600C874F" w14:textId="6C12BB1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Based on the combined nominal capacity of these installations (CEWEP data) and a standardised 0.5 fossil emission factor.</w:t>
      </w:r>
    </w:p>
  </w:footnote>
  <w:footnote w:id="154">
    <w:p w14:paraId="5BAFC38E" w14:textId="25A10B6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No data are available on the number and capacity of hazardous waste incineration installations below 20 MW.</w:t>
      </w:r>
    </w:p>
  </w:footnote>
  <w:footnote w:id="155">
    <w:p w14:paraId="00EE00F9" w14:textId="3A31B50E"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Eurostat</w:t>
      </w:r>
    </w:p>
  </w:footnote>
  <w:footnote w:id="156">
    <w:p w14:paraId="45A7F087" w14:textId="1FFBACB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Guidance on interpretation of Annex I of the EU ETS Directive from December 2024: https://climate.ec.europa.eu/document/download/edc93136-82a0-482c-bf47-39ecaf13b318_en?filename=policy_ets_gd0_annex_i_euets_directive_en.pdf</w:t>
      </w:r>
    </w:p>
  </w:footnote>
  <w:footnote w:id="157">
    <w:p w14:paraId="56C33AFE" w14:textId="151E6930"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The First Order of Decay method used by Member States to calculate the emissions in the national inventory reports in accordance with the 2006 IPCC Guidelines is considered to account relatively accurately for the fact that the degradable organic components decay slowly over decades (see section 1.4.3 on methodologies). While the methodology can be considered to be relatively accurate, the calculation relies on the quality of activity data, emission factors and other parameters used by each Member State for their inventories, which results in inconsistencies and carries a risk of imprecise estimation.</w:t>
      </w:r>
    </w:p>
  </w:footnote>
  <w:footnote w:id="158">
    <w:p w14:paraId="1ABB0050" w14:textId="4AB6157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Based on a study by Prognos and CE Delft which was assessed against a range of emissions factors for the flaring technique. Prognos and CE Delft (2022). CO2 reduction potential in European waste management. Emission factors used in national inventory reports and assessed in literature display a wide range of variation. For example, emission factors used in national inventory reports vary widely between countries, ranging from 0.8 to 2.0 tonne CO2/tonne of mixed solid waste landfilled depending on the presence and type of methane capture, local conditions and waste composition, among others, while emission factors in literature display an even wider range from less than 0.2 to more than 2.6 depending on the methodology used.</w:t>
      </w:r>
    </w:p>
  </w:footnote>
  <w:footnote w:id="159">
    <w:p w14:paraId="1307AEF8" w14:textId="0DD6550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Circular Economy Knowledge Hub (2022). </w:t>
      </w:r>
      <w:r w:rsidRPr="00C92FA9">
        <w:rPr>
          <w:rFonts w:cs="Times New Roman"/>
          <w:i/>
          <w:iCs/>
          <w:sz w:val="20"/>
          <w:szCs w:val="20"/>
        </w:rPr>
        <w:t>Waste sorting plant to advance mixed municipal waste management.</w:t>
      </w:r>
      <w:r w:rsidRPr="00C92FA9">
        <w:rPr>
          <w:rFonts w:cs="Times New Roman"/>
          <w:sz w:val="20"/>
          <w:szCs w:val="20"/>
        </w:rPr>
        <w:t xml:space="preserve"> Available at: https://knowledge-hub.circle-economy.com/article/12719?n=Waste-sorting-plant-to-advance-mixed-municipal-waste-management </w:t>
      </w:r>
    </w:p>
  </w:footnote>
  <w:footnote w:id="160">
    <w:p w14:paraId="28D01286" w14:textId="35F1870A"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Grayparrot AI (2025). </w:t>
      </w:r>
      <w:r w:rsidRPr="00C92FA9">
        <w:rPr>
          <w:rFonts w:cs="Times New Roman"/>
          <w:i/>
          <w:iCs/>
          <w:sz w:val="20"/>
          <w:szCs w:val="20"/>
        </w:rPr>
        <w:t>How Omrin uses Greyparrot Analyzer to maximise yield.</w:t>
      </w:r>
      <w:r w:rsidRPr="00C92FA9">
        <w:rPr>
          <w:rFonts w:cs="Times New Roman"/>
          <w:sz w:val="20"/>
          <w:szCs w:val="20"/>
        </w:rPr>
        <w:t xml:space="preserve"> Available at: https://www.greyparrot.ai/resources/case-studies/omrin-greyparrot-analyzer- </w:t>
      </w:r>
    </w:p>
  </w:footnote>
  <w:footnote w:id="161">
    <w:p w14:paraId="51635B85" w14:textId="72892244"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cs="Times New Roman"/>
          <w:sz w:val="20"/>
          <w:szCs w:val="20"/>
        </w:rPr>
        <w:t xml:space="preserve">SLB Capturi (2025). </w:t>
      </w:r>
      <w:r w:rsidRPr="00C92FA9">
        <w:rPr>
          <w:rFonts w:cs="Times New Roman"/>
          <w:i/>
          <w:iCs/>
          <w:sz w:val="20"/>
          <w:szCs w:val="20"/>
        </w:rPr>
        <w:t>Oslo CCS.</w:t>
      </w:r>
      <w:r w:rsidRPr="00C92FA9">
        <w:rPr>
          <w:rFonts w:cs="Times New Roman"/>
          <w:sz w:val="20"/>
          <w:szCs w:val="20"/>
        </w:rPr>
        <w:t xml:space="preserve"> Available at: https://capturi.slb.com/projects/oslo-ccs </w:t>
      </w:r>
    </w:p>
  </w:footnote>
  <w:footnote w:id="162">
    <w:p w14:paraId="6BBAEA09" w14:textId="11F48F67"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eastAsia="Arial" w:cs="Times New Roman"/>
          <w:sz w:val="20"/>
          <w:szCs w:val="20"/>
        </w:rPr>
        <w:t xml:space="preserve">SLB </w:t>
      </w:r>
      <w:r w:rsidRPr="00C92FA9">
        <w:rPr>
          <w:rFonts w:cs="Times New Roman"/>
          <w:sz w:val="20"/>
          <w:szCs w:val="20"/>
        </w:rPr>
        <w:t xml:space="preserve">Capturi (2025). </w:t>
      </w:r>
      <w:r w:rsidRPr="00C92FA9">
        <w:rPr>
          <w:rFonts w:cs="Times New Roman"/>
          <w:i/>
          <w:iCs/>
          <w:sz w:val="20"/>
          <w:szCs w:val="20"/>
        </w:rPr>
        <w:t>Twence CCU</w:t>
      </w:r>
      <w:r w:rsidRPr="00C92FA9">
        <w:rPr>
          <w:rFonts w:cs="Times New Roman"/>
          <w:sz w:val="20"/>
          <w:szCs w:val="20"/>
        </w:rPr>
        <w:t xml:space="preserve">. Available at : </w:t>
      </w:r>
      <w:r w:rsidRPr="00C92FA9">
        <w:rPr>
          <w:rFonts w:eastAsia="Arial" w:cs="Times New Roman"/>
          <w:sz w:val="20"/>
          <w:szCs w:val="20"/>
        </w:rPr>
        <w:t xml:space="preserve">https://capturi.slb.com/projects/twence-ccu </w:t>
      </w:r>
    </w:p>
  </w:footnote>
  <w:footnote w:id="163">
    <w:p w14:paraId="7CB14A9C" w14:textId="6E2E3044" w:rsidR="009010D9" w:rsidRPr="00C92FA9" w:rsidRDefault="009010D9" w:rsidP="00FF38B3">
      <w:pPr>
        <w:pStyle w:val="FootnoteText"/>
        <w:spacing w:before="0" w:after="0"/>
        <w:ind w:left="357" w:hanging="357"/>
        <w:contextualSpacing/>
        <w:rPr>
          <w:rFonts w:eastAsia="Arial" w:cs="Times New Roman"/>
          <w:sz w:val="20"/>
          <w:szCs w:val="20"/>
        </w:rPr>
      </w:pPr>
      <w:r w:rsidRPr="00C92FA9">
        <w:rPr>
          <w:rStyle w:val="FootnoteReference"/>
          <w:rFonts w:eastAsia="Arial" w:cs="Times New Roman"/>
          <w:sz w:val="20"/>
          <w:szCs w:val="20"/>
        </w:rPr>
        <w:footnoteRef/>
      </w:r>
      <w:r w:rsidRPr="00C92FA9">
        <w:rPr>
          <w:rFonts w:eastAsia="Arial" w:cs="Times New Roman"/>
          <w:sz w:val="20"/>
          <w:szCs w:val="20"/>
        </w:rPr>
        <w:t xml:space="preserve"> </w:t>
      </w:r>
      <w:r>
        <w:rPr>
          <w:rFonts w:eastAsia="Arial" w:cs="Times New Roman"/>
          <w:sz w:val="20"/>
          <w:szCs w:val="20"/>
        </w:rPr>
        <w:tab/>
      </w:r>
      <w:r w:rsidRPr="00C92FA9">
        <w:rPr>
          <w:rFonts w:cs="Times New Roman"/>
          <w:sz w:val="20"/>
          <w:szCs w:val="20"/>
        </w:rPr>
        <w:t xml:space="preserve">AVR (2025). </w:t>
      </w:r>
      <w:r w:rsidRPr="00C92FA9">
        <w:rPr>
          <w:rFonts w:cs="Times New Roman"/>
          <w:i/>
          <w:iCs/>
          <w:sz w:val="20"/>
          <w:szCs w:val="20"/>
        </w:rPr>
        <w:t>CO2 – capture plant</w:t>
      </w:r>
      <w:r w:rsidRPr="00C92FA9">
        <w:rPr>
          <w:rFonts w:cs="Times New Roman"/>
          <w:sz w:val="20"/>
          <w:szCs w:val="20"/>
        </w:rPr>
        <w:t xml:space="preserve">. Available at: </w:t>
      </w:r>
      <w:r w:rsidRPr="00C92FA9">
        <w:rPr>
          <w:rFonts w:eastAsia="Arial" w:cs="Times New Roman"/>
          <w:sz w:val="20"/>
          <w:szCs w:val="20"/>
        </w:rPr>
        <w:t xml:space="preserve">https://www.avr.nl/en/optimal-process/co2-capture-plant/ </w:t>
      </w:r>
    </w:p>
  </w:footnote>
  <w:footnote w:id="164">
    <w:p w14:paraId="38883FE1" w14:textId="7CFE965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However, if an operator can demonstrate to the competent authority that meeting the required tier is technically infeasible or would result in unreasonable costs, they may apply a lower tier, specifically, one tier lower for Category C installations and up to two tiers lower for Categories A and B if Tier 1 is the minimum applied.</w:t>
      </w:r>
    </w:p>
  </w:footnote>
  <w:footnote w:id="165">
    <w:p w14:paraId="5E07624B" w14:textId="3F9B273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Article 19 of the EU ETS MRR establishes the categories of installations. Category A installations have annual emissions ≤ 50,000 tonnes of CO2e, Category B installations have annual emissions between 50,000 and ≤ 500,000 tonnes of CO2e, and Category C installations have annual emissions &gt; 500,000 tonnes of CO2e. Based on publicly available data by sector organisation CEWEP on the number and capacity of WtE installations in the EU and assuming that 1 tonne of waste would produce around 1 tonne of CO2 of which 50% fossil-based, 270 out of 423 (64%) installations have a capacity between 100.000 and 1.000.000 tpa, i.e. between 50.000 and 500.000 tonnes of CO2 (Category B); 150 (35%) have a capacity below 100.000 tpa, i.e. below 50.000 tonnes of CO2 (Category A); and 3 (1%) have a capacity above 1.000.000 tpa, i.e. above 500.000 tonnes of CO2 (Category C).</w:t>
      </w:r>
    </w:p>
  </w:footnote>
  <w:footnote w:id="166">
    <w:p w14:paraId="5C52C2FE" w14:textId="3E3B6F5F"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Exchange rate used: GBP 1 = EUR 1.16</w:t>
      </w:r>
    </w:p>
  </w:footnote>
  <w:footnote w:id="167">
    <w:p w14:paraId="6E0F6BC1" w14:textId="092C70E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The manual sorting and sampling method approach involves physically sampling the incoming waste stream and manually separating it into fossil and biogenic fractions based on visual or material characteristics.</w:t>
      </w:r>
    </w:p>
  </w:footnote>
  <w:footnote w:id="168">
    <w:p w14:paraId="60A5B104" w14:textId="08F4C64F" w:rsidR="009010D9" w:rsidRPr="00C92FA9" w:rsidRDefault="009010D9" w:rsidP="00FF38B3">
      <w:pPr>
        <w:spacing w:before="0" w:after="0"/>
        <w:ind w:left="357" w:hanging="357"/>
        <w:contextualSpacing/>
        <w:rPr>
          <w:sz w:val="20"/>
          <w:szCs w:val="20"/>
          <w:lang w:val="fr-BE"/>
        </w:rPr>
      </w:pPr>
      <w:r w:rsidRPr="00C92FA9">
        <w:rPr>
          <w:sz w:val="20"/>
          <w:szCs w:val="20"/>
          <w:vertAlign w:val="superscript"/>
        </w:rPr>
        <w:footnoteRef/>
      </w:r>
      <w:r w:rsidRPr="00C92FA9">
        <w:rPr>
          <w:sz w:val="20"/>
          <w:szCs w:val="20"/>
          <w:lang w:val="fr-BE"/>
        </w:rPr>
        <w:t xml:space="preserve"> </w:t>
      </w:r>
      <w:r>
        <w:rPr>
          <w:sz w:val="20"/>
          <w:szCs w:val="20"/>
          <w:lang w:val="fr-BE"/>
        </w:rPr>
        <w:tab/>
      </w:r>
      <w:r w:rsidRPr="00C92FA9">
        <w:rPr>
          <w:sz w:val="20"/>
          <w:szCs w:val="20"/>
          <w:lang w:val="fr-BE"/>
        </w:rPr>
        <w:t xml:space="preserve">Schuit, B. J., et al. </w:t>
      </w:r>
      <w:r w:rsidRPr="00C92FA9">
        <w:rPr>
          <w:sz w:val="20"/>
          <w:szCs w:val="20"/>
        </w:rPr>
        <w:t xml:space="preserve">(2023) Automated detection and monitoring of methane super-emitters using satellite data, Atmos. </w:t>
      </w:r>
      <w:r w:rsidRPr="00C92FA9">
        <w:rPr>
          <w:sz w:val="20"/>
          <w:szCs w:val="20"/>
          <w:lang w:val="fr-BE"/>
        </w:rPr>
        <w:t>Chem. Phys., 23, 9071–9098, https://doi.org/10.5194/acp-23-9071-2023, 2023.</w:t>
      </w:r>
    </w:p>
  </w:footnote>
  <w:footnote w:id="169">
    <w:p w14:paraId="4F84C17E" w14:textId="31687D7F"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lang w:val="fr-BE"/>
        </w:rPr>
        <w:t xml:space="preserve"> </w:t>
      </w:r>
      <w:r>
        <w:rPr>
          <w:rFonts w:cs="Times New Roman"/>
          <w:sz w:val="20"/>
          <w:szCs w:val="20"/>
          <w:lang w:val="fr-BE"/>
        </w:rPr>
        <w:tab/>
      </w:r>
      <w:r w:rsidRPr="00C92FA9">
        <w:rPr>
          <w:rFonts w:cs="Times New Roman"/>
          <w:sz w:val="20"/>
          <w:szCs w:val="20"/>
          <w:lang w:val="fr-BE"/>
        </w:rPr>
        <w:t xml:space="preserve">Dogniaux, M., Maasakkers, J.D., Girard, M. et al. </w:t>
      </w:r>
      <w:r w:rsidRPr="00C92FA9">
        <w:rPr>
          <w:rFonts w:cs="Times New Roman"/>
          <w:sz w:val="20"/>
          <w:szCs w:val="20"/>
        </w:rPr>
        <w:t>Global satellite survey reveals uncertainty in landfill methane emissions. Nature 647, 397–402 (2025). https://doi.org/10.1038/s41586-025-09683-8</w:t>
      </w:r>
    </w:p>
  </w:footnote>
  <w:footnote w:id="170">
    <w:p w14:paraId="32FFCCDA" w14:textId="77777777" w:rsidR="009010D9" w:rsidRPr="00C92FA9" w:rsidRDefault="009010D9" w:rsidP="00FF38B3">
      <w:pPr>
        <w:spacing w:before="0" w:after="0"/>
        <w:ind w:left="357" w:hanging="357"/>
        <w:contextualSpacing/>
        <w:rPr>
          <w:sz w:val="20"/>
          <w:szCs w:val="20"/>
        </w:rPr>
      </w:pPr>
      <w:r w:rsidRPr="00C92FA9">
        <w:rPr>
          <w:sz w:val="20"/>
          <w:szCs w:val="20"/>
          <w:vertAlign w:val="superscript"/>
        </w:rPr>
        <w:footnoteRef/>
      </w:r>
      <w:r w:rsidRPr="00C92FA9">
        <w:rPr>
          <w:sz w:val="20"/>
          <w:szCs w:val="20"/>
        </w:rPr>
        <w:t xml:space="preserve"> Maasakkers J. et al. (2022). ‘Using satellites to uncover large methane emissions from landfills’, </w:t>
      </w:r>
      <w:r w:rsidRPr="00C92FA9">
        <w:rPr>
          <w:i/>
          <w:iCs/>
          <w:sz w:val="20"/>
          <w:szCs w:val="20"/>
        </w:rPr>
        <w:t>ScienceAdvances</w:t>
      </w:r>
      <w:r w:rsidRPr="00C92FA9">
        <w:rPr>
          <w:sz w:val="20"/>
          <w:szCs w:val="20"/>
        </w:rPr>
        <w:t xml:space="preserve"> (8; 32). Available at: https://doi.org/10.1126/sciadv.abn9683  </w:t>
      </w:r>
    </w:p>
  </w:footnote>
  <w:footnote w:id="171">
    <w:p w14:paraId="1A628504" w14:textId="10A33ED7" w:rsidR="009010D9" w:rsidRPr="00C92FA9" w:rsidRDefault="009010D9" w:rsidP="00FF38B3">
      <w:pPr>
        <w:spacing w:before="0" w:after="0"/>
        <w:ind w:left="357" w:hanging="357"/>
        <w:contextualSpacing/>
        <w:rPr>
          <w:sz w:val="20"/>
          <w:szCs w:val="20"/>
        </w:rPr>
      </w:pPr>
      <w:r>
        <w:rPr>
          <w:sz w:val="20"/>
          <w:vertAlign w:val="superscript"/>
        </w:rPr>
        <w:footnoteRef/>
      </w:r>
      <w:r w:rsidRPr="00C92FA9">
        <w:rPr>
          <w:sz w:val="20"/>
          <w:szCs w:val="20"/>
        </w:rPr>
        <w:t xml:space="preserve"> </w:t>
      </w:r>
      <w:r>
        <w:rPr>
          <w:sz w:val="20"/>
          <w:szCs w:val="20"/>
        </w:rPr>
        <w:tab/>
      </w:r>
      <w:r w:rsidRPr="00C92FA9">
        <w:rPr>
          <w:sz w:val="20"/>
          <w:szCs w:val="20"/>
        </w:rPr>
        <w:t xml:space="preserve">IPCC (2000). ‘CH4 emissions from solid waste disposal’, in IPCC Good Practice Guidance and Uncertainty Management in National Greenhouse Gas Inventories. Published for the IPCC by the Institute for Global Environmental Strategies, Japan. Available at: https://www.ipcc-nggip.iges.or.jp/public/gp/bgp/5_1_CH4_Solid_Waste.pdf   </w:t>
      </w:r>
    </w:p>
  </w:footnote>
  <w:footnote w:id="172">
    <w:p w14:paraId="5095984F" w14:textId="61AE7F71" w:rsidR="009010D9" w:rsidRPr="00C92FA9" w:rsidRDefault="009010D9" w:rsidP="00FF38B3">
      <w:pPr>
        <w:spacing w:before="0" w:after="0"/>
        <w:ind w:left="357" w:hanging="357"/>
        <w:contextualSpacing/>
        <w:rPr>
          <w:sz w:val="20"/>
          <w:szCs w:val="20"/>
        </w:rPr>
      </w:pPr>
      <w:r>
        <w:rPr>
          <w:sz w:val="20"/>
          <w:vertAlign w:val="superscript"/>
        </w:rPr>
        <w:footnoteRef/>
      </w:r>
      <w:r w:rsidRPr="00C92FA9">
        <w:rPr>
          <w:sz w:val="20"/>
          <w:szCs w:val="20"/>
        </w:rPr>
        <w:t xml:space="preserve"> </w:t>
      </w:r>
      <w:r>
        <w:rPr>
          <w:sz w:val="20"/>
          <w:szCs w:val="20"/>
        </w:rPr>
        <w:tab/>
      </w:r>
      <w:r w:rsidRPr="00C92FA9">
        <w:rPr>
          <w:sz w:val="20"/>
          <w:szCs w:val="20"/>
        </w:rPr>
        <w:t xml:space="preserve">See for example the factors provided in Department for Energy Security and Net Zero (2023). </w:t>
      </w:r>
      <w:r w:rsidRPr="00C92FA9">
        <w:rPr>
          <w:i/>
          <w:iCs/>
          <w:sz w:val="20"/>
          <w:szCs w:val="20"/>
        </w:rPr>
        <w:t>Greenhouse gas reporting: conversion factors 2023</w:t>
      </w:r>
      <w:r w:rsidRPr="00C92FA9">
        <w:rPr>
          <w:sz w:val="20"/>
          <w:szCs w:val="20"/>
        </w:rPr>
        <w:t xml:space="preserve">. Available at : https://www.gov.uk/government/publications/greenhouse-gas-reporting-conversion-factors-2023 or  CEWEP (2022). </w:t>
      </w:r>
      <w:r w:rsidRPr="00C92FA9">
        <w:rPr>
          <w:i/>
          <w:iCs/>
          <w:sz w:val="20"/>
          <w:szCs w:val="20"/>
        </w:rPr>
        <w:t>Waste-to-Energy Climate Roadmap</w:t>
      </w:r>
      <w:r w:rsidRPr="00C92FA9">
        <w:rPr>
          <w:sz w:val="20"/>
          <w:szCs w:val="20"/>
        </w:rPr>
        <w:t>. Available at : https://www.cewep.eu/wp-content/uploads/2022/06/CEWEP-WtE-Climate-Roadmap-2022.pdf.pdf</w:t>
      </w:r>
    </w:p>
  </w:footnote>
  <w:footnote w:id="173">
    <w:p w14:paraId="1600EED6" w14:textId="7E5BFADF"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Directive 2009/31/EC of the European Parliament and of the Council of 23 April 2009 on the geological storage of carbon dioxide, </w:t>
      </w:r>
      <w:hyperlink r:id="rId8" w:tooltip="Gives access to this document through its ELI URI." w:history="1">
        <w:r w:rsidRPr="00C92FA9">
          <w:rPr>
            <w:rStyle w:val="Hyperlink"/>
            <w:rFonts w:cs="Times New Roman"/>
            <w:szCs w:val="20"/>
          </w:rPr>
          <w:t>http://data.europa.eu/eli/dir/2009/31/oj</w:t>
        </w:r>
      </w:hyperlink>
    </w:p>
  </w:footnote>
  <w:footnote w:id="174">
    <w:p w14:paraId="3CD73CF1" w14:textId="29B441A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lang w:val="en-US"/>
        </w:rPr>
        <w:t>Commission Delegated Regulation (EU) 2024/2620 of 30 July 2024 supplementing Directive 2003/87/EC of the European Parliament and of the Council as regards the requirements for considering that greenhouse gases have become permanently chemically bound in a product. Official Journal of the European Union, L 2620, 4 October 2024. Retrieved from </w:t>
      </w:r>
      <w:hyperlink r:id="rId9" w:tgtFrame="_blank" w:history="1">
        <w:r w:rsidRPr="00C92FA9">
          <w:rPr>
            <w:rStyle w:val="Hyperlink"/>
            <w:rFonts w:cs="Times New Roman"/>
            <w:szCs w:val="20"/>
            <w:lang w:val="en-US"/>
          </w:rPr>
          <w:t>https://eur-lex.europa.eu/eli/reg_del/2024/2620/oj/eng</w:t>
        </w:r>
      </w:hyperlink>
      <w:r w:rsidRPr="00C92FA9">
        <w:rPr>
          <w:rFonts w:cs="Times New Roman"/>
          <w:sz w:val="20"/>
          <w:szCs w:val="20"/>
          <w:lang w:val="en-US"/>
        </w:rPr>
        <w:t> </w:t>
      </w:r>
      <w:r w:rsidRPr="00C92FA9">
        <w:rPr>
          <w:rFonts w:cs="Times New Roman"/>
          <w:sz w:val="20"/>
          <w:szCs w:val="20"/>
        </w:rPr>
        <w:t> </w:t>
      </w:r>
    </w:p>
  </w:footnote>
  <w:footnote w:id="175">
    <w:p w14:paraId="2849C20B" w14:textId="0346D12D"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 (Text with EEA relevance), </w:t>
      </w:r>
      <w:hyperlink r:id="rId10" w:tooltip="Gives access to this document through its ELI URI." w:history="1">
        <w:r w:rsidRPr="00C92FA9">
          <w:rPr>
            <w:rStyle w:val="Hyperlink"/>
            <w:rFonts w:cs="Times New Roman"/>
            <w:szCs w:val="20"/>
          </w:rPr>
          <w:t>http://data.europa.eu/eli/dir/2023/959/oj</w:t>
        </w:r>
      </w:hyperlink>
    </w:p>
  </w:footnote>
  <w:footnote w:id="176">
    <w:p w14:paraId="30A5E754" w14:textId="2925C3C8"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Communication from the Commission to the European Parliament, the Council, the European Economic and Social Committee snd the Committee of the Regions Towards an ambitious Industrial Carbon Management for the EU</w:t>
      </w:r>
    </w:p>
  </w:footnote>
  <w:footnote w:id="177">
    <w:p w14:paraId="67A8585B" w14:textId="28D49770"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Communication from the Commission to the European Parliament, the Council, the European Economic and Social Committee and the Committee of the Regions - A European Chemicals Industry Action Plan, </w:t>
      </w:r>
      <w:hyperlink r:id="rId11" w:history="1">
        <w:r w:rsidRPr="00C92FA9">
          <w:rPr>
            <w:rStyle w:val="Hyperlink"/>
            <w:rFonts w:cs="Times New Roman"/>
            <w:szCs w:val="20"/>
          </w:rPr>
          <w:t>Eur-Lex - 52025dc0530 - En - Eur-Lex</w:t>
        </w:r>
      </w:hyperlink>
    </w:p>
  </w:footnote>
  <w:footnote w:id="178">
    <w:p w14:paraId="405288E7" w14:textId="787C4F4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Directive (EU) 2018/2001 of the European Parliament and of the Council of 11 December 2018 on the promotion of the use of energy from renewable sources (recast), </w:t>
      </w:r>
      <w:hyperlink r:id="rId12" w:tooltip="Gives access to this document through its ELI URI." w:history="1">
        <w:r w:rsidRPr="00C92FA9">
          <w:rPr>
            <w:rStyle w:val="Hyperlink"/>
            <w:rFonts w:cs="Times New Roman"/>
            <w:szCs w:val="20"/>
          </w:rPr>
          <w:t>http://data.europa.eu/eli/dir/2018/2001/oj</w:t>
        </w:r>
      </w:hyperlink>
    </w:p>
  </w:footnote>
  <w:footnote w:id="179">
    <w:p w14:paraId="395AEAB2" w14:textId="2B0BA316"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Regulation (EU) 2024/3012 of the European Parliament and of the Council of 27 November 2024 establishing a Union certification framework for permanent carbon removals, carbon farming and carbon storage in products, </w:t>
      </w:r>
      <w:hyperlink r:id="rId13" w:tooltip="Gives access to this document through its ELI URI." w:history="1">
        <w:r w:rsidRPr="00C92FA9">
          <w:rPr>
            <w:rStyle w:val="Hyperlink"/>
            <w:rFonts w:cs="Times New Roman"/>
            <w:szCs w:val="20"/>
          </w:rPr>
          <w:t>http://data.europa.eu/eli/reg/2024/3012/oj</w:t>
        </w:r>
      </w:hyperlink>
    </w:p>
  </w:footnote>
  <w:footnote w:id="180">
    <w:p w14:paraId="6FEA9444" w14:textId="77777777" w:rsidR="009010D9" w:rsidRPr="00C92FA9" w:rsidRDefault="009010D9" w:rsidP="00FF38B3">
      <w:pPr>
        <w:pStyle w:val="FootnoteText"/>
        <w:spacing w:before="0" w:after="0"/>
        <w:ind w:left="357" w:hanging="357"/>
        <w:contextualSpacing/>
        <w:rPr>
          <w:rFonts w:cs="Times New Roman"/>
          <w:b/>
          <w:bCs/>
          <w:sz w:val="20"/>
          <w:szCs w:val="20"/>
        </w:rPr>
      </w:pPr>
      <w:r w:rsidRPr="00C92FA9">
        <w:rPr>
          <w:rStyle w:val="FootnoteReference"/>
          <w:rFonts w:cs="Times New Roman"/>
          <w:sz w:val="20"/>
          <w:szCs w:val="20"/>
        </w:rPr>
        <w:footnoteRef/>
      </w:r>
      <w:r w:rsidRPr="00C92FA9">
        <w:rPr>
          <w:rFonts w:cs="Times New Roman"/>
          <w:sz w:val="20"/>
          <w:szCs w:val="20"/>
        </w:rPr>
        <w:t xml:space="preserve"> Nova Institute, The fossil fuel trap: Why defossilising chemistry is essential – and feasible!, https://renewable-carbon.eu/news/the-fossil-fuel-trap-why-defossilising-chemistry-is-essential-and-feasible/</w:t>
      </w:r>
    </w:p>
    <w:p w14:paraId="1546DA3C" w14:textId="77777777" w:rsidR="009010D9" w:rsidRPr="00C92FA9" w:rsidRDefault="009010D9" w:rsidP="00FF38B3">
      <w:pPr>
        <w:pStyle w:val="FootnoteText"/>
        <w:spacing w:before="0" w:after="0"/>
        <w:ind w:left="357" w:hanging="357"/>
        <w:contextualSpacing/>
        <w:rPr>
          <w:rFonts w:cs="Times New Roman"/>
          <w:sz w:val="20"/>
          <w:szCs w:val="20"/>
        </w:rPr>
      </w:pPr>
    </w:p>
  </w:footnote>
  <w:footnote w:id="181">
    <w:p w14:paraId="5A2EE811" w14:textId="55503324" w:rsidR="009010D9" w:rsidRPr="00C92FA9" w:rsidRDefault="009010D9" w:rsidP="00FF38B3">
      <w:pPr>
        <w:pStyle w:val="FootnoteText"/>
        <w:spacing w:before="0" w:after="0"/>
        <w:ind w:left="357" w:hanging="357"/>
        <w:contextualSpacing/>
        <w:rPr>
          <w:rFonts w:cs="Times New Roman"/>
          <w:b/>
          <w:bCs/>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Pauline Ruiz, Pia Skoczinski, Achim Raschka, Nicolas Hark, Michael Carus, Carbon Dioxide (CO₂) as Feedstock for Chemicals, Advanced Fuels, Polymers, Proteins and Minerals</w:t>
      </w:r>
    </w:p>
  </w:footnote>
  <w:footnote w:id="182">
    <w:p w14:paraId="5489BDD3" w14:textId="5ADE6FA4"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Pr>
          <w:rFonts w:cs="Times New Roman"/>
          <w:sz w:val="20"/>
          <w:szCs w:val="20"/>
        </w:rPr>
        <w:t xml:space="preserve"> </w:t>
      </w:r>
      <w:r>
        <w:rPr>
          <w:rFonts w:cs="Times New Roman"/>
          <w:sz w:val="20"/>
          <w:szCs w:val="20"/>
        </w:rPr>
        <w:tab/>
      </w:r>
      <w:r w:rsidRPr="00C92FA9">
        <w:rPr>
          <w:rFonts w:cs="Times New Roman"/>
          <w:sz w:val="20"/>
          <w:szCs w:val="20"/>
        </w:rPr>
        <w:t>Harrandt, J., Carus, M., vom Berg, C., 2024: Evaluation of Recent Reports on the Future of a Net-Zero Chemical Industry in 2050</w:t>
      </w:r>
    </w:p>
  </w:footnote>
  <w:footnote w:id="183">
    <w:p w14:paraId="434425D6" w14:textId="135452C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Degradation Rates of Plastics in the Environment, Ali Chamas, Hyunjin Moon, Jiajia Zheng, Yang Qiu, Tarnuma Tabassum, Jun Hee Jang, Mahdi Abu-Omar, Susannah L. Scott, and Sangwon Suh, </w:t>
      </w:r>
      <w:r w:rsidRPr="00C92FA9">
        <w:rPr>
          <w:rFonts w:cs="Times New Roman"/>
          <w:i/>
          <w:iCs/>
          <w:sz w:val="20"/>
          <w:szCs w:val="20"/>
        </w:rPr>
        <w:t>ACS Sustainable Chemistry &amp; Engineering</w:t>
      </w:r>
      <w:r w:rsidRPr="00C92FA9">
        <w:rPr>
          <w:rFonts w:cs="Times New Roman"/>
          <w:sz w:val="20"/>
          <w:szCs w:val="20"/>
        </w:rPr>
        <w:t> </w:t>
      </w:r>
      <w:r w:rsidRPr="00C92FA9">
        <w:rPr>
          <w:rFonts w:cs="Times New Roman"/>
          <w:b/>
          <w:bCs/>
          <w:sz w:val="20"/>
          <w:szCs w:val="20"/>
        </w:rPr>
        <w:t>2020</w:t>
      </w:r>
      <w:r w:rsidRPr="00C92FA9">
        <w:rPr>
          <w:rFonts w:cs="Times New Roman"/>
          <w:sz w:val="20"/>
          <w:szCs w:val="20"/>
        </w:rPr>
        <w:t> </w:t>
      </w:r>
      <w:r w:rsidRPr="00C92FA9">
        <w:rPr>
          <w:rFonts w:cs="Times New Roman"/>
          <w:i/>
          <w:iCs/>
          <w:sz w:val="20"/>
          <w:szCs w:val="20"/>
        </w:rPr>
        <w:t>8</w:t>
      </w:r>
      <w:r w:rsidRPr="00C92FA9">
        <w:rPr>
          <w:rFonts w:cs="Times New Roman"/>
          <w:sz w:val="20"/>
          <w:szCs w:val="20"/>
        </w:rPr>
        <w:t> (9), 3494-3511, DOI: 10.1021/acssuschemeng.9b06635</w:t>
      </w:r>
    </w:p>
  </w:footnote>
  <w:footnote w:id="184">
    <w:p w14:paraId="286C68F2" w14:textId="24F91A14" w:rsidR="009010D9" w:rsidRPr="00C92FA9" w:rsidRDefault="009010D9" w:rsidP="00FF38B3">
      <w:pPr>
        <w:pStyle w:val="FootnoteText"/>
        <w:spacing w:before="0" w:after="0"/>
        <w:ind w:left="357" w:hanging="357"/>
        <w:contextualSpacing/>
        <w:rPr>
          <w:rFonts w:cs="Times New Roman"/>
          <w:sz w:val="20"/>
          <w:szCs w:val="20"/>
          <w:lang w:val="fr-BE"/>
        </w:rPr>
      </w:pPr>
      <w:r w:rsidRPr="00C92FA9">
        <w:rPr>
          <w:rStyle w:val="FootnoteReference"/>
          <w:rFonts w:cs="Times New Roman"/>
          <w:sz w:val="20"/>
          <w:szCs w:val="20"/>
        </w:rPr>
        <w:footnoteRef/>
      </w:r>
      <w:r w:rsidRPr="00C92FA9">
        <w:rPr>
          <w:rFonts w:cs="Times New Roman"/>
          <w:sz w:val="20"/>
          <w:szCs w:val="20"/>
          <w:lang w:val="fr-BE"/>
        </w:rPr>
        <w:t xml:space="preserve"> </w:t>
      </w:r>
      <w:r>
        <w:rPr>
          <w:rFonts w:cs="Times New Roman"/>
          <w:sz w:val="20"/>
          <w:szCs w:val="20"/>
          <w:lang w:val="fr-BE"/>
        </w:rPr>
        <w:tab/>
      </w:r>
      <w:r w:rsidRPr="00C92FA9">
        <w:rPr>
          <w:rFonts w:cs="Times New Roman"/>
          <w:sz w:val="20"/>
          <w:szCs w:val="20"/>
          <w:lang w:val="fr-BE"/>
        </w:rPr>
        <w:t xml:space="preserve">IPCC 2006 Guidance, Volume 4, Chapter 11, Section 11.4.1 </w:t>
      </w:r>
      <w:hyperlink r:id="rId14" w:history="1">
        <w:r w:rsidRPr="00C92FA9">
          <w:rPr>
            <w:rStyle w:val="Hyperlink"/>
            <w:rFonts w:cs="Times New Roman"/>
            <w:szCs w:val="20"/>
            <w:lang w:val="fr-BE"/>
          </w:rPr>
          <w:t>CHAPTER 11</w:t>
        </w:r>
      </w:hyperlink>
    </w:p>
  </w:footnote>
  <w:footnote w:id="185">
    <w:p w14:paraId="6202DC76" w14:textId="036A2D10" w:rsidR="009010D9" w:rsidRPr="00C92FA9" w:rsidRDefault="009010D9" w:rsidP="00FF38B3">
      <w:pPr>
        <w:pStyle w:val="RSK-F1"/>
        <w:spacing w:before="0" w:after="0"/>
        <w:ind w:left="357" w:hanging="357"/>
        <w:contextualSpacing/>
        <w:rPr>
          <w:rFonts w:ascii="Times New Roman" w:hAnsi="Times New Roman" w:cs="Times New Roman"/>
          <w:sz w:val="20"/>
          <w:szCs w:val="20"/>
        </w:rPr>
      </w:pPr>
      <w:r w:rsidRPr="00C92FA9">
        <w:rPr>
          <w:rStyle w:val="FootnoteReference"/>
          <w:rFonts w:ascii="Times New Roman" w:hAnsi="Times New Roman" w:cs="Times New Roman"/>
          <w:sz w:val="20"/>
          <w:szCs w:val="20"/>
        </w:rPr>
        <w:footnoteRef/>
      </w:r>
      <w:r w:rsidRPr="00C92FA9">
        <w:rPr>
          <w:rFonts w:ascii="Times New Roman" w:hAnsi="Times New Roman" w:cs="Times New Roman"/>
          <w:sz w:val="20"/>
          <w:szCs w:val="20"/>
        </w:rPr>
        <w:t xml:space="preserve"> </w:t>
      </w:r>
      <w:r>
        <w:rPr>
          <w:rFonts w:ascii="Times New Roman" w:hAnsi="Times New Roman" w:cs="Times New Roman"/>
          <w:sz w:val="20"/>
          <w:szCs w:val="20"/>
        </w:rPr>
        <w:tab/>
      </w:r>
      <w:r w:rsidRPr="00C92FA9">
        <w:rPr>
          <w:rFonts w:ascii="Times New Roman" w:hAnsi="Times New Roman" w:cs="Times New Roman"/>
          <w:sz w:val="20"/>
          <w:szCs w:val="20"/>
        </w:rPr>
        <w:t xml:space="preserve">Technopolis (2024, July). Issues and Options for EU Emissions Trading after 2030, Final Task 2 Report – Analysis of issues, policy topics and policy options for the 2030-2040 timeframe (Report No. CLIMA/2022/OP/0012). European Commission, Directorate-General for Climate Action. </w:t>
      </w:r>
      <w:hyperlink r:id="rId15" w:history="1">
        <w:r w:rsidRPr="00C92FA9">
          <w:rPr>
            <w:rStyle w:val="Hyperlink"/>
            <w:rFonts w:cs="Times New Roman"/>
            <w:szCs w:val="20"/>
          </w:rPr>
          <w:t>https://www.technopolis-group.com/report/issues-and-options-for-eu-emissions-trading-after-2030/</w:t>
        </w:r>
      </w:hyperlink>
      <w:r w:rsidRPr="00C92FA9">
        <w:rPr>
          <w:rFonts w:ascii="Times New Roman" w:hAnsi="Times New Roman" w:cs="Times New Roman"/>
          <w:sz w:val="20"/>
          <w:szCs w:val="20"/>
        </w:rPr>
        <w:t xml:space="preserve"> </w:t>
      </w:r>
    </w:p>
  </w:footnote>
  <w:footnote w:id="186">
    <w:p w14:paraId="22D07ED3" w14:textId="5D0EBFEB" w:rsidR="009010D9" w:rsidRPr="00C92FA9" w:rsidRDefault="009010D9" w:rsidP="00FF38B3">
      <w:pPr>
        <w:pStyle w:val="RSK-F1"/>
        <w:spacing w:before="0" w:after="0"/>
        <w:ind w:left="357" w:hanging="357"/>
        <w:contextualSpacing/>
        <w:rPr>
          <w:rFonts w:ascii="Times New Roman" w:hAnsi="Times New Roman" w:cs="Times New Roman"/>
          <w:sz w:val="20"/>
          <w:szCs w:val="20"/>
        </w:rPr>
      </w:pPr>
      <w:r w:rsidRPr="00C92FA9">
        <w:rPr>
          <w:rStyle w:val="FootnoteReference"/>
          <w:rFonts w:ascii="Times New Roman" w:hAnsi="Times New Roman" w:cs="Times New Roman"/>
          <w:sz w:val="20"/>
          <w:szCs w:val="20"/>
        </w:rPr>
        <w:footnoteRef/>
      </w:r>
      <w:r w:rsidRPr="00C92FA9">
        <w:rPr>
          <w:rFonts w:ascii="Times New Roman" w:hAnsi="Times New Roman" w:cs="Times New Roman"/>
          <w:sz w:val="20"/>
          <w:szCs w:val="20"/>
        </w:rPr>
        <w:t xml:space="preserve"> </w:t>
      </w:r>
      <w:r>
        <w:rPr>
          <w:rFonts w:ascii="Times New Roman" w:hAnsi="Times New Roman" w:cs="Times New Roman"/>
          <w:sz w:val="20"/>
          <w:szCs w:val="20"/>
        </w:rPr>
        <w:tab/>
      </w:r>
      <w:r w:rsidRPr="00C92FA9">
        <w:rPr>
          <w:rFonts w:ascii="Times New Roman" w:hAnsi="Times New Roman" w:cs="Times New Roman"/>
          <w:sz w:val="20"/>
          <w:szCs w:val="20"/>
        </w:rPr>
        <w:t xml:space="preserve">Technopolis (2024, July). Issues and Options for EU Emissions Trading after 2030, Final Task 2 Report – Analysis of issues, policy topics and policy options for the 2030-2040 timeframe (Report No. CLIMA/2022/OP/0012). European Commission, Directorate-General for Climate Action. </w:t>
      </w:r>
      <w:hyperlink r:id="rId16" w:history="1">
        <w:r w:rsidRPr="00C92FA9">
          <w:rPr>
            <w:rStyle w:val="Hyperlink"/>
            <w:rFonts w:cs="Times New Roman"/>
            <w:szCs w:val="20"/>
          </w:rPr>
          <w:t>https://www.technopolis-group.com/report/issues-and-options-for-eu-emissions-trading-after-2030/</w:t>
        </w:r>
      </w:hyperlink>
    </w:p>
  </w:footnote>
  <w:footnote w:id="187">
    <w:p w14:paraId="339E23F8" w14:textId="19E57723" w:rsidR="009010D9" w:rsidRPr="00C92FA9" w:rsidRDefault="009010D9" w:rsidP="00FF38B3">
      <w:pPr>
        <w:pStyle w:val="RSK-F1"/>
        <w:spacing w:before="0" w:after="0"/>
        <w:ind w:left="357" w:hanging="357"/>
        <w:contextualSpacing/>
        <w:rPr>
          <w:rFonts w:ascii="Times New Roman" w:hAnsi="Times New Roman" w:cs="Times New Roman"/>
          <w:sz w:val="20"/>
          <w:szCs w:val="20"/>
        </w:rPr>
      </w:pPr>
      <w:r w:rsidRPr="00C92FA9">
        <w:rPr>
          <w:rStyle w:val="FootnoteReference"/>
          <w:rFonts w:ascii="Times New Roman" w:hAnsi="Times New Roman" w:cs="Times New Roman"/>
          <w:sz w:val="20"/>
          <w:szCs w:val="20"/>
        </w:rPr>
        <w:footnoteRef/>
      </w:r>
      <w:r w:rsidRPr="00C92FA9">
        <w:rPr>
          <w:rFonts w:ascii="Times New Roman" w:hAnsi="Times New Roman" w:cs="Times New Roman"/>
          <w:sz w:val="20"/>
          <w:szCs w:val="20"/>
          <w:lang w:val="en-IE"/>
        </w:rPr>
        <w:t xml:space="preserve"> </w:t>
      </w:r>
      <w:r>
        <w:rPr>
          <w:rFonts w:ascii="Times New Roman" w:hAnsi="Times New Roman" w:cs="Times New Roman"/>
          <w:sz w:val="20"/>
          <w:szCs w:val="20"/>
          <w:lang w:val="en-IE"/>
        </w:rPr>
        <w:tab/>
      </w:r>
      <w:r w:rsidRPr="00C92FA9">
        <w:rPr>
          <w:rFonts w:ascii="Times New Roman" w:hAnsi="Times New Roman" w:cs="Times New Roman"/>
          <w:sz w:val="20"/>
          <w:szCs w:val="20"/>
          <w:lang w:val="en-IE"/>
        </w:rPr>
        <w:t xml:space="preserve">Vermeulen, H., Lockwood, T., &amp; Lawaetz, R. (2025, June). </w:t>
      </w:r>
      <w:r w:rsidRPr="00C92FA9">
        <w:rPr>
          <w:rFonts w:ascii="Times New Roman" w:hAnsi="Times New Roman" w:cs="Times New Roman"/>
          <w:i/>
          <w:sz w:val="20"/>
          <w:szCs w:val="20"/>
        </w:rPr>
        <w:t>Pricing it right: Accounting for non-permanent CCU while safeguarding the EU ETS</w:t>
      </w:r>
      <w:r w:rsidRPr="00C92FA9">
        <w:rPr>
          <w:rFonts w:ascii="Times New Roman" w:hAnsi="Times New Roman" w:cs="Times New Roman"/>
          <w:sz w:val="20"/>
          <w:szCs w:val="20"/>
        </w:rPr>
        <w:t xml:space="preserve">. CONCITO &amp; Clean Air Task Force. </w:t>
      </w:r>
      <w:hyperlink r:id="rId17" w:history="1">
        <w:r w:rsidRPr="00C92FA9">
          <w:rPr>
            <w:rStyle w:val="Hyperlink"/>
            <w:rFonts w:cs="Times New Roman"/>
            <w:szCs w:val="20"/>
          </w:rPr>
          <w:t>https://concito.dk/files/media/document/Pricing%20it%20right.pdf</w:t>
        </w:r>
      </w:hyperlink>
      <w:r w:rsidRPr="00C92FA9">
        <w:rPr>
          <w:rFonts w:ascii="Times New Roman" w:hAnsi="Times New Roman" w:cs="Times New Roman"/>
          <w:sz w:val="20"/>
          <w:szCs w:val="20"/>
        </w:rPr>
        <w:t xml:space="preserve"> </w:t>
      </w:r>
    </w:p>
  </w:footnote>
  <w:footnote w:id="188">
    <w:p w14:paraId="54D6A73A" w14:textId="13182840" w:rsidR="009010D9" w:rsidRPr="00C92FA9" w:rsidRDefault="009010D9" w:rsidP="00FF38B3">
      <w:pPr>
        <w:pStyle w:val="RSK-F1"/>
        <w:spacing w:before="0" w:after="0"/>
        <w:ind w:left="357" w:hanging="357"/>
        <w:contextualSpacing/>
        <w:rPr>
          <w:rFonts w:ascii="Times New Roman" w:hAnsi="Times New Roman" w:cs="Times New Roman"/>
          <w:sz w:val="20"/>
          <w:szCs w:val="20"/>
        </w:rPr>
      </w:pPr>
      <w:r w:rsidRPr="00C92FA9">
        <w:rPr>
          <w:rStyle w:val="FootnoteReference"/>
          <w:rFonts w:ascii="Times New Roman" w:hAnsi="Times New Roman" w:cs="Times New Roman"/>
          <w:sz w:val="20"/>
          <w:szCs w:val="20"/>
        </w:rPr>
        <w:footnoteRef/>
      </w:r>
      <w:r w:rsidRPr="00C92FA9">
        <w:rPr>
          <w:rFonts w:ascii="Times New Roman" w:hAnsi="Times New Roman" w:cs="Times New Roman"/>
          <w:sz w:val="20"/>
          <w:szCs w:val="20"/>
          <w:lang w:val="de-DE"/>
        </w:rPr>
        <w:t xml:space="preserve"> </w:t>
      </w:r>
      <w:r>
        <w:rPr>
          <w:rFonts w:ascii="Times New Roman" w:hAnsi="Times New Roman" w:cs="Times New Roman"/>
          <w:sz w:val="20"/>
          <w:szCs w:val="20"/>
          <w:lang w:val="de-DE"/>
        </w:rPr>
        <w:tab/>
      </w:r>
      <w:r w:rsidRPr="00C92FA9">
        <w:rPr>
          <w:rFonts w:ascii="Times New Roman" w:hAnsi="Times New Roman" w:cs="Times New Roman"/>
          <w:sz w:val="20"/>
          <w:szCs w:val="20"/>
          <w:lang w:val="de-DE"/>
        </w:rPr>
        <w:t xml:space="preserve">Müller, L. J., Kätelhön, A., Bachmann, M., Zimmermann, A., Sternberg, A., &amp; Bardow, A. (2020). </w:t>
      </w:r>
      <w:r w:rsidRPr="00C92FA9">
        <w:rPr>
          <w:rFonts w:ascii="Times New Roman" w:hAnsi="Times New Roman" w:cs="Times New Roman"/>
          <w:sz w:val="20"/>
          <w:szCs w:val="20"/>
        </w:rPr>
        <w:t xml:space="preserve">A guideline for life cycle assessment of carbon capture and utilization. </w:t>
      </w:r>
      <w:r w:rsidRPr="00C92FA9">
        <w:rPr>
          <w:rFonts w:ascii="Times New Roman" w:hAnsi="Times New Roman" w:cs="Times New Roman"/>
          <w:i/>
          <w:sz w:val="20"/>
          <w:szCs w:val="20"/>
        </w:rPr>
        <w:t>Frontiers in Energy Research</w:t>
      </w:r>
      <w:r w:rsidRPr="00C92FA9">
        <w:rPr>
          <w:rFonts w:ascii="Times New Roman" w:hAnsi="Times New Roman" w:cs="Times New Roman"/>
          <w:sz w:val="20"/>
          <w:szCs w:val="20"/>
        </w:rPr>
        <w:t xml:space="preserve">, 8, 15. </w:t>
      </w:r>
      <w:hyperlink r:id="rId18" w:history="1">
        <w:r w:rsidRPr="00C92FA9">
          <w:rPr>
            <w:rStyle w:val="Hyperlink"/>
            <w:rFonts w:cs="Times New Roman"/>
            <w:szCs w:val="20"/>
          </w:rPr>
          <w:t>http</w:t>
        </w:r>
        <w:bookmarkStart w:id="870" w:name="_Hlt211354583"/>
        <w:bookmarkStart w:id="871" w:name="_Hlt211354584"/>
        <w:r w:rsidRPr="00C92FA9">
          <w:rPr>
            <w:rStyle w:val="Hyperlink"/>
            <w:rFonts w:cs="Times New Roman"/>
            <w:szCs w:val="20"/>
          </w:rPr>
          <w:t>s</w:t>
        </w:r>
        <w:bookmarkEnd w:id="870"/>
        <w:bookmarkEnd w:id="871"/>
        <w:r w:rsidRPr="00C92FA9">
          <w:rPr>
            <w:rStyle w:val="Hyperlink"/>
            <w:rFonts w:cs="Times New Roman"/>
            <w:szCs w:val="20"/>
          </w:rPr>
          <w:t>://doi.org/10.3389/fenrg.2020.00015</w:t>
        </w:r>
      </w:hyperlink>
      <w:r w:rsidRPr="00C92FA9">
        <w:rPr>
          <w:rFonts w:ascii="Times New Roman" w:hAnsi="Times New Roman" w:cs="Times New Roman"/>
          <w:sz w:val="20"/>
          <w:szCs w:val="20"/>
        </w:rPr>
        <w:t xml:space="preserve"> </w:t>
      </w:r>
    </w:p>
  </w:footnote>
  <w:footnote w:id="189">
    <w:p w14:paraId="49DA3682" w14:textId="20CCCB03" w:rsidR="009010D9" w:rsidRPr="00C92FA9" w:rsidRDefault="009010D9" w:rsidP="00FF38B3">
      <w:pPr>
        <w:pStyle w:val="RSK-F1"/>
        <w:spacing w:before="0" w:after="0"/>
        <w:ind w:left="357" w:hanging="357"/>
        <w:contextualSpacing/>
        <w:rPr>
          <w:rFonts w:ascii="Times New Roman" w:hAnsi="Times New Roman" w:cs="Times New Roman"/>
          <w:sz w:val="20"/>
          <w:szCs w:val="20"/>
        </w:rPr>
      </w:pPr>
      <w:r w:rsidRPr="00C92FA9">
        <w:rPr>
          <w:rStyle w:val="FootnoteReference"/>
          <w:rFonts w:ascii="Times New Roman" w:hAnsi="Times New Roman" w:cs="Times New Roman"/>
          <w:sz w:val="20"/>
          <w:szCs w:val="20"/>
        </w:rPr>
        <w:footnoteRef/>
      </w:r>
      <w:r w:rsidRPr="00C92FA9">
        <w:rPr>
          <w:rFonts w:ascii="Times New Roman" w:hAnsi="Times New Roman" w:cs="Times New Roman"/>
          <w:sz w:val="20"/>
          <w:szCs w:val="20"/>
          <w:lang w:val="en-IE"/>
        </w:rPr>
        <w:t xml:space="preserve"> </w:t>
      </w:r>
      <w:r>
        <w:rPr>
          <w:rFonts w:ascii="Times New Roman" w:hAnsi="Times New Roman" w:cs="Times New Roman"/>
          <w:sz w:val="20"/>
          <w:szCs w:val="20"/>
          <w:lang w:val="en-IE"/>
        </w:rPr>
        <w:tab/>
      </w:r>
      <w:r w:rsidRPr="00C92FA9">
        <w:rPr>
          <w:rFonts w:ascii="Times New Roman" w:hAnsi="Times New Roman" w:cs="Times New Roman"/>
          <w:sz w:val="20"/>
          <w:szCs w:val="20"/>
          <w:lang w:val="en-IE"/>
        </w:rPr>
        <w:t xml:space="preserve">Cabrera, G., Dickson, A., Nimubona, A.-D., &amp; Quigley, J. (2022). </w:t>
      </w:r>
      <w:r w:rsidRPr="00C92FA9">
        <w:rPr>
          <w:rFonts w:ascii="Times New Roman" w:hAnsi="Times New Roman" w:cs="Times New Roman"/>
          <w:sz w:val="20"/>
          <w:szCs w:val="20"/>
        </w:rPr>
        <w:t xml:space="preserve">Carbon capture, utilisation and storage: Incentives, effects and policy. </w:t>
      </w:r>
      <w:r w:rsidRPr="00C92FA9">
        <w:rPr>
          <w:rFonts w:ascii="Times New Roman" w:hAnsi="Times New Roman" w:cs="Times New Roman"/>
          <w:i/>
          <w:sz w:val="20"/>
          <w:szCs w:val="20"/>
        </w:rPr>
        <w:t>International Journal of Greenhouse Gas Control</w:t>
      </w:r>
      <w:r w:rsidRPr="00C92FA9">
        <w:rPr>
          <w:rFonts w:ascii="Times New Roman" w:hAnsi="Times New Roman" w:cs="Times New Roman"/>
          <w:sz w:val="20"/>
          <w:szCs w:val="20"/>
        </w:rPr>
        <w:t xml:space="preserve">, 117, 103756. </w:t>
      </w:r>
      <w:hyperlink r:id="rId19" w:history="1">
        <w:r w:rsidRPr="00C92FA9">
          <w:rPr>
            <w:rStyle w:val="Hyperlink"/>
            <w:rFonts w:cs="Times New Roman"/>
            <w:szCs w:val="20"/>
          </w:rPr>
          <w:t>https://doi.o</w:t>
        </w:r>
        <w:bookmarkStart w:id="872" w:name="_Hlt211354594"/>
        <w:bookmarkStart w:id="873" w:name="_Hlt211354595"/>
        <w:r w:rsidRPr="00C92FA9">
          <w:rPr>
            <w:rStyle w:val="Hyperlink"/>
            <w:rFonts w:cs="Times New Roman"/>
            <w:szCs w:val="20"/>
          </w:rPr>
          <w:t>r</w:t>
        </w:r>
        <w:bookmarkEnd w:id="872"/>
        <w:bookmarkEnd w:id="873"/>
        <w:r w:rsidRPr="00C92FA9">
          <w:rPr>
            <w:rStyle w:val="Hyperlink"/>
            <w:rFonts w:cs="Times New Roman"/>
            <w:szCs w:val="20"/>
          </w:rPr>
          <w:t>g/10.1016/j.ijggc.2022.103756</w:t>
        </w:r>
      </w:hyperlink>
      <w:r w:rsidRPr="00C92FA9">
        <w:rPr>
          <w:rFonts w:ascii="Times New Roman" w:hAnsi="Times New Roman" w:cs="Times New Roman"/>
          <w:sz w:val="20"/>
          <w:szCs w:val="20"/>
        </w:rPr>
        <w:t xml:space="preserve"> </w:t>
      </w:r>
    </w:p>
  </w:footnote>
  <w:footnote w:id="190">
    <w:p w14:paraId="5369FC48" w14:textId="20F58096" w:rsidR="009010D9" w:rsidRPr="00C92FA9" w:rsidRDefault="009010D9" w:rsidP="00FF38B3">
      <w:pPr>
        <w:pStyle w:val="FootnoteText"/>
        <w:spacing w:before="0" w:after="0"/>
        <w:ind w:left="357" w:hanging="357"/>
        <w:contextualSpacing/>
        <w:rPr>
          <w:rFonts w:cs="Times New Roman"/>
          <w:sz w:val="20"/>
          <w:szCs w:val="20"/>
          <w:lang w:val="en-US"/>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lang w:val="en-US"/>
        </w:rPr>
        <w:t>The term is used in the Commission Delegated Regulation (EU) 2023/1185 to describe synthetic fuels produced with the fossil captured carbon feedstock.</w:t>
      </w:r>
    </w:p>
  </w:footnote>
  <w:footnote w:id="191">
    <w:p w14:paraId="240034F1" w14:textId="50E2E98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Pr>
          <w:rFonts w:cs="Times New Roman"/>
          <w:sz w:val="20"/>
          <w:szCs w:val="20"/>
          <w:lang w:val="en-US"/>
        </w:rPr>
        <w:t xml:space="preserve"> </w:t>
      </w:r>
      <w:r>
        <w:rPr>
          <w:rFonts w:cs="Times New Roman"/>
          <w:sz w:val="20"/>
          <w:szCs w:val="20"/>
          <w:lang w:val="en-US"/>
        </w:rPr>
        <w:tab/>
      </w:r>
      <w:r w:rsidRPr="00C92FA9">
        <w:rPr>
          <w:rFonts w:cs="Times New Roman"/>
          <w:sz w:val="20"/>
          <w:szCs w:val="20"/>
          <w:lang w:val="en-US"/>
        </w:rPr>
        <w:t>Commission Delegated Regulation (EU) 2023/1185</w:t>
      </w:r>
    </w:p>
  </w:footnote>
  <w:footnote w:id="192">
    <w:p w14:paraId="36FBD2C6" w14:textId="2C253915" w:rsidR="009010D9" w:rsidRPr="00C92FA9" w:rsidRDefault="009010D9" w:rsidP="00FF38B3">
      <w:pPr>
        <w:pStyle w:val="FootnoteText"/>
        <w:spacing w:before="0" w:after="0"/>
        <w:ind w:left="357" w:hanging="357"/>
        <w:contextualSpacing/>
        <w:rPr>
          <w:rFonts w:cs="Times New Roman"/>
          <w:sz w:val="20"/>
          <w:szCs w:val="20"/>
          <w:lang w:val="en-US"/>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lang w:val="en-US"/>
        </w:rPr>
        <w:t>In RED III Directive (EU) 2023/2413, the Article 27 is revised and requirement to the electricity used production of renewable fuels of non-biological origin are provided in the paragraph 6.</w:t>
      </w:r>
    </w:p>
  </w:footnote>
  <w:footnote w:id="193">
    <w:p w14:paraId="75D1CBDF" w14:textId="558F8B9E"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Bottom-up modelling of CO2 availability and capture feasibility in EU industrial facilities – JRC145042</w:t>
      </w:r>
    </w:p>
  </w:footnote>
  <w:footnote w:id="194">
    <w:p w14:paraId="0C8710F7" w14:textId="7EEC0CE7"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Vermeulen, H., Lockwood, T., &amp; Lawaetz, R. (2025, June). </w:t>
      </w:r>
      <w:r w:rsidRPr="00C92FA9">
        <w:rPr>
          <w:rFonts w:cs="Times New Roman"/>
          <w:i/>
          <w:sz w:val="20"/>
          <w:szCs w:val="20"/>
        </w:rPr>
        <w:t>Pricing it right: Accounting for non-permanent CCU while safeguarding the EU ETS</w:t>
      </w:r>
      <w:r w:rsidRPr="00C92FA9">
        <w:rPr>
          <w:rFonts w:cs="Times New Roman"/>
          <w:sz w:val="20"/>
          <w:szCs w:val="20"/>
        </w:rPr>
        <w:t xml:space="preserve">. CONCITO &amp; Clean Air Task Force. </w:t>
      </w:r>
      <w:hyperlink r:id="rId20" w:history="1">
        <w:r w:rsidRPr="00C92FA9">
          <w:rPr>
            <w:rStyle w:val="Hyperlink"/>
            <w:rFonts w:cs="Times New Roman"/>
            <w:szCs w:val="20"/>
          </w:rPr>
          <w:t>https://concito.dk/files/media/document/Pricing%20it%20right.pdf</w:t>
        </w:r>
      </w:hyperlink>
      <w:r w:rsidRPr="00C92FA9">
        <w:rPr>
          <w:rFonts w:cs="Times New Roman"/>
          <w:sz w:val="20"/>
          <w:szCs w:val="20"/>
        </w:rPr>
        <w:t xml:space="preserve"> </w:t>
      </w:r>
    </w:p>
  </w:footnote>
  <w:footnote w:id="195">
    <w:p w14:paraId="34A29D63" w14:textId="40B7F853"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i/>
          <w:iCs/>
          <w:sz w:val="20"/>
          <w:szCs w:val="20"/>
        </w:rPr>
        <w:t>Clean Energy Technology Observatory, Carbon capture utilisation and storage in the European Union – Status report on technology development, trends, value chains and markets – 2023</w:t>
      </w:r>
      <w:r w:rsidRPr="00C92FA9">
        <w:rPr>
          <w:rFonts w:cs="Times New Roman"/>
          <w:sz w:val="20"/>
          <w:szCs w:val="20"/>
        </w:rPr>
        <w:t>, Publications Office of the European Union, 2023, </w:t>
      </w:r>
      <w:hyperlink r:id="rId21" w:tgtFrame="_blank" w:history="1">
        <w:r w:rsidRPr="00C92FA9">
          <w:rPr>
            <w:rStyle w:val="Hyperlink"/>
            <w:rFonts w:cs="Times New Roman"/>
            <w:szCs w:val="20"/>
          </w:rPr>
          <w:t>https://data.europa.eu/doi/10.2760/882666</w:t>
        </w:r>
      </w:hyperlink>
    </w:p>
  </w:footnote>
  <w:footnote w:id="196">
    <w:p w14:paraId="5D7CA7A5" w14:textId="6CBE4C1C"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Verbist, F., Meus, J., Moncada, J. A., Valkering, P., Delarue, E., &amp; others. (2024). Implications of the</w:t>
      </w:r>
      <w:r w:rsidRPr="00C92FA9" w:rsidDel="00BB2732">
        <w:rPr>
          <w:rFonts w:cs="Times New Roman"/>
          <w:sz w:val="20"/>
          <w:szCs w:val="20"/>
        </w:rPr>
        <w:t xml:space="preserve"> </w:t>
      </w:r>
      <w:r w:rsidRPr="00C92FA9">
        <w:rPr>
          <w:rFonts w:cs="Times New Roman"/>
          <w:sz w:val="20"/>
          <w:szCs w:val="20"/>
        </w:rPr>
        <w:t>EU ETS on the level-playing field between carbon capture storage &amp; utilisation</w:t>
      </w:r>
      <w:r w:rsidRPr="00C92FA9">
        <w:rPr>
          <w:rFonts w:cs="Times New Roman"/>
          <w:i/>
          <w:sz w:val="20"/>
          <w:szCs w:val="20"/>
        </w:rPr>
        <w:t>. International Journal of Greenhouse Gas Control</w:t>
      </w:r>
      <w:r w:rsidRPr="00C92FA9">
        <w:rPr>
          <w:rFonts w:cs="Times New Roman"/>
          <w:sz w:val="20"/>
          <w:szCs w:val="20"/>
        </w:rPr>
        <w:t xml:space="preserve">, 136, Article 104165. </w:t>
      </w:r>
      <w:hyperlink r:id="rId22" w:history="1">
        <w:r w:rsidRPr="00C92FA9">
          <w:rPr>
            <w:rStyle w:val="Hyperlink"/>
            <w:rFonts w:cs="Times New Roman"/>
            <w:szCs w:val="20"/>
          </w:rPr>
          <w:t>https://doi.org/10.1016/j.ijggc.2024.104165</w:t>
        </w:r>
      </w:hyperlink>
      <w:r w:rsidRPr="00C92FA9">
        <w:rPr>
          <w:rFonts w:cs="Times New Roman"/>
          <w:sz w:val="20"/>
          <w:szCs w:val="20"/>
        </w:rPr>
        <w:t xml:space="preserve"> </w:t>
      </w:r>
    </w:p>
  </w:footnote>
  <w:footnote w:id="197">
    <w:p w14:paraId="12384620" w14:textId="5B7AC4B5"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Clean Energy Technology Observatory, Carbon capture utilisation and storage in the European Union – Status report on technology development, trends, value chains and markets – 2024, Publications Office of the European Union, 2024, https://data.europa.eu/doi/10.2760/0287566</w:t>
      </w:r>
    </w:p>
  </w:footnote>
  <w:footnote w:id="198">
    <w:p w14:paraId="13E703A8" w14:textId="0FD93B62"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Bottom-up modelling of CO2 availability and capture feasibility in EU industrial facilities – JRC145042</w:t>
      </w:r>
    </w:p>
  </w:footnote>
  <w:footnote w:id="199">
    <w:p w14:paraId="20840931" w14:textId="1BC7DA19"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Bottom-up modelling of CO2 availability and capture feasibility in EU industrial facilities – JRC145042</w:t>
      </w:r>
    </w:p>
  </w:footnote>
  <w:footnote w:id="200">
    <w:p w14:paraId="04616962" w14:textId="5D06AD19"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JRC, Shaping the future CO2 transport network for Europe, </w:t>
      </w:r>
      <w:hyperlink r:id="rId23" w:history="1">
        <w:r w:rsidRPr="00C92FA9">
          <w:rPr>
            <w:rFonts w:cs="Times New Roman"/>
            <w:sz w:val="20"/>
            <w:szCs w:val="20"/>
          </w:rPr>
          <w:t>Shaping the future CO2 transport network for Europe</w:t>
        </w:r>
      </w:hyperlink>
    </w:p>
  </w:footnote>
  <w:footnote w:id="201">
    <w:p w14:paraId="28147A24" w14:textId="6FBCCAEA" w:rsidR="009010D9" w:rsidRPr="00C92FA9" w:rsidRDefault="009010D9" w:rsidP="00FF38B3">
      <w:pPr>
        <w:pStyle w:val="RSK-F1"/>
        <w:spacing w:before="0" w:after="0"/>
        <w:ind w:left="357" w:hanging="357"/>
        <w:contextualSpacing/>
        <w:rPr>
          <w:rFonts w:ascii="Times New Roman" w:hAnsi="Times New Roman" w:cs="Times New Roman"/>
          <w:sz w:val="20"/>
          <w:szCs w:val="20"/>
        </w:rPr>
      </w:pPr>
      <w:r w:rsidRPr="00C92FA9">
        <w:rPr>
          <w:rStyle w:val="FootnoteReference"/>
          <w:rFonts w:ascii="Times New Roman" w:hAnsi="Times New Roman" w:cs="Times New Roman"/>
          <w:sz w:val="20"/>
          <w:szCs w:val="20"/>
        </w:rPr>
        <w:footnoteRef/>
      </w:r>
      <w:r w:rsidRPr="00C92FA9">
        <w:rPr>
          <w:rFonts w:ascii="Times New Roman" w:hAnsi="Times New Roman" w:cs="Times New Roman"/>
          <w:sz w:val="20"/>
          <w:szCs w:val="20"/>
        </w:rPr>
        <w:t xml:space="preserve"> </w:t>
      </w:r>
      <w:r>
        <w:rPr>
          <w:rFonts w:ascii="Times New Roman" w:hAnsi="Times New Roman" w:cs="Times New Roman"/>
          <w:sz w:val="20"/>
          <w:szCs w:val="20"/>
        </w:rPr>
        <w:tab/>
      </w:r>
      <w:r w:rsidRPr="00C92FA9">
        <w:rPr>
          <w:rFonts w:ascii="Times New Roman" w:hAnsi="Times New Roman" w:cs="Times New Roman"/>
          <w:sz w:val="20"/>
          <w:szCs w:val="20"/>
        </w:rPr>
        <w:t xml:space="preserve">CO₂ Value Europe. (2025, June). </w:t>
      </w:r>
      <w:r w:rsidRPr="00C92FA9">
        <w:rPr>
          <w:rFonts w:ascii="Times New Roman" w:hAnsi="Times New Roman" w:cs="Times New Roman"/>
          <w:i/>
          <w:sz w:val="20"/>
          <w:szCs w:val="20"/>
        </w:rPr>
        <w:t>CO₂ Value Europe position: The 2026 ETS revision must advantage CCU over fossil feedstocks</w:t>
      </w:r>
      <w:r w:rsidRPr="00C92FA9">
        <w:rPr>
          <w:rFonts w:ascii="Times New Roman" w:hAnsi="Times New Roman" w:cs="Times New Roman"/>
          <w:sz w:val="20"/>
          <w:szCs w:val="20"/>
        </w:rPr>
        <w:t xml:space="preserve">. </w:t>
      </w:r>
      <w:hyperlink r:id="rId24" w:history="1">
        <w:r w:rsidRPr="00C92FA9">
          <w:rPr>
            <w:rStyle w:val="Hyperlink"/>
            <w:rFonts w:cs="Times New Roman"/>
            <w:szCs w:val="20"/>
          </w:rPr>
          <w:t>https://co2value.eu/wp-content/uploads/2025/06/CO2-Value-Europe-position-on-EU-2026-ETS-revision_June-2025.pdf</w:t>
        </w:r>
      </w:hyperlink>
      <w:r w:rsidRPr="00C92FA9">
        <w:rPr>
          <w:rFonts w:ascii="Times New Roman" w:hAnsi="Times New Roman" w:cs="Times New Roman"/>
          <w:sz w:val="20"/>
          <w:szCs w:val="20"/>
        </w:rPr>
        <w:t xml:space="preserve"> </w:t>
      </w:r>
    </w:p>
  </w:footnote>
  <w:footnote w:id="202">
    <w:p w14:paraId="349E90FE" w14:textId="38C1583D"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Vermeulen, H., Lockwood, T., &amp; Lawaetz, R. (2025, June). </w:t>
      </w:r>
      <w:r w:rsidRPr="00C92FA9">
        <w:rPr>
          <w:rFonts w:cs="Times New Roman"/>
          <w:i/>
          <w:sz w:val="20"/>
          <w:szCs w:val="20"/>
        </w:rPr>
        <w:t>Pricing it right: Accounting for non-permanent CCU while safeguarding the EU ETS</w:t>
      </w:r>
      <w:r w:rsidRPr="00C92FA9">
        <w:rPr>
          <w:rFonts w:cs="Times New Roman"/>
          <w:sz w:val="20"/>
          <w:szCs w:val="20"/>
        </w:rPr>
        <w:t xml:space="preserve">. CONCITO &amp; Clean Air Task Force. </w:t>
      </w:r>
      <w:hyperlink r:id="rId25" w:history="1">
        <w:r w:rsidRPr="00C92FA9">
          <w:rPr>
            <w:rStyle w:val="Hyperlink"/>
            <w:rFonts w:cs="Times New Roman"/>
            <w:szCs w:val="20"/>
          </w:rPr>
          <w:t>https://concito.dk/files/media/document/Pricing%20it%20right.pdf</w:t>
        </w:r>
      </w:hyperlink>
      <w:r w:rsidRPr="00C92FA9">
        <w:rPr>
          <w:rFonts w:cs="Times New Roman"/>
          <w:sz w:val="20"/>
          <w:szCs w:val="20"/>
        </w:rPr>
        <w:t xml:space="preserve"> </w:t>
      </w:r>
    </w:p>
  </w:footnote>
  <w:footnote w:id="203">
    <w:p w14:paraId="422D38EA" w14:textId="6C62DEEB"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lang w:val="da-DK"/>
        </w:rPr>
        <w:t xml:space="preserve"> </w:t>
      </w:r>
      <w:r>
        <w:rPr>
          <w:rFonts w:cs="Times New Roman"/>
          <w:sz w:val="20"/>
          <w:szCs w:val="20"/>
          <w:lang w:val="da-DK"/>
        </w:rPr>
        <w:tab/>
      </w:r>
      <w:r w:rsidRPr="00C92FA9">
        <w:rPr>
          <w:rFonts w:cs="Times New Roman"/>
          <w:sz w:val="20"/>
          <w:szCs w:val="20"/>
          <w:lang w:val="da-DK"/>
        </w:rPr>
        <w:t xml:space="preserve">Verbist, F., Meus, J., Moncada, J. A., Valkerig, P., &amp; Delarue, E. (2024). </w:t>
      </w:r>
      <w:r w:rsidRPr="00C92FA9">
        <w:rPr>
          <w:rFonts w:cs="Times New Roman"/>
          <w:sz w:val="20"/>
          <w:szCs w:val="20"/>
        </w:rPr>
        <w:t>Implications of the</w:t>
      </w:r>
      <w:r w:rsidRPr="00C92FA9" w:rsidDel="00BB2732">
        <w:rPr>
          <w:rFonts w:cs="Times New Roman"/>
          <w:sz w:val="20"/>
          <w:szCs w:val="20"/>
        </w:rPr>
        <w:t xml:space="preserve"> </w:t>
      </w:r>
      <w:r w:rsidRPr="00C92FA9">
        <w:rPr>
          <w:rFonts w:cs="Times New Roman"/>
          <w:sz w:val="20"/>
          <w:szCs w:val="20"/>
        </w:rPr>
        <w:t xml:space="preserve">EU ETS1 on the level-playing field between carbon capture storage &amp; utilisation. </w:t>
      </w:r>
      <w:r w:rsidRPr="00C92FA9">
        <w:rPr>
          <w:rFonts w:cs="Times New Roman"/>
          <w:i/>
          <w:sz w:val="20"/>
          <w:szCs w:val="20"/>
        </w:rPr>
        <w:t>International Journal of Greenhouse Gas Control</w:t>
      </w:r>
      <w:r w:rsidRPr="00C92FA9">
        <w:rPr>
          <w:rFonts w:cs="Times New Roman"/>
          <w:sz w:val="20"/>
          <w:szCs w:val="20"/>
        </w:rPr>
        <w:t xml:space="preserve">, 136, Article 104165. </w:t>
      </w:r>
      <w:hyperlink r:id="rId26" w:history="1">
        <w:r w:rsidRPr="00C92FA9">
          <w:rPr>
            <w:rStyle w:val="Hyperlink"/>
            <w:rFonts w:cs="Times New Roman"/>
            <w:szCs w:val="20"/>
          </w:rPr>
          <w:t>https://doi.org/10.1016/j.ijggc.2024.104165</w:t>
        </w:r>
      </w:hyperlink>
      <w:r w:rsidRPr="00C92FA9">
        <w:rPr>
          <w:rFonts w:cs="Times New Roman"/>
          <w:sz w:val="20"/>
          <w:szCs w:val="20"/>
        </w:rPr>
        <w:t xml:space="preserve"> </w:t>
      </w:r>
    </w:p>
  </w:footnote>
  <w:footnote w:id="204">
    <w:p w14:paraId="5BED3E46" w14:textId="686D6EC5"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Christopher vom Berg, Michael Carus, Making a case for Carbon Capture and Utilisation (CCU),</w:t>
      </w:r>
      <w:r w:rsidRPr="00C92FA9">
        <w:rPr>
          <w:rFonts w:cs="Times New Roman"/>
          <w:b/>
          <w:bCs/>
          <w:sz w:val="20"/>
          <w:szCs w:val="20"/>
        </w:rPr>
        <w:t xml:space="preserve"> </w:t>
      </w:r>
      <w:hyperlink r:id="rId27" w:history="1">
        <w:r w:rsidRPr="00C92FA9">
          <w:rPr>
            <w:rStyle w:val="Hyperlink"/>
            <w:rFonts w:cs="Times New Roman"/>
            <w:szCs w:val="20"/>
          </w:rPr>
          <w:t>https://doi.org/10.52548/VYKR3129</w:t>
        </w:r>
      </w:hyperlink>
    </w:p>
  </w:footnote>
  <w:footnote w:id="205">
    <w:p w14:paraId="377AF865" w14:textId="493F5FBF" w:rsidR="009010D9" w:rsidRPr="00C92FA9" w:rsidRDefault="009010D9"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Ritchie, H. (2018, September). </w:t>
      </w:r>
      <w:r w:rsidRPr="00C92FA9">
        <w:rPr>
          <w:rFonts w:cs="Times New Roman"/>
          <w:i/>
          <w:sz w:val="20"/>
          <w:szCs w:val="20"/>
        </w:rPr>
        <w:t>FAQs on plastics</w:t>
      </w:r>
      <w:r w:rsidRPr="00C92FA9">
        <w:rPr>
          <w:rFonts w:cs="Times New Roman"/>
          <w:sz w:val="20"/>
          <w:szCs w:val="20"/>
        </w:rPr>
        <w:t xml:space="preserve">. Our World in Data. </w:t>
      </w:r>
      <w:hyperlink r:id="rId28" w:history="1">
        <w:r w:rsidRPr="00C92FA9">
          <w:rPr>
            <w:rStyle w:val="Hyperlink"/>
            <w:rFonts w:cs="Times New Roman"/>
            <w:szCs w:val="20"/>
          </w:rPr>
          <w:t>https://ourworldindata.org/faq-on-plastics</w:t>
        </w:r>
      </w:hyperlink>
      <w:r w:rsidRPr="00C92FA9">
        <w:rPr>
          <w:rFonts w:cs="Times New Roman"/>
          <w:sz w:val="20"/>
          <w:szCs w:val="20"/>
        </w:rPr>
        <w:t xml:space="preserve"> </w:t>
      </w:r>
    </w:p>
  </w:footnote>
  <w:footnote w:id="206">
    <w:p w14:paraId="039802ED" w14:textId="1F48F69C" w:rsidR="009010D9" w:rsidRPr="00C92FA9" w:rsidRDefault="009010D9"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lang w:val="es-ES"/>
        </w:rPr>
        <w:t xml:space="preserve"> </w:t>
      </w:r>
      <w:r>
        <w:rPr>
          <w:rFonts w:cs="Times New Roman"/>
          <w:sz w:val="20"/>
          <w:szCs w:val="20"/>
          <w:lang w:val="es-ES"/>
        </w:rPr>
        <w:tab/>
      </w:r>
      <w:r w:rsidRPr="00C92FA9">
        <w:rPr>
          <w:rFonts w:cs="Times New Roman"/>
          <w:sz w:val="20"/>
          <w:szCs w:val="20"/>
          <w:lang w:val="es-ES"/>
        </w:rPr>
        <w:t xml:space="preserve">Obradovic, D., &amp; Mishra, L. N. (2020). </w:t>
      </w:r>
      <w:r w:rsidRPr="00C92FA9">
        <w:rPr>
          <w:rFonts w:cs="Times New Roman"/>
          <w:sz w:val="20"/>
          <w:szCs w:val="20"/>
        </w:rPr>
        <w:t xml:space="preserve">Mechanical properties of recycled paper and cardboard. </w:t>
      </w:r>
      <w:r w:rsidRPr="00C92FA9">
        <w:rPr>
          <w:rFonts w:cs="Times New Roman"/>
          <w:i/>
          <w:sz w:val="20"/>
          <w:szCs w:val="20"/>
        </w:rPr>
        <w:t>Journal of Engineering and Exact Sciences (jCEC), 6</w:t>
      </w:r>
      <w:r w:rsidRPr="00C92FA9">
        <w:rPr>
          <w:rFonts w:cs="Times New Roman"/>
          <w:sz w:val="20"/>
          <w:szCs w:val="20"/>
        </w:rPr>
        <w:t xml:space="preserve">(3), 429–434. </w:t>
      </w:r>
      <w:hyperlink r:id="rId29" w:history="1">
        <w:r w:rsidRPr="00C92FA9">
          <w:rPr>
            <w:rStyle w:val="Hyperlink"/>
            <w:rFonts w:cs="Times New Roman"/>
            <w:szCs w:val="20"/>
          </w:rPr>
          <w:t>https://www.researchgate.net/publication/346288278_Mechanical_Properties_Of_Recycled_Paper_And_Cardboard/fulltext/63cad96b6fe15d6a57343d2d/Mechanical-Properties-Of-Recycled-Paper-And-Cardboard.pdf</w:t>
        </w:r>
      </w:hyperlink>
      <w:r w:rsidRPr="00C92FA9">
        <w:rPr>
          <w:rFonts w:cs="Times New Roman"/>
          <w:sz w:val="20"/>
          <w:szCs w:val="20"/>
        </w:rPr>
        <w:t xml:space="preserve"> </w:t>
      </w:r>
    </w:p>
  </w:footnote>
  <w:footnote w:id="207">
    <w:p w14:paraId="79B4F577" w14:textId="4D297871" w:rsidR="009010D9" w:rsidRPr="00C92FA9" w:rsidRDefault="009010D9" w:rsidP="00FF38B3">
      <w:pPr>
        <w:pStyle w:val="FootnoteText"/>
        <w:spacing w:before="0" w:after="0"/>
        <w:ind w:left="357" w:hanging="357"/>
        <w:contextualSpacing/>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Eurostat. (2025). </w:t>
      </w:r>
      <w:r w:rsidRPr="00C92FA9">
        <w:rPr>
          <w:rFonts w:cs="Times New Roman"/>
          <w:i/>
          <w:sz w:val="20"/>
          <w:szCs w:val="20"/>
        </w:rPr>
        <w:t>Treatment of waste by waste category, hazardousness and waste management operations (ENV_WASTRT)</w:t>
      </w:r>
      <w:r w:rsidRPr="00C92FA9">
        <w:rPr>
          <w:rFonts w:cs="Times New Roman"/>
          <w:sz w:val="20"/>
          <w:szCs w:val="20"/>
        </w:rPr>
        <w:t xml:space="preserve"> Data set. European Commission. </w:t>
      </w:r>
      <w:hyperlink r:id="rId30" w:history="1">
        <w:r w:rsidRPr="00C92FA9">
          <w:rPr>
            <w:rStyle w:val="Hyperlink"/>
            <w:rFonts w:cs="Times New Roman"/>
            <w:szCs w:val="20"/>
          </w:rPr>
          <w:t>https://ec.europa.eu/eurostat/web/products-datasets/-/env_wastrt</w:t>
        </w:r>
      </w:hyperlink>
      <w:r w:rsidRPr="00C92FA9">
        <w:rPr>
          <w:rFonts w:cs="Times New Roman"/>
          <w:sz w:val="20"/>
          <w:szCs w:val="20"/>
        </w:rPr>
        <w:t xml:space="preserve"> </w:t>
      </w:r>
    </w:p>
  </w:footnote>
  <w:footnote w:id="208">
    <w:p w14:paraId="7D3A42C1" w14:textId="4AFE629D" w:rsidR="009010D9" w:rsidRPr="00C92FA9" w:rsidRDefault="009010D9"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Technopolis (2024, July). Issues and Options for EU Emissions Trading after 2030, Final Task 2 Report – Analysis of issues, policy topics and policy options for the 2030-2040 timeframe (Report No. CLIMA/2022/OP/0012). European Commission, Directorate-General for Climate Action. </w:t>
      </w:r>
      <w:hyperlink r:id="rId31" w:history="1">
        <w:r w:rsidRPr="00C92FA9">
          <w:rPr>
            <w:rStyle w:val="Hyperlink"/>
            <w:rFonts w:cs="Times New Roman"/>
            <w:szCs w:val="20"/>
          </w:rPr>
          <w:t>https://www.technopolis-group.com/report/issues-and-options-for-eu-emissions-trading-after-2030/</w:t>
        </w:r>
      </w:hyperlink>
      <w:r w:rsidRPr="00C92FA9">
        <w:rPr>
          <w:rFonts w:cs="Times New Roman"/>
          <w:sz w:val="20"/>
          <w:szCs w:val="20"/>
        </w:rPr>
        <w:t xml:space="preserve"> </w:t>
      </w:r>
    </w:p>
  </w:footnote>
  <w:footnote w:id="209">
    <w:p w14:paraId="3F1FD5C2" w14:textId="1C19F987" w:rsidR="009010D9" w:rsidRPr="00C92FA9" w:rsidRDefault="009010D9" w:rsidP="00FF38B3">
      <w:pPr>
        <w:pStyle w:val="FootnoteText"/>
        <w:spacing w:before="0" w:after="0"/>
        <w:ind w:left="357" w:hanging="357"/>
        <w:contextualSpacing/>
        <w:jc w:val="left"/>
        <w:rPr>
          <w:rFonts w:cs="Times New Roman"/>
          <w:sz w:val="20"/>
          <w:szCs w:val="20"/>
        </w:rPr>
      </w:pPr>
      <w:r w:rsidRPr="00C92FA9">
        <w:rPr>
          <w:rStyle w:val="FootnoteReference"/>
          <w:rFonts w:cs="Times New Roman"/>
          <w:sz w:val="20"/>
          <w:szCs w:val="20"/>
        </w:rPr>
        <w:footnoteRef/>
      </w:r>
      <w:r w:rsidRPr="00C92FA9">
        <w:rPr>
          <w:rFonts w:cs="Times New Roman"/>
          <w:sz w:val="20"/>
          <w:szCs w:val="20"/>
        </w:rPr>
        <w:t xml:space="preserve"> </w:t>
      </w:r>
      <w:r>
        <w:rPr>
          <w:rFonts w:cs="Times New Roman"/>
          <w:sz w:val="20"/>
          <w:szCs w:val="20"/>
        </w:rPr>
        <w:tab/>
      </w:r>
      <w:r w:rsidRPr="00C92FA9">
        <w:rPr>
          <w:rFonts w:cs="Times New Roman"/>
          <w:sz w:val="20"/>
          <w:szCs w:val="20"/>
        </w:rPr>
        <w:t xml:space="preserve">Vermeulen, H., Lockwood, T., &amp; Lawaetz, R. (2025, June). </w:t>
      </w:r>
      <w:r w:rsidRPr="00C92FA9">
        <w:rPr>
          <w:rFonts w:cs="Times New Roman"/>
          <w:i/>
          <w:sz w:val="20"/>
          <w:szCs w:val="20"/>
        </w:rPr>
        <w:t>Pricing it right: Accounting for non-permanent CCU while safeguarding the EU ETS</w:t>
      </w:r>
      <w:r w:rsidRPr="00C92FA9">
        <w:rPr>
          <w:rFonts w:cs="Times New Roman"/>
          <w:sz w:val="20"/>
          <w:szCs w:val="20"/>
        </w:rPr>
        <w:t xml:space="preserve">. CONCITO &amp; Clean Air Task Force. </w:t>
      </w:r>
      <w:hyperlink r:id="rId32" w:history="1">
        <w:r w:rsidRPr="00C92FA9">
          <w:rPr>
            <w:rStyle w:val="Hyperlink"/>
            <w:rFonts w:cs="Times New Roman"/>
            <w:szCs w:val="20"/>
          </w:rPr>
          <w:t>https://concito.dk/files/media/document/Pricing%20it%20right.pdf</w:t>
        </w:r>
      </w:hyperlink>
      <w:r w:rsidRPr="00C92FA9">
        <w:rPr>
          <w:rFonts w:cs="Times New Roman"/>
          <w:sz w:val="20"/>
          <w:szCs w:val="20"/>
        </w:rPr>
        <w:t xml:space="preserve"> </w:t>
      </w:r>
    </w:p>
  </w:footnote>
  <w:footnote w:id="210">
    <w:p w14:paraId="43583FD4" w14:textId="2B867760" w:rsidR="009010D9" w:rsidRPr="00C92FA9" w:rsidRDefault="009010D9" w:rsidP="00FF38B3">
      <w:pPr>
        <w:pStyle w:val="RSK-F1"/>
        <w:spacing w:before="0" w:after="0"/>
        <w:ind w:left="357" w:hanging="357"/>
        <w:contextualSpacing/>
        <w:rPr>
          <w:rFonts w:ascii="Times New Roman" w:hAnsi="Times New Roman" w:cs="Times New Roman"/>
          <w:sz w:val="20"/>
          <w:szCs w:val="20"/>
        </w:rPr>
      </w:pPr>
      <w:r w:rsidRPr="00C92FA9">
        <w:rPr>
          <w:rStyle w:val="FootnoteReference"/>
          <w:rFonts w:ascii="Times New Roman" w:hAnsi="Times New Roman" w:cs="Times New Roman"/>
          <w:sz w:val="20"/>
          <w:szCs w:val="20"/>
        </w:rPr>
        <w:footnoteRef/>
      </w:r>
      <w:r w:rsidRPr="00C92FA9">
        <w:rPr>
          <w:rFonts w:ascii="Times New Roman" w:hAnsi="Times New Roman" w:cs="Times New Roman"/>
          <w:sz w:val="20"/>
          <w:szCs w:val="20"/>
        </w:rPr>
        <w:t xml:space="preserve"> </w:t>
      </w:r>
      <w:r>
        <w:rPr>
          <w:rFonts w:ascii="Times New Roman" w:hAnsi="Times New Roman" w:cs="Times New Roman"/>
          <w:sz w:val="20"/>
          <w:szCs w:val="20"/>
        </w:rPr>
        <w:tab/>
      </w:r>
      <w:r w:rsidRPr="00C92FA9">
        <w:rPr>
          <w:rFonts w:ascii="Times New Roman" w:hAnsi="Times New Roman" w:cs="Times New Roman"/>
          <w:sz w:val="20"/>
          <w:szCs w:val="20"/>
        </w:rPr>
        <w:t xml:space="preserve">European Parliament, Council of the European Union, &amp; European Commission. (2000). </w:t>
      </w:r>
      <w:r w:rsidRPr="00C92FA9">
        <w:rPr>
          <w:rFonts w:ascii="Times New Roman" w:hAnsi="Times New Roman" w:cs="Times New Roman"/>
          <w:i/>
          <w:sz w:val="20"/>
          <w:szCs w:val="20"/>
        </w:rPr>
        <w:t>Charter of Fundamental Rights of the European Union</w:t>
      </w:r>
      <w:r w:rsidRPr="00C92FA9">
        <w:rPr>
          <w:rFonts w:ascii="Times New Roman" w:hAnsi="Times New Roman" w:cs="Times New Roman"/>
          <w:sz w:val="20"/>
          <w:szCs w:val="20"/>
        </w:rPr>
        <w:t xml:space="preserve">. </w:t>
      </w:r>
      <w:hyperlink r:id="rId33" w:history="1">
        <w:r w:rsidRPr="00C92FA9">
          <w:rPr>
            <w:rStyle w:val="Hyperlink"/>
            <w:rFonts w:cs="Times New Roman"/>
            <w:szCs w:val="20"/>
          </w:rPr>
          <w:t>https://www.europarl.europa.eu/charter/pdf/text_en.pdf</w:t>
        </w:r>
      </w:hyperlink>
      <w:r w:rsidRPr="00C92FA9">
        <w:rPr>
          <w:rFonts w:ascii="Times New Roman" w:hAnsi="Times New Roman" w:cs="Times New Roman"/>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463AB" w14:textId="77777777" w:rsidR="00073EDD" w:rsidRPr="00073EDD" w:rsidRDefault="00073EDD" w:rsidP="00073ED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F141" w14:textId="77777777" w:rsidR="00073EDD" w:rsidRPr="00073EDD" w:rsidRDefault="00073EDD" w:rsidP="00073ED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02584" w14:textId="77777777" w:rsidR="00073EDD" w:rsidRPr="00073EDD" w:rsidRDefault="00073EDD" w:rsidP="00073ED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2FB96" w14:textId="77777777" w:rsidR="00301788" w:rsidRPr="0006475C" w:rsidRDefault="00301788" w:rsidP="0006475C">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A632" w14:textId="77777777" w:rsidR="0006475C" w:rsidRDefault="000647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8053" w14:textId="77777777" w:rsidR="00534957" w:rsidRPr="0006475C" w:rsidRDefault="00534957" w:rsidP="0006475C">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8561" w14:textId="77777777" w:rsidR="009010D9" w:rsidRDefault="009010D9" w:rsidP="006C14F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A1AF" w14:textId="77777777" w:rsidR="009010D9" w:rsidRPr="006B4A62" w:rsidRDefault="009010D9" w:rsidP="006C14F0">
    <w:pPr>
      <w:pStyle w:val="HeaderLog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F2ED4" w14:textId="77777777" w:rsidR="009010D9" w:rsidRDefault="009010D9" w:rsidP="006C14F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AA4A" w14:textId="77777777" w:rsidR="0006475C" w:rsidRPr="006B4A62" w:rsidRDefault="0006475C" w:rsidP="006C14F0">
    <w:pPr>
      <w:pStyle w:val="HeaderLog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C1070" w14:textId="77777777" w:rsidR="0006475C" w:rsidRPr="006B4A62" w:rsidRDefault="0006475C" w:rsidP="006C14F0">
    <w:pPr>
      <w:pStyle w:val="HeaderLog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B1DF4" w14:textId="77777777" w:rsidR="0006475C" w:rsidRPr="006B4A62" w:rsidRDefault="0006475C" w:rsidP="006C14F0">
    <w:pPr>
      <w:pStyle w:val="HeaderLog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A10"/>
    <w:multiLevelType w:val="hybridMultilevel"/>
    <w:tmpl w:val="FE968A18"/>
    <w:lvl w:ilvl="0" w:tplc="FABCA2D4">
      <w:start w:val="1"/>
      <w:numFmt w:val="bullet"/>
      <w:lvlText w:val=""/>
      <w:lvlJc w:val="left"/>
      <w:pPr>
        <w:ind w:left="720" w:hanging="360"/>
      </w:pPr>
      <w:rPr>
        <w:rFonts w:ascii="Symbol" w:hAnsi="Symbol" w:hint="default"/>
      </w:rPr>
    </w:lvl>
    <w:lvl w:ilvl="1" w:tplc="27240568" w:tentative="1">
      <w:start w:val="1"/>
      <w:numFmt w:val="bullet"/>
      <w:lvlText w:val="o"/>
      <w:lvlJc w:val="left"/>
      <w:pPr>
        <w:ind w:left="1440" w:hanging="360"/>
      </w:pPr>
      <w:rPr>
        <w:rFonts w:ascii="Courier New" w:hAnsi="Courier New" w:hint="default"/>
      </w:rPr>
    </w:lvl>
    <w:lvl w:ilvl="2" w:tplc="C09A799A" w:tentative="1">
      <w:start w:val="1"/>
      <w:numFmt w:val="bullet"/>
      <w:lvlText w:val=""/>
      <w:lvlJc w:val="left"/>
      <w:pPr>
        <w:ind w:left="2160" w:hanging="360"/>
      </w:pPr>
      <w:rPr>
        <w:rFonts w:ascii="Wingdings" w:hAnsi="Wingdings" w:hint="default"/>
      </w:rPr>
    </w:lvl>
    <w:lvl w:ilvl="3" w:tplc="93A48BC8" w:tentative="1">
      <w:start w:val="1"/>
      <w:numFmt w:val="bullet"/>
      <w:lvlText w:val=""/>
      <w:lvlJc w:val="left"/>
      <w:pPr>
        <w:ind w:left="2880" w:hanging="360"/>
      </w:pPr>
      <w:rPr>
        <w:rFonts w:ascii="Symbol" w:hAnsi="Symbol" w:hint="default"/>
      </w:rPr>
    </w:lvl>
    <w:lvl w:ilvl="4" w:tplc="03007C32" w:tentative="1">
      <w:start w:val="1"/>
      <w:numFmt w:val="bullet"/>
      <w:lvlText w:val="o"/>
      <w:lvlJc w:val="left"/>
      <w:pPr>
        <w:ind w:left="3600" w:hanging="360"/>
      </w:pPr>
      <w:rPr>
        <w:rFonts w:ascii="Courier New" w:hAnsi="Courier New" w:hint="default"/>
      </w:rPr>
    </w:lvl>
    <w:lvl w:ilvl="5" w:tplc="EDCA1DBA" w:tentative="1">
      <w:start w:val="1"/>
      <w:numFmt w:val="bullet"/>
      <w:lvlText w:val=""/>
      <w:lvlJc w:val="left"/>
      <w:pPr>
        <w:ind w:left="4320" w:hanging="360"/>
      </w:pPr>
      <w:rPr>
        <w:rFonts w:ascii="Wingdings" w:hAnsi="Wingdings" w:hint="default"/>
      </w:rPr>
    </w:lvl>
    <w:lvl w:ilvl="6" w:tplc="B74211CA" w:tentative="1">
      <w:start w:val="1"/>
      <w:numFmt w:val="bullet"/>
      <w:lvlText w:val=""/>
      <w:lvlJc w:val="left"/>
      <w:pPr>
        <w:ind w:left="5040" w:hanging="360"/>
      </w:pPr>
      <w:rPr>
        <w:rFonts w:ascii="Symbol" w:hAnsi="Symbol" w:hint="default"/>
      </w:rPr>
    </w:lvl>
    <w:lvl w:ilvl="7" w:tplc="B02ABE36" w:tentative="1">
      <w:start w:val="1"/>
      <w:numFmt w:val="bullet"/>
      <w:lvlText w:val="o"/>
      <w:lvlJc w:val="left"/>
      <w:pPr>
        <w:ind w:left="5760" w:hanging="360"/>
      </w:pPr>
      <w:rPr>
        <w:rFonts w:ascii="Courier New" w:hAnsi="Courier New" w:hint="default"/>
      </w:rPr>
    </w:lvl>
    <w:lvl w:ilvl="8" w:tplc="9EF21428" w:tentative="1">
      <w:start w:val="1"/>
      <w:numFmt w:val="bullet"/>
      <w:lvlText w:val=""/>
      <w:lvlJc w:val="left"/>
      <w:pPr>
        <w:ind w:left="6480" w:hanging="360"/>
      </w:pPr>
      <w:rPr>
        <w:rFonts w:ascii="Wingdings" w:hAnsi="Wingdings" w:hint="default"/>
      </w:rPr>
    </w:lvl>
  </w:abstractNum>
  <w:abstractNum w:abstractNumId="1" w15:restartNumberingAfterBreak="0">
    <w:nsid w:val="0BCA0749"/>
    <w:multiLevelType w:val="hybridMultilevel"/>
    <w:tmpl w:val="D9B452A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05534C8"/>
    <w:multiLevelType w:val="hybridMultilevel"/>
    <w:tmpl w:val="2F563E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9A11F5"/>
    <w:multiLevelType w:val="hybridMultilevel"/>
    <w:tmpl w:val="10201CA0"/>
    <w:lvl w:ilvl="0" w:tplc="3CF8589A">
      <w:start w:val="1"/>
      <w:numFmt w:val="bullet"/>
      <w:lvlText w:val=""/>
      <w:lvlJc w:val="left"/>
      <w:pPr>
        <w:ind w:left="720" w:hanging="360"/>
      </w:pPr>
      <w:rPr>
        <w:rFonts w:ascii="Symbol" w:hAnsi="Symbol" w:hint="default"/>
      </w:rPr>
    </w:lvl>
    <w:lvl w:ilvl="1" w:tplc="6332D634" w:tentative="1">
      <w:start w:val="1"/>
      <w:numFmt w:val="bullet"/>
      <w:lvlText w:val="o"/>
      <w:lvlJc w:val="left"/>
      <w:pPr>
        <w:ind w:left="1440" w:hanging="360"/>
      </w:pPr>
      <w:rPr>
        <w:rFonts w:ascii="Courier New" w:hAnsi="Courier New" w:hint="default"/>
      </w:rPr>
    </w:lvl>
    <w:lvl w:ilvl="2" w:tplc="1534D044" w:tentative="1">
      <w:start w:val="1"/>
      <w:numFmt w:val="bullet"/>
      <w:lvlText w:val=""/>
      <w:lvlJc w:val="left"/>
      <w:pPr>
        <w:ind w:left="2160" w:hanging="360"/>
      </w:pPr>
      <w:rPr>
        <w:rFonts w:ascii="Wingdings" w:hAnsi="Wingdings" w:hint="default"/>
      </w:rPr>
    </w:lvl>
    <w:lvl w:ilvl="3" w:tplc="372E436A" w:tentative="1">
      <w:start w:val="1"/>
      <w:numFmt w:val="bullet"/>
      <w:lvlText w:val=""/>
      <w:lvlJc w:val="left"/>
      <w:pPr>
        <w:ind w:left="2880" w:hanging="360"/>
      </w:pPr>
      <w:rPr>
        <w:rFonts w:ascii="Symbol" w:hAnsi="Symbol" w:hint="default"/>
      </w:rPr>
    </w:lvl>
    <w:lvl w:ilvl="4" w:tplc="96C6C75E" w:tentative="1">
      <w:start w:val="1"/>
      <w:numFmt w:val="bullet"/>
      <w:lvlText w:val="o"/>
      <w:lvlJc w:val="left"/>
      <w:pPr>
        <w:ind w:left="3600" w:hanging="360"/>
      </w:pPr>
      <w:rPr>
        <w:rFonts w:ascii="Courier New" w:hAnsi="Courier New" w:hint="default"/>
      </w:rPr>
    </w:lvl>
    <w:lvl w:ilvl="5" w:tplc="1D6649C0" w:tentative="1">
      <w:start w:val="1"/>
      <w:numFmt w:val="bullet"/>
      <w:lvlText w:val=""/>
      <w:lvlJc w:val="left"/>
      <w:pPr>
        <w:ind w:left="4320" w:hanging="360"/>
      </w:pPr>
      <w:rPr>
        <w:rFonts w:ascii="Wingdings" w:hAnsi="Wingdings" w:hint="default"/>
      </w:rPr>
    </w:lvl>
    <w:lvl w:ilvl="6" w:tplc="B64AEDB4" w:tentative="1">
      <w:start w:val="1"/>
      <w:numFmt w:val="bullet"/>
      <w:lvlText w:val=""/>
      <w:lvlJc w:val="left"/>
      <w:pPr>
        <w:ind w:left="5040" w:hanging="360"/>
      </w:pPr>
      <w:rPr>
        <w:rFonts w:ascii="Symbol" w:hAnsi="Symbol" w:hint="default"/>
      </w:rPr>
    </w:lvl>
    <w:lvl w:ilvl="7" w:tplc="A78EA504" w:tentative="1">
      <w:start w:val="1"/>
      <w:numFmt w:val="bullet"/>
      <w:lvlText w:val="o"/>
      <w:lvlJc w:val="left"/>
      <w:pPr>
        <w:ind w:left="5760" w:hanging="360"/>
      </w:pPr>
      <w:rPr>
        <w:rFonts w:ascii="Courier New" w:hAnsi="Courier New" w:hint="default"/>
      </w:rPr>
    </w:lvl>
    <w:lvl w:ilvl="8" w:tplc="0F9E70F4" w:tentative="1">
      <w:start w:val="1"/>
      <w:numFmt w:val="bullet"/>
      <w:lvlText w:val=""/>
      <w:lvlJc w:val="left"/>
      <w:pPr>
        <w:ind w:left="6480" w:hanging="360"/>
      </w:pPr>
      <w:rPr>
        <w:rFonts w:ascii="Wingdings" w:hAnsi="Wingdings" w:hint="default"/>
      </w:rPr>
    </w:lvl>
  </w:abstractNum>
  <w:abstractNum w:abstractNumId="4" w15:restartNumberingAfterBreak="0">
    <w:nsid w:val="10C75897"/>
    <w:multiLevelType w:val="multilevel"/>
    <w:tmpl w:val="57DE4F2A"/>
    <w:styleLink w:val="ArticleSection"/>
    <w:lvl w:ilvl="0">
      <w:start w:val="1"/>
      <w:numFmt w:val="upperLetter"/>
      <w:pStyle w:val="AppendixTitle"/>
      <w:lvlText w:val="Appendix %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737" w:hanging="737"/>
      </w:pPr>
      <w:rPr>
        <w:rFonts w:hint="default"/>
      </w:rPr>
    </w:lvl>
    <w:lvl w:ilvl="3">
      <w:start w:val="1"/>
      <w:numFmt w:val="decimal"/>
      <w:pStyle w:val="Appendix3"/>
      <w:lvlText w:val="%1.%2.%3.%4"/>
      <w:lvlJc w:val="left"/>
      <w:pPr>
        <w:ind w:left="1474" w:hanging="737"/>
      </w:pPr>
      <w:rPr>
        <w:rFonts w:hint="default"/>
      </w:rPr>
    </w:lvl>
    <w:lvl w:ilvl="4">
      <w:start w:val="1"/>
      <w:numFmt w:val="none"/>
      <w:lvlText w:val=""/>
      <w:lvlJc w:val="left"/>
      <w:pPr>
        <w:ind w:left="737" w:hanging="737"/>
      </w:pPr>
      <w:rPr>
        <w:rFonts w:hint="default"/>
      </w:rPr>
    </w:lvl>
    <w:lvl w:ilvl="5">
      <w:start w:val="1"/>
      <w:numFmt w:val="none"/>
      <w:lvlText w:val=""/>
      <w:lvlJc w:val="left"/>
      <w:pPr>
        <w:ind w:left="737" w:hanging="737"/>
      </w:pPr>
      <w:rPr>
        <w:rFonts w:hint="default"/>
      </w:rPr>
    </w:lvl>
    <w:lvl w:ilvl="6">
      <w:start w:val="1"/>
      <w:numFmt w:val="none"/>
      <w:lvlText w:val=""/>
      <w:lvlJc w:val="left"/>
      <w:pPr>
        <w:ind w:left="737" w:hanging="737"/>
      </w:pPr>
      <w:rPr>
        <w:rFonts w:hint="default"/>
      </w:rPr>
    </w:lvl>
    <w:lvl w:ilvl="7">
      <w:start w:val="1"/>
      <w:numFmt w:val="none"/>
      <w:lvlText w:val=""/>
      <w:lvlJc w:val="left"/>
      <w:pPr>
        <w:ind w:left="737" w:hanging="737"/>
      </w:pPr>
      <w:rPr>
        <w:rFonts w:hint="default"/>
      </w:rPr>
    </w:lvl>
    <w:lvl w:ilvl="8">
      <w:start w:val="1"/>
      <w:numFmt w:val="none"/>
      <w:lvlText w:val=""/>
      <w:lvlJc w:val="left"/>
      <w:pPr>
        <w:ind w:left="737" w:hanging="737"/>
      </w:pPr>
      <w:rPr>
        <w:rFonts w:hint="default"/>
      </w:rPr>
    </w:lvl>
  </w:abstractNum>
  <w:abstractNum w:abstractNumId="5" w15:restartNumberingAfterBreak="0">
    <w:nsid w:val="150B7F1C"/>
    <w:multiLevelType w:val="hybridMultilevel"/>
    <w:tmpl w:val="6386726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7C93631"/>
    <w:multiLevelType w:val="multilevel"/>
    <w:tmpl w:val="D8EEC6B2"/>
    <w:styleLink w:val="adeListeNumeinfach"/>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1474" w:hanging="737"/>
      </w:pPr>
      <w:rPr>
        <w:rFonts w:hint="default"/>
      </w:rPr>
    </w:lvl>
    <w:lvl w:ilvl="3">
      <w:start w:val="1"/>
      <w:numFmt w:val="decimal"/>
      <w:lvlText w:val="%1.%2.%3.%4"/>
      <w:lvlJc w:val="left"/>
      <w:pPr>
        <w:ind w:left="1474" w:hanging="737"/>
      </w:pPr>
      <w:rPr>
        <w:rFonts w:hint="default"/>
      </w:rPr>
    </w:lvl>
    <w:lvl w:ilvl="4">
      <w:start w:val="1"/>
      <w:numFmt w:val="none"/>
      <w:lvlText w:val=""/>
      <w:lvlJc w:val="left"/>
      <w:pPr>
        <w:ind w:left="737" w:hanging="737"/>
      </w:pPr>
      <w:rPr>
        <w:rFonts w:hint="default"/>
      </w:rPr>
    </w:lvl>
    <w:lvl w:ilvl="5">
      <w:start w:val="1"/>
      <w:numFmt w:val="none"/>
      <w:lvlText w:val=""/>
      <w:lvlJc w:val="left"/>
      <w:pPr>
        <w:ind w:left="737" w:hanging="737"/>
      </w:pPr>
      <w:rPr>
        <w:rFonts w:hint="default"/>
      </w:rPr>
    </w:lvl>
    <w:lvl w:ilvl="6">
      <w:start w:val="1"/>
      <w:numFmt w:val="none"/>
      <w:lvlText w:val=""/>
      <w:lvlJc w:val="left"/>
      <w:pPr>
        <w:ind w:left="737" w:hanging="737"/>
      </w:pPr>
      <w:rPr>
        <w:rFonts w:hint="default"/>
      </w:rPr>
    </w:lvl>
    <w:lvl w:ilvl="7">
      <w:start w:val="1"/>
      <w:numFmt w:val="none"/>
      <w:lvlText w:val=""/>
      <w:lvlJc w:val="left"/>
      <w:pPr>
        <w:ind w:left="737" w:hanging="737"/>
      </w:pPr>
      <w:rPr>
        <w:rFonts w:hint="default"/>
      </w:rPr>
    </w:lvl>
    <w:lvl w:ilvl="8">
      <w:start w:val="1"/>
      <w:numFmt w:val="none"/>
      <w:lvlText w:val=""/>
      <w:lvlJc w:val="left"/>
      <w:pPr>
        <w:ind w:left="737" w:hanging="737"/>
      </w:pPr>
      <w:rPr>
        <w:rFonts w:hint="default"/>
      </w:rPr>
    </w:lvl>
  </w:abstractNum>
  <w:abstractNum w:abstractNumId="7" w15:restartNumberingAfterBreak="0">
    <w:nsid w:val="1EE322A1"/>
    <w:multiLevelType w:val="hybridMultilevel"/>
    <w:tmpl w:val="8B70DBEA"/>
    <w:lvl w:ilvl="0" w:tplc="143C7F28">
      <w:start w:val="1"/>
      <w:numFmt w:val="bullet"/>
      <w:lvlText w:val=""/>
      <w:lvlJc w:val="left"/>
      <w:pPr>
        <w:ind w:left="774" w:hanging="360"/>
      </w:pPr>
      <w:rPr>
        <w:rFonts w:ascii="Symbol" w:hAnsi="Symbol" w:hint="default"/>
      </w:rPr>
    </w:lvl>
    <w:lvl w:ilvl="1" w:tplc="86281B86" w:tentative="1">
      <w:start w:val="1"/>
      <w:numFmt w:val="bullet"/>
      <w:lvlText w:val="o"/>
      <w:lvlJc w:val="left"/>
      <w:pPr>
        <w:ind w:left="1494" w:hanging="360"/>
      </w:pPr>
      <w:rPr>
        <w:rFonts w:ascii="Courier New" w:hAnsi="Courier New" w:hint="default"/>
      </w:rPr>
    </w:lvl>
    <w:lvl w:ilvl="2" w:tplc="55B0BF52" w:tentative="1">
      <w:start w:val="1"/>
      <w:numFmt w:val="bullet"/>
      <w:lvlText w:val=""/>
      <w:lvlJc w:val="left"/>
      <w:pPr>
        <w:ind w:left="2214" w:hanging="360"/>
      </w:pPr>
      <w:rPr>
        <w:rFonts w:ascii="Wingdings" w:hAnsi="Wingdings" w:hint="default"/>
      </w:rPr>
    </w:lvl>
    <w:lvl w:ilvl="3" w:tplc="5A283E90" w:tentative="1">
      <w:start w:val="1"/>
      <w:numFmt w:val="bullet"/>
      <w:lvlText w:val=""/>
      <w:lvlJc w:val="left"/>
      <w:pPr>
        <w:ind w:left="2934" w:hanging="360"/>
      </w:pPr>
      <w:rPr>
        <w:rFonts w:ascii="Symbol" w:hAnsi="Symbol" w:hint="default"/>
      </w:rPr>
    </w:lvl>
    <w:lvl w:ilvl="4" w:tplc="90E06128" w:tentative="1">
      <w:start w:val="1"/>
      <w:numFmt w:val="bullet"/>
      <w:lvlText w:val="o"/>
      <w:lvlJc w:val="left"/>
      <w:pPr>
        <w:ind w:left="3654" w:hanging="360"/>
      </w:pPr>
      <w:rPr>
        <w:rFonts w:ascii="Courier New" w:hAnsi="Courier New" w:hint="default"/>
      </w:rPr>
    </w:lvl>
    <w:lvl w:ilvl="5" w:tplc="AC8CFD8E" w:tentative="1">
      <w:start w:val="1"/>
      <w:numFmt w:val="bullet"/>
      <w:lvlText w:val=""/>
      <w:lvlJc w:val="left"/>
      <w:pPr>
        <w:ind w:left="4374" w:hanging="360"/>
      </w:pPr>
      <w:rPr>
        <w:rFonts w:ascii="Wingdings" w:hAnsi="Wingdings" w:hint="default"/>
      </w:rPr>
    </w:lvl>
    <w:lvl w:ilvl="6" w:tplc="F23C8F82" w:tentative="1">
      <w:start w:val="1"/>
      <w:numFmt w:val="bullet"/>
      <w:lvlText w:val=""/>
      <w:lvlJc w:val="left"/>
      <w:pPr>
        <w:ind w:left="5094" w:hanging="360"/>
      </w:pPr>
      <w:rPr>
        <w:rFonts w:ascii="Symbol" w:hAnsi="Symbol" w:hint="default"/>
      </w:rPr>
    </w:lvl>
    <w:lvl w:ilvl="7" w:tplc="E3EC91BE" w:tentative="1">
      <w:start w:val="1"/>
      <w:numFmt w:val="bullet"/>
      <w:lvlText w:val="o"/>
      <w:lvlJc w:val="left"/>
      <w:pPr>
        <w:ind w:left="5814" w:hanging="360"/>
      </w:pPr>
      <w:rPr>
        <w:rFonts w:ascii="Courier New" w:hAnsi="Courier New" w:hint="default"/>
      </w:rPr>
    </w:lvl>
    <w:lvl w:ilvl="8" w:tplc="CD5CFB3E" w:tentative="1">
      <w:start w:val="1"/>
      <w:numFmt w:val="bullet"/>
      <w:lvlText w:val=""/>
      <w:lvlJc w:val="left"/>
      <w:pPr>
        <w:ind w:left="6534" w:hanging="360"/>
      </w:pPr>
      <w:rPr>
        <w:rFonts w:ascii="Wingdings" w:hAnsi="Wingdings" w:hint="default"/>
      </w:rPr>
    </w:lvl>
  </w:abstractNum>
  <w:abstractNum w:abstractNumId="8" w15:restartNumberingAfterBreak="0">
    <w:nsid w:val="1EE3DF08"/>
    <w:multiLevelType w:val="multilevel"/>
    <w:tmpl w:val="51DA6B62"/>
    <w:styleLink w:val="LRRHeadings"/>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554FE6"/>
    <w:multiLevelType w:val="hybridMultilevel"/>
    <w:tmpl w:val="C98A35E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22986C8A"/>
    <w:multiLevelType w:val="hybridMultilevel"/>
    <w:tmpl w:val="EDF8C10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250C72F7"/>
    <w:multiLevelType w:val="hybridMultilevel"/>
    <w:tmpl w:val="A19A3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11E7E"/>
    <w:multiLevelType w:val="hybridMultilevel"/>
    <w:tmpl w:val="59AA323C"/>
    <w:lvl w:ilvl="0" w:tplc="53B0E572">
      <w:start w:val="1"/>
      <w:numFmt w:val="bullet"/>
      <w:lvlText w:val=""/>
      <w:lvlJc w:val="left"/>
      <w:pPr>
        <w:ind w:left="720" w:hanging="360"/>
      </w:pPr>
      <w:rPr>
        <w:rFonts w:ascii="Symbol" w:hAnsi="Symbol" w:hint="default"/>
        <w:sz w:val="18"/>
        <w:szCs w:val="18"/>
      </w:rPr>
    </w:lvl>
    <w:lvl w:ilvl="1" w:tplc="FF4E1EDE">
      <w:start w:val="1"/>
      <w:numFmt w:val="bullet"/>
      <w:lvlText w:val="o"/>
      <w:lvlJc w:val="left"/>
      <w:pPr>
        <w:ind w:left="1440" w:hanging="360"/>
      </w:pPr>
      <w:rPr>
        <w:rFonts w:ascii="Courier New" w:hAnsi="Courier New" w:hint="default"/>
      </w:rPr>
    </w:lvl>
    <w:lvl w:ilvl="2" w:tplc="8FDA2FAC">
      <w:start w:val="1"/>
      <w:numFmt w:val="bullet"/>
      <w:lvlText w:val=""/>
      <w:lvlJc w:val="left"/>
      <w:pPr>
        <w:ind w:left="2160" w:hanging="360"/>
      </w:pPr>
      <w:rPr>
        <w:rFonts w:ascii="Wingdings" w:hAnsi="Wingdings" w:hint="default"/>
      </w:rPr>
    </w:lvl>
    <w:lvl w:ilvl="3" w:tplc="4B8A681E" w:tentative="1">
      <w:start w:val="1"/>
      <w:numFmt w:val="bullet"/>
      <w:lvlText w:val=""/>
      <w:lvlJc w:val="left"/>
      <w:pPr>
        <w:ind w:left="2880" w:hanging="360"/>
      </w:pPr>
      <w:rPr>
        <w:rFonts w:ascii="Symbol" w:hAnsi="Symbol" w:hint="default"/>
      </w:rPr>
    </w:lvl>
    <w:lvl w:ilvl="4" w:tplc="B8784704" w:tentative="1">
      <w:start w:val="1"/>
      <w:numFmt w:val="bullet"/>
      <w:lvlText w:val="o"/>
      <w:lvlJc w:val="left"/>
      <w:pPr>
        <w:ind w:left="3600" w:hanging="360"/>
      </w:pPr>
      <w:rPr>
        <w:rFonts w:ascii="Courier New" w:hAnsi="Courier New" w:hint="default"/>
      </w:rPr>
    </w:lvl>
    <w:lvl w:ilvl="5" w:tplc="D0CA793A" w:tentative="1">
      <w:start w:val="1"/>
      <w:numFmt w:val="bullet"/>
      <w:lvlText w:val=""/>
      <w:lvlJc w:val="left"/>
      <w:pPr>
        <w:ind w:left="4320" w:hanging="360"/>
      </w:pPr>
      <w:rPr>
        <w:rFonts w:ascii="Wingdings" w:hAnsi="Wingdings" w:hint="default"/>
      </w:rPr>
    </w:lvl>
    <w:lvl w:ilvl="6" w:tplc="185E1D60" w:tentative="1">
      <w:start w:val="1"/>
      <w:numFmt w:val="bullet"/>
      <w:lvlText w:val=""/>
      <w:lvlJc w:val="left"/>
      <w:pPr>
        <w:ind w:left="5040" w:hanging="360"/>
      </w:pPr>
      <w:rPr>
        <w:rFonts w:ascii="Symbol" w:hAnsi="Symbol" w:hint="default"/>
      </w:rPr>
    </w:lvl>
    <w:lvl w:ilvl="7" w:tplc="489E4A3A" w:tentative="1">
      <w:start w:val="1"/>
      <w:numFmt w:val="bullet"/>
      <w:lvlText w:val="o"/>
      <w:lvlJc w:val="left"/>
      <w:pPr>
        <w:ind w:left="5760" w:hanging="360"/>
      </w:pPr>
      <w:rPr>
        <w:rFonts w:ascii="Courier New" w:hAnsi="Courier New" w:hint="default"/>
      </w:rPr>
    </w:lvl>
    <w:lvl w:ilvl="8" w:tplc="EA125C48" w:tentative="1">
      <w:start w:val="1"/>
      <w:numFmt w:val="bullet"/>
      <w:lvlText w:val=""/>
      <w:lvlJc w:val="left"/>
      <w:pPr>
        <w:ind w:left="6480" w:hanging="360"/>
      </w:pPr>
      <w:rPr>
        <w:rFonts w:ascii="Wingdings" w:hAnsi="Wingdings" w:hint="default"/>
      </w:rPr>
    </w:lvl>
  </w:abstractNum>
  <w:abstractNum w:abstractNumId="13" w15:restartNumberingAfterBreak="0">
    <w:nsid w:val="2B3B3A39"/>
    <w:multiLevelType w:val="hybridMultilevel"/>
    <w:tmpl w:val="B82888DA"/>
    <w:lvl w:ilvl="0" w:tplc="18090001">
      <w:start w:val="1"/>
      <w:numFmt w:val="bullet"/>
      <w:lvlText w:val=""/>
      <w:lvlJc w:val="left"/>
      <w:pPr>
        <w:ind w:left="780" w:hanging="360"/>
      </w:pPr>
      <w:rPr>
        <w:rFonts w:ascii="Symbol" w:hAnsi="Symbol" w:hint="default"/>
      </w:rPr>
    </w:lvl>
    <w:lvl w:ilvl="1" w:tplc="18090003">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4" w15:restartNumberingAfterBreak="0">
    <w:nsid w:val="2C346FA6"/>
    <w:multiLevelType w:val="multilevel"/>
    <w:tmpl w:val="C7129070"/>
    <w:lvl w:ilvl="0">
      <w:start w:val="1"/>
      <w:numFmt w:val="decimal"/>
      <w:pStyle w:val="Heading1"/>
      <w:lvlText w:val="%1"/>
      <w:lvlJc w:val="left"/>
      <w:pPr>
        <w:ind w:left="432" w:hanging="432"/>
      </w:pPr>
    </w:lvl>
    <w:lvl w:ilvl="1">
      <w:start w:val="1"/>
      <w:numFmt w:val="decimal"/>
      <w:pStyle w:val="Heading2"/>
      <w:lvlText w:val="%1.%2"/>
      <w:lvlJc w:val="left"/>
      <w:pPr>
        <w:ind w:left="142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2E1C2254"/>
    <w:multiLevelType w:val="hybridMultilevel"/>
    <w:tmpl w:val="F8E4C53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181508F"/>
    <w:multiLevelType w:val="hybridMultilevel"/>
    <w:tmpl w:val="944E1100"/>
    <w:lvl w:ilvl="0" w:tplc="B346F944">
      <w:start w:val="1"/>
      <w:numFmt w:val="bullet"/>
      <w:pStyle w:val="bullettext"/>
      <w:lvlText w:val=""/>
      <w:lvlJc w:val="left"/>
      <w:pPr>
        <w:ind w:left="720" w:hanging="360"/>
      </w:pPr>
      <w:rPr>
        <w:rFonts w:ascii="Symbol" w:hAnsi="Symbol" w:hint="default"/>
        <w:b/>
        <w:i w:val="0"/>
        <w:color w:val="auto"/>
        <w:sz w:val="24"/>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7A1C1DF6">
      <w:numFmt w:val="bullet"/>
      <w:lvlText w:val="•"/>
      <w:lvlJc w:val="left"/>
      <w:pPr>
        <w:ind w:left="3240" w:hanging="720"/>
      </w:pPr>
      <w:rPr>
        <w:rFonts w:ascii="Arial" w:eastAsia="Times New Roman" w:hAnsi="Arial" w:cs="Aria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23D146F"/>
    <w:multiLevelType w:val="hybridMultilevel"/>
    <w:tmpl w:val="55563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64D78"/>
    <w:multiLevelType w:val="hybridMultilevel"/>
    <w:tmpl w:val="077A2772"/>
    <w:lvl w:ilvl="0" w:tplc="AB7EA3E4">
      <w:start w:val="1"/>
      <w:numFmt w:val="decimal"/>
      <w:pStyle w:val="Figuretitle"/>
      <w:lvlText w:val="Figure %1:"/>
      <w:lvlJc w:val="left"/>
      <w:pPr>
        <w:ind w:left="720" w:hanging="360"/>
      </w:pPr>
      <w:rPr>
        <w:rFonts w:hint="default"/>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849F6"/>
    <w:multiLevelType w:val="hybridMultilevel"/>
    <w:tmpl w:val="5BEA853C"/>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0" w15:restartNumberingAfterBreak="0">
    <w:nsid w:val="3577438B"/>
    <w:multiLevelType w:val="hybridMultilevel"/>
    <w:tmpl w:val="E1180444"/>
    <w:lvl w:ilvl="0" w:tplc="4AEE1158">
      <w:start w:val="1"/>
      <w:numFmt w:val="lowerRoman"/>
      <w:lvlText w:val="(%1)"/>
      <w:lvlJc w:val="left"/>
      <w:pPr>
        <w:ind w:left="1080" w:hanging="72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21" w15:restartNumberingAfterBreak="0">
    <w:nsid w:val="35D31D5D"/>
    <w:multiLevelType w:val="hybridMultilevel"/>
    <w:tmpl w:val="70CEF1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61B6482"/>
    <w:multiLevelType w:val="hybridMultilevel"/>
    <w:tmpl w:val="4EA44D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64230A1"/>
    <w:multiLevelType w:val="hybridMultilevel"/>
    <w:tmpl w:val="9678FDBC"/>
    <w:lvl w:ilvl="0" w:tplc="EB7458C0">
      <w:start w:val="1"/>
      <w:numFmt w:val="bullet"/>
      <w:lvlText w:val=""/>
      <w:lvlJc w:val="left"/>
      <w:pPr>
        <w:ind w:left="720" w:hanging="360"/>
      </w:pPr>
      <w:rPr>
        <w:rFonts w:ascii="Symbol" w:hAnsi="Symbol" w:hint="default"/>
      </w:rPr>
    </w:lvl>
    <w:lvl w:ilvl="1" w:tplc="25ACA4C8" w:tentative="1">
      <w:start w:val="1"/>
      <w:numFmt w:val="bullet"/>
      <w:lvlText w:val="o"/>
      <w:lvlJc w:val="left"/>
      <w:pPr>
        <w:ind w:left="1440" w:hanging="360"/>
      </w:pPr>
      <w:rPr>
        <w:rFonts w:ascii="Courier New" w:hAnsi="Courier New" w:hint="default"/>
      </w:rPr>
    </w:lvl>
    <w:lvl w:ilvl="2" w:tplc="1EBEBC60" w:tentative="1">
      <w:start w:val="1"/>
      <w:numFmt w:val="bullet"/>
      <w:lvlText w:val=""/>
      <w:lvlJc w:val="left"/>
      <w:pPr>
        <w:ind w:left="2160" w:hanging="360"/>
      </w:pPr>
      <w:rPr>
        <w:rFonts w:ascii="Wingdings" w:hAnsi="Wingdings" w:hint="default"/>
      </w:rPr>
    </w:lvl>
    <w:lvl w:ilvl="3" w:tplc="3A346CC2" w:tentative="1">
      <w:start w:val="1"/>
      <w:numFmt w:val="bullet"/>
      <w:lvlText w:val=""/>
      <w:lvlJc w:val="left"/>
      <w:pPr>
        <w:ind w:left="2880" w:hanging="360"/>
      </w:pPr>
      <w:rPr>
        <w:rFonts w:ascii="Symbol" w:hAnsi="Symbol" w:hint="default"/>
      </w:rPr>
    </w:lvl>
    <w:lvl w:ilvl="4" w:tplc="BB16D6C4" w:tentative="1">
      <w:start w:val="1"/>
      <w:numFmt w:val="bullet"/>
      <w:lvlText w:val="o"/>
      <w:lvlJc w:val="left"/>
      <w:pPr>
        <w:ind w:left="3600" w:hanging="360"/>
      </w:pPr>
      <w:rPr>
        <w:rFonts w:ascii="Courier New" w:hAnsi="Courier New" w:hint="default"/>
      </w:rPr>
    </w:lvl>
    <w:lvl w:ilvl="5" w:tplc="DDDE4B5C" w:tentative="1">
      <w:start w:val="1"/>
      <w:numFmt w:val="bullet"/>
      <w:lvlText w:val=""/>
      <w:lvlJc w:val="left"/>
      <w:pPr>
        <w:ind w:left="4320" w:hanging="360"/>
      </w:pPr>
      <w:rPr>
        <w:rFonts w:ascii="Wingdings" w:hAnsi="Wingdings" w:hint="default"/>
      </w:rPr>
    </w:lvl>
    <w:lvl w:ilvl="6" w:tplc="7CA0A6D0" w:tentative="1">
      <w:start w:val="1"/>
      <w:numFmt w:val="bullet"/>
      <w:lvlText w:val=""/>
      <w:lvlJc w:val="left"/>
      <w:pPr>
        <w:ind w:left="5040" w:hanging="360"/>
      </w:pPr>
      <w:rPr>
        <w:rFonts w:ascii="Symbol" w:hAnsi="Symbol" w:hint="default"/>
      </w:rPr>
    </w:lvl>
    <w:lvl w:ilvl="7" w:tplc="EB5E291C" w:tentative="1">
      <w:start w:val="1"/>
      <w:numFmt w:val="bullet"/>
      <w:lvlText w:val="o"/>
      <w:lvlJc w:val="left"/>
      <w:pPr>
        <w:ind w:left="5760" w:hanging="360"/>
      </w:pPr>
      <w:rPr>
        <w:rFonts w:ascii="Courier New" w:hAnsi="Courier New" w:hint="default"/>
      </w:rPr>
    </w:lvl>
    <w:lvl w:ilvl="8" w:tplc="98185514" w:tentative="1">
      <w:start w:val="1"/>
      <w:numFmt w:val="bullet"/>
      <w:lvlText w:val=""/>
      <w:lvlJc w:val="left"/>
      <w:pPr>
        <w:ind w:left="6480" w:hanging="360"/>
      </w:pPr>
      <w:rPr>
        <w:rFonts w:ascii="Wingdings" w:hAnsi="Wingdings" w:hint="default"/>
      </w:rPr>
    </w:lvl>
  </w:abstractNum>
  <w:abstractNum w:abstractNumId="24" w15:restartNumberingAfterBreak="0">
    <w:nsid w:val="37B5626D"/>
    <w:multiLevelType w:val="multilevel"/>
    <w:tmpl w:val="4DB0C35E"/>
    <w:lvl w:ilvl="0">
      <w:start w:val="1"/>
      <w:numFmt w:val="decimal"/>
      <w:pStyle w:val="Heading1COM"/>
      <w:lvlText w:val="%1."/>
      <w:lvlJc w:val="left"/>
      <w:pPr>
        <w:ind w:left="360" w:hanging="360"/>
      </w:pPr>
      <w:rPr>
        <w:rFonts w:hint="default"/>
      </w:rPr>
    </w:lvl>
    <w:lvl w:ilvl="1">
      <w:start w:val="1"/>
      <w:numFmt w:val="decimal"/>
      <w:pStyle w:val="Heading2COM"/>
      <w:lvlText w:val="%1.%2."/>
      <w:lvlJc w:val="left"/>
      <w:pPr>
        <w:ind w:left="792" w:hanging="432"/>
      </w:pPr>
      <w:rPr>
        <w:rFonts w:hint="default"/>
        <w:i w:val="0"/>
        <w:iCs w:val="0"/>
      </w:rPr>
    </w:lvl>
    <w:lvl w:ilvl="2">
      <w:start w:val="1"/>
      <w:numFmt w:val="decimal"/>
      <w:pStyle w:val="Heading3COM"/>
      <w:lvlText w:val="%1.%2.%3."/>
      <w:lvlJc w:val="left"/>
      <w:pPr>
        <w:ind w:left="1224" w:hanging="504"/>
      </w:pPr>
      <w:rPr>
        <w:rFonts w:hint="default"/>
      </w:rPr>
    </w:lvl>
    <w:lvl w:ilvl="3">
      <w:start w:val="1"/>
      <w:numFmt w:val="decimal"/>
      <w:pStyle w:val="Heading4COM"/>
      <w:lvlText w:val="%1.%2.%3.%4."/>
      <w:lvlJc w:val="left"/>
      <w:pPr>
        <w:ind w:left="1728" w:hanging="648"/>
      </w:pPr>
      <w:rPr>
        <w:rFonts w:hint="default"/>
      </w:rPr>
    </w:lvl>
    <w:lvl w:ilvl="4">
      <w:start w:val="1"/>
      <w:numFmt w:val="decimal"/>
      <w:pStyle w:val="Heading5COM"/>
      <w:lvlText w:val="%1.%2.%3.%4.%5."/>
      <w:lvlJc w:val="left"/>
      <w:pPr>
        <w:ind w:left="2352"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8067313"/>
    <w:multiLevelType w:val="hybridMultilevel"/>
    <w:tmpl w:val="AE125BBC"/>
    <w:styleLink w:val="adeListeUeberschriften"/>
    <w:lvl w:ilvl="0" w:tplc="AA1EB4A4">
      <w:start w:val="1"/>
      <w:numFmt w:val="bullet"/>
      <w:pStyle w:val="Normaldense"/>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BEE433"/>
    <w:multiLevelType w:val="multilevel"/>
    <w:tmpl w:val="6BAC3608"/>
    <w:styleLink w:val="LRRAppendices"/>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C54122F"/>
    <w:multiLevelType w:val="hybridMultilevel"/>
    <w:tmpl w:val="6F440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E12AE4"/>
    <w:multiLevelType w:val="hybridMultilevel"/>
    <w:tmpl w:val="D7A6AC1E"/>
    <w:lvl w:ilvl="0" w:tplc="8848C3A4">
      <w:start w:val="1"/>
      <w:numFmt w:val="decimal"/>
      <w:pStyle w:val="Tabletitle"/>
      <w:lvlText w:val="Table %1:"/>
      <w:lvlJc w:val="left"/>
      <w:pPr>
        <w:ind w:left="1494"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F35225"/>
    <w:multiLevelType w:val="hybridMultilevel"/>
    <w:tmpl w:val="3ADA3B6C"/>
    <w:lvl w:ilvl="0" w:tplc="3BBCEC40">
      <w:start w:val="1"/>
      <w:numFmt w:val="bullet"/>
      <w:lvlText w:val=""/>
      <w:lvlJc w:val="left"/>
      <w:pPr>
        <w:ind w:left="720" w:hanging="360"/>
      </w:pPr>
      <w:rPr>
        <w:rFonts w:ascii="Symbol" w:hAnsi="Symbol" w:hint="default"/>
      </w:rPr>
    </w:lvl>
    <w:lvl w:ilvl="1" w:tplc="D62CF69E">
      <w:start w:val="1"/>
      <w:numFmt w:val="bullet"/>
      <w:lvlText w:val="o"/>
      <w:lvlJc w:val="left"/>
      <w:pPr>
        <w:ind w:left="1440" w:hanging="360"/>
      </w:pPr>
      <w:rPr>
        <w:rFonts w:ascii="Courier New" w:hAnsi="Courier New" w:cs="Times New Roman" w:hint="default"/>
      </w:rPr>
    </w:lvl>
    <w:lvl w:ilvl="2" w:tplc="D1AC4578">
      <w:start w:val="1"/>
      <w:numFmt w:val="bullet"/>
      <w:lvlText w:val=""/>
      <w:lvlJc w:val="left"/>
      <w:pPr>
        <w:ind w:left="2160" w:hanging="360"/>
      </w:pPr>
      <w:rPr>
        <w:rFonts w:ascii="Wingdings" w:hAnsi="Wingdings" w:hint="default"/>
      </w:rPr>
    </w:lvl>
    <w:lvl w:ilvl="3" w:tplc="919A3C9E">
      <w:start w:val="1"/>
      <w:numFmt w:val="bullet"/>
      <w:lvlText w:val=""/>
      <w:lvlJc w:val="left"/>
      <w:pPr>
        <w:ind w:left="2880" w:hanging="360"/>
      </w:pPr>
      <w:rPr>
        <w:rFonts w:ascii="Symbol" w:hAnsi="Symbol" w:hint="default"/>
      </w:rPr>
    </w:lvl>
    <w:lvl w:ilvl="4" w:tplc="DF10295A">
      <w:start w:val="1"/>
      <w:numFmt w:val="bullet"/>
      <w:lvlText w:val="o"/>
      <w:lvlJc w:val="left"/>
      <w:pPr>
        <w:ind w:left="3600" w:hanging="360"/>
      </w:pPr>
      <w:rPr>
        <w:rFonts w:ascii="Courier New" w:hAnsi="Courier New" w:cs="Times New Roman" w:hint="default"/>
      </w:rPr>
    </w:lvl>
    <w:lvl w:ilvl="5" w:tplc="BF3CEA6E">
      <w:start w:val="1"/>
      <w:numFmt w:val="bullet"/>
      <w:lvlText w:val=""/>
      <w:lvlJc w:val="left"/>
      <w:pPr>
        <w:ind w:left="4320" w:hanging="360"/>
      </w:pPr>
      <w:rPr>
        <w:rFonts w:ascii="Wingdings" w:hAnsi="Wingdings" w:hint="default"/>
      </w:rPr>
    </w:lvl>
    <w:lvl w:ilvl="6" w:tplc="202E04C0">
      <w:start w:val="1"/>
      <w:numFmt w:val="bullet"/>
      <w:lvlText w:val=""/>
      <w:lvlJc w:val="left"/>
      <w:pPr>
        <w:ind w:left="5040" w:hanging="360"/>
      </w:pPr>
      <w:rPr>
        <w:rFonts w:ascii="Symbol" w:hAnsi="Symbol" w:hint="default"/>
      </w:rPr>
    </w:lvl>
    <w:lvl w:ilvl="7" w:tplc="7B68DD52">
      <w:start w:val="1"/>
      <w:numFmt w:val="bullet"/>
      <w:lvlText w:val="o"/>
      <w:lvlJc w:val="left"/>
      <w:pPr>
        <w:ind w:left="5760" w:hanging="360"/>
      </w:pPr>
      <w:rPr>
        <w:rFonts w:ascii="Courier New" w:hAnsi="Courier New" w:cs="Times New Roman" w:hint="default"/>
      </w:rPr>
    </w:lvl>
    <w:lvl w:ilvl="8" w:tplc="17A0CF8A">
      <w:start w:val="1"/>
      <w:numFmt w:val="bullet"/>
      <w:lvlText w:val=""/>
      <w:lvlJc w:val="left"/>
      <w:pPr>
        <w:ind w:left="6480" w:hanging="360"/>
      </w:pPr>
      <w:rPr>
        <w:rFonts w:ascii="Wingdings" w:hAnsi="Wingdings" w:hint="default"/>
      </w:rPr>
    </w:lvl>
  </w:abstractNum>
  <w:abstractNum w:abstractNumId="30" w15:restartNumberingAfterBreak="0">
    <w:nsid w:val="41BB66DE"/>
    <w:multiLevelType w:val="hybridMultilevel"/>
    <w:tmpl w:val="63F07C74"/>
    <w:lvl w:ilvl="0" w:tplc="CA1059A8">
      <w:start w:val="1"/>
      <w:numFmt w:val="bullet"/>
      <w:lvlText w:val=""/>
      <w:lvlJc w:val="left"/>
      <w:pPr>
        <w:ind w:left="1080" w:hanging="360"/>
      </w:pPr>
      <w:rPr>
        <w:rFonts w:ascii="Symbol" w:hAnsi="Symbol" w:hint="default"/>
      </w:rPr>
    </w:lvl>
    <w:lvl w:ilvl="1" w:tplc="FC8A06AC" w:tentative="1">
      <w:start w:val="1"/>
      <w:numFmt w:val="bullet"/>
      <w:lvlText w:val="o"/>
      <w:lvlJc w:val="left"/>
      <w:pPr>
        <w:ind w:left="1800" w:hanging="360"/>
      </w:pPr>
      <w:rPr>
        <w:rFonts w:ascii="Courier New" w:hAnsi="Courier New" w:hint="default"/>
      </w:rPr>
    </w:lvl>
    <w:lvl w:ilvl="2" w:tplc="40BCBD2C" w:tentative="1">
      <w:start w:val="1"/>
      <w:numFmt w:val="bullet"/>
      <w:lvlText w:val=""/>
      <w:lvlJc w:val="left"/>
      <w:pPr>
        <w:ind w:left="2520" w:hanging="360"/>
      </w:pPr>
      <w:rPr>
        <w:rFonts w:ascii="Wingdings" w:hAnsi="Wingdings" w:hint="default"/>
      </w:rPr>
    </w:lvl>
    <w:lvl w:ilvl="3" w:tplc="DBDE7BA6" w:tentative="1">
      <w:start w:val="1"/>
      <w:numFmt w:val="bullet"/>
      <w:lvlText w:val=""/>
      <w:lvlJc w:val="left"/>
      <w:pPr>
        <w:ind w:left="3240" w:hanging="360"/>
      </w:pPr>
      <w:rPr>
        <w:rFonts w:ascii="Symbol" w:hAnsi="Symbol" w:hint="default"/>
      </w:rPr>
    </w:lvl>
    <w:lvl w:ilvl="4" w:tplc="0F22EB26" w:tentative="1">
      <w:start w:val="1"/>
      <w:numFmt w:val="bullet"/>
      <w:lvlText w:val="o"/>
      <w:lvlJc w:val="left"/>
      <w:pPr>
        <w:ind w:left="3960" w:hanging="360"/>
      </w:pPr>
      <w:rPr>
        <w:rFonts w:ascii="Courier New" w:hAnsi="Courier New" w:hint="default"/>
      </w:rPr>
    </w:lvl>
    <w:lvl w:ilvl="5" w:tplc="B6AEBAA6" w:tentative="1">
      <w:start w:val="1"/>
      <w:numFmt w:val="bullet"/>
      <w:lvlText w:val=""/>
      <w:lvlJc w:val="left"/>
      <w:pPr>
        <w:ind w:left="4680" w:hanging="360"/>
      </w:pPr>
      <w:rPr>
        <w:rFonts w:ascii="Wingdings" w:hAnsi="Wingdings" w:hint="default"/>
      </w:rPr>
    </w:lvl>
    <w:lvl w:ilvl="6" w:tplc="28C8F2D0" w:tentative="1">
      <w:start w:val="1"/>
      <w:numFmt w:val="bullet"/>
      <w:lvlText w:val=""/>
      <w:lvlJc w:val="left"/>
      <w:pPr>
        <w:ind w:left="5400" w:hanging="360"/>
      </w:pPr>
      <w:rPr>
        <w:rFonts w:ascii="Symbol" w:hAnsi="Symbol" w:hint="default"/>
      </w:rPr>
    </w:lvl>
    <w:lvl w:ilvl="7" w:tplc="C5026C98" w:tentative="1">
      <w:start w:val="1"/>
      <w:numFmt w:val="bullet"/>
      <w:lvlText w:val="o"/>
      <w:lvlJc w:val="left"/>
      <w:pPr>
        <w:ind w:left="6120" w:hanging="360"/>
      </w:pPr>
      <w:rPr>
        <w:rFonts w:ascii="Courier New" w:hAnsi="Courier New" w:hint="default"/>
      </w:rPr>
    </w:lvl>
    <w:lvl w:ilvl="8" w:tplc="8C58B418" w:tentative="1">
      <w:start w:val="1"/>
      <w:numFmt w:val="bullet"/>
      <w:lvlText w:val=""/>
      <w:lvlJc w:val="left"/>
      <w:pPr>
        <w:ind w:left="6840" w:hanging="360"/>
      </w:pPr>
      <w:rPr>
        <w:rFonts w:ascii="Wingdings" w:hAnsi="Wingdings" w:hint="default"/>
      </w:rPr>
    </w:lvl>
  </w:abstractNum>
  <w:abstractNum w:abstractNumId="31" w15:restartNumberingAfterBreak="0">
    <w:nsid w:val="42E16A6F"/>
    <w:multiLevelType w:val="hybridMultilevel"/>
    <w:tmpl w:val="DBEEC120"/>
    <w:lvl w:ilvl="0" w:tplc="072A37E2">
      <w:start w:val="1"/>
      <w:numFmt w:val="bullet"/>
      <w:lvlText w:val=""/>
      <w:lvlJc w:val="left"/>
      <w:pPr>
        <w:ind w:left="720" w:hanging="360"/>
      </w:pPr>
      <w:rPr>
        <w:rFonts w:ascii="Symbol" w:hAnsi="Symbol" w:hint="default"/>
      </w:rPr>
    </w:lvl>
    <w:lvl w:ilvl="1" w:tplc="3B268EDA" w:tentative="1">
      <w:start w:val="1"/>
      <w:numFmt w:val="bullet"/>
      <w:lvlText w:val="o"/>
      <w:lvlJc w:val="left"/>
      <w:pPr>
        <w:ind w:left="1440" w:hanging="360"/>
      </w:pPr>
      <w:rPr>
        <w:rFonts w:ascii="Courier New" w:hAnsi="Courier New" w:hint="default"/>
      </w:rPr>
    </w:lvl>
    <w:lvl w:ilvl="2" w:tplc="E1344478" w:tentative="1">
      <w:start w:val="1"/>
      <w:numFmt w:val="bullet"/>
      <w:lvlText w:val=""/>
      <w:lvlJc w:val="left"/>
      <w:pPr>
        <w:ind w:left="2160" w:hanging="360"/>
      </w:pPr>
      <w:rPr>
        <w:rFonts w:ascii="Wingdings" w:hAnsi="Wingdings" w:hint="default"/>
      </w:rPr>
    </w:lvl>
    <w:lvl w:ilvl="3" w:tplc="0BB0AE12" w:tentative="1">
      <w:start w:val="1"/>
      <w:numFmt w:val="bullet"/>
      <w:lvlText w:val=""/>
      <w:lvlJc w:val="left"/>
      <w:pPr>
        <w:ind w:left="2880" w:hanging="360"/>
      </w:pPr>
      <w:rPr>
        <w:rFonts w:ascii="Symbol" w:hAnsi="Symbol" w:hint="default"/>
      </w:rPr>
    </w:lvl>
    <w:lvl w:ilvl="4" w:tplc="945AE9EE" w:tentative="1">
      <w:start w:val="1"/>
      <w:numFmt w:val="bullet"/>
      <w:lvlText w:val="o"/>
      <w:lvlJc w:val="left"/>
      <w:pPr>
        <w:ind w:left="3600" w:hanging="360"/>
      </w:pPr>
      <w:rPr>
        <w:rFonts w:ascii="Courier New" w:hAnsi="Courier New" w:hint="default"/>
      </w:rPr>
    </w:lvl>
    <w:lvl w:ilvl="5" w:tplc="E1BA195E" w:tentative="1">
      <w:start w:val="1"/>
      <w:numFmt w:val="bullet"/>
      <w:lvlText w:val=""/>
      <w:lvlJc w:val="left"/>
      <w:pPr>
        <w:ind w:left="4320" w:hanging="360"/>
      </w:pPr>
      <w:rPr>
        <w:rFonts w:ascii="Wingdings" w:hAnsi="Wingdings" w:hint="default"/>
      </w:rPr>
    </w:lvl>
    <w:lvl w:ilvl="6" w:tplc="AA96E06C" w:tentative="1">
      <w:start w:val="1"/>
      <w:numFmt w:val="bullet"/>
      <w:lvlText w:val=""/>
      <w:lvlJc w:val="left"/>
      <w:pPr>
        <w:ind w:left="5040" w:hanging="360"/>
      </w:pPr>
      <w:rPr>
        <w:rFonts w:ascii="Symbol" w:hAnsi="Symbol" w:hint="default"/>
      </w:rPr>
    </w:lvl>
    <w:lvl w:ilvl="7" w:tplc="499A064E" w:tentative="1">
      <w:start w:val="1"/>
      <w:numFmt w:val="bullet"/>
      <w:lvlText w:val="o"/>
      <w:lvlJc w:val="left"/>
      <w:pPr>
        <w:ind w:left="5760" w:hanging="360"/>
      </w:pPr>
      <w:rPr>
        <w:rFonts w:ascii="Courier New" w:hAnsi="Courier New" w:hint="default"/>
      </w:rPr>
    </w:lvl>
    <w:lvl w:ilvl="8" w:tplc="3C48F2BC" w:tentative="1">
      <w:start w:val="1"/>
      <w:numFmt w:val="bullet"/>
      <w:lvlText w:val=""/>
      <w:lvlJc w:val="left"/>
      <w:pPr>
        <w:ind w:left="6480" w:hanging="360"/>
      </w:pPr>
      <w:rPr>
        <w:rFonts w:ascii="Wingdings" w:hAnsi="Wingdings" w:hint="default"/>
      </w:rPr>
    </w:lvl>
  </w:abstractNum>
  <w:abstractNum w:abstractNumId="32" w15:restartNumberingAfterBreak="0">
    <w:nsid w:val="44064BEB"/>
    <w:multiLevelType w:val="hybridMultilevel"/>
    <w:tmpl w:val="B8062C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5785B61"/>
    <w:multiLevelType w:val="hybridMultilevel"/>
    <w:tmpl w:val="0F6C0B4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4863522B"/>
    <w:multiLevelType w:val="hybridMultilevel"/>
    <w:tmpl w:val="E1C007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8DD0863"/>
    <w:multiLevelType w:val="hybridMultilevel"/>
    <w:tmpl w:val="DC3201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B135436"/>
    <w:multiLevelType w:val="hybridMultilevel"/>
    <w:tmpl w:val="E924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202BF4"/>
    <w:multiLevelType w:val="hybridMultilevel"/>
    <w:tmpl w:val="8BD84E1A"/>
    <w:lvl w:ilvl="0" w:tplc="E85A4C88">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DF27402"/>
    <w:multiLevelType w:val="hybridMultilevel"/>
    <w:tmpl w:val="8EB8BF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4F536034"/>
    <w:multiLevelType w:val="hybridMultilevel"/>
    <w:tmpl w:val="45DA482A"/>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500B02AD"/>
    <w:multiLevelType w:val="hybridMultilevel"/>
    <w:tmpl w:val="9B660C68"/>
    <w:lvl w:ilvl="0" w:tplc="D93C5624">
      <w:start w:val="1"/>
      <w:numFmt w:val="bullet"/>
      <w:lvlText w:val=""/>
      <w:lvlJc w:val="left"/>
      <w:pPr>
        <w:ind w:left="720" w:hanging="360"/>
      </w:pPr>
      <w:rPr>
        <w:rFonts w:ascii="Symbol" w:hAnsi="Symbol" w:hint="default"/>
      </w:rPr>
    </w:lvl>
    <w:lvl w:ilvl="1" w:tplc="3D380C18" w:tentative="1">
      <w:start w:val="1"/>
      <w:numFmt w:val="bullet"/>
      <w:lvlText w:val="o"/>
      <w:lvlJc w:val="left"/>
      <w:pPr>
        <w:ind w:left="1440" w:hanging="360"/>
      </w:pPr>
      <w:rPr>
        <w:rFonts w:ascii="Courier New" w:hAnsi="Courier New" w:hint="default"/>
      </w:rPr>
    </w:lvl>
    <w:lvl w:ilvl="2" w:tplc="59801262" w:tentative="1">
      <w:start w:val="1"/>
      <w:numFmt w:val="bullet"/>
      <w:lvlText w:val=""/>
      <w:lvlJc w:val="left"/>
      <w:pPr>
        <w:ind w:left="2160" w:hanging="360"/>
      </w:pPr>
      <w:rPr>
        <w:rFonts w:ascii="Wingdings" w:hAnsi="Wingdings" w:hint="default"/>
      </w:rPr>
    </w:lvl>
    <w:lvl w:ilvl="3" w:tplc="9968A13C" w:tentative="1">
      <w:start w:val="1"/>
      <w:numFmt w:val="bullet"/>
      <w:lvlText w:val=""/>
      <w:lvlJc w:val="left"/>
      <w:pPr>
        <w:ind w:left="2880" w:hanging="360"/>
      </w:pPr>
      <w:rPr>
        <w:rFonts w:ascii="Symbol" w:hAnsi="Symbol" w:hint="default"/>
      </w:rPr>
    </w:lvl>
    <w:lvl w:ilvl="4" w:tplc="14CC300C" w:tentative="1">
      <w:start w:val="1"/>
      <w:numFmt w:val="bullet"/>
      <w:lvlText w:val="o"/>
      <w:lvlJc w:val="left"/>
      <w:pPr>
        <w:ind w:left="3600" w:hanging="360"/>
      </w:pPr>
      <w:rPr>
        <w:rFonts w:ascii="Courier New" w:hAnsi="Courier New" w:hint="default"/>
      </w:rPr>
    </w:lvl>
    <w:lvl w:ilvl="5" w:tplc="AC583240" w:tentative="1">
      <w:start w:val="1"/>
      <w:numFmt w:val="bullet"/>
      <w:lvlText w:val=""/>
      <w:lvlJc w:val="left"/>
      <w:pPr>
        <w:ind w:left="4320" w:hanging="360"/>
      </w:pPr>
      <w:rPr>
        <w:rFonts w:ascii="Wingdings" w:hAnsi="Wingdings" w:hint="default"/>
      </w:rPr>
    </w:lvl>
    <w:lvl w:ilvl="6" w:tplc="3D264C92" w:tentative="1">
      <w:start w:val="1"/>
      <w:numFmt w:val="bullet"/>
      <w:lvlText w:val=""/>
      <w:lvlJc w:val="left"/>
      <w:pPr>
        <w:ind w:left="5040" w:hanging="360"/>
      </w:pPr>
      <w:rPr>
        <w:rFonts w:ascii="Symbol" w:hAnsi="Symbol" w:hint="default"/>
      </w:rPr>
    </w:lvl>
    <w:lvl w:ilvl="7" w:tplc="FE3289F6" w:tentative="1">
      <w:start w:val="1"/>
      <w:numFmt w:val="bullet"/>
      <w:lvlText w:val="o"/>
      <w:lvlJc w:val="left"/>
      <w:pPr>
        <w:ind w:left="5760" w:hanging="360"/>
      </w:pPr>
      <w:rPr>
        <w:rFonts w:ascii="Courier New" w:hAnsi="Courier New" w:hint="default"/>
      </w:rPr>
    </w:lvl>
    <w:lvl w:ilvl="8" w:tplc="37DAF7FA" w:tentative="1">
      <w:start w:val="1"/>
      <w:numFmt w:val="bullet"/>
      <w:lvlText w:val=""/>
      <w:lvlJc w:val="left"/>
      <w:pPr>
        <w:ind w:left="6480" w:hanging="360"/>
      </w:pPr>
      <w:rPr>
        <w:rFonts w:ascii="Wingdings" w:hAnsi="Wingdings" w:hint="default"/>
      </w:rPr>
    </w:lvl>
  </w:abstractNum>
  <w:abstractNum w:abstractNumId="41" w15:restartNumberingAfterBreak="0">
    <w:nsid w:val="523E6CC6"/>
    <w:multiLevelType w:val="hybridMultilevel"/>
    <w:tmpl w:val="472CC748"/>
    <w:lvl w:ilvl="0" w:tplc="4B0EB22A">
      <w:start w:val="1"/>
      <w:numFmt w:val="bullet"/>
      <w:lvlText w:val=""/>
      <w:lvlJc w:val="left"/>
      <w:pPr>
        <w:ind w:left="720" w:hanging="360"/>
      </w:pPr>
      <w:rPr>
        <w:rFonts w:ascii="Symbol" w:hAnsi="Symbol" w:hint="default"/>
      </w:rPr>
    </w:lvl>
    <w:lvl w:ilvl="1" w:tplc="9748262E" w:tentative="1">
      <w:start w:val="1"/>
      <w:numFmt w:val="bullet"/>
      <w:lvlText w:val="o"/>
      <w:lvlJc w:val="left"/>
      <w:pPr>
        <w:ind w:left="1440" w:hanging="360"/>
      </w:pPr>
      <w:rPr>
        <w:rFonts w:ascii="Courier New" w:hAnsi="Courier New" w:hint="default"/>
      </w:rPr>
    </w:lvl>
    <w:lvl w:ilvl="2" w:tplc="1AEA0146" w:tentative="1">
      <w:start w:val="1"/>
      <w:numFmt w:val="bullet"/>
      <w:lvlText w:val=""/>
      <w:lvlJc w:val="left"/>
      <w:pPr>
        <w:ind w:left="2160" w:hanging="360"/>
      </w:pPr>
      <w:rPr>
        <w:rFonts w:ascii="Wingdings" w:hAnsi="Wingdings" w:hint="default"/>
      </w:rPr>
    </w:lvl>
    <w:lvl w:ilvl="3" w:tplc="3B38606C" w:tentative="1">
      <w:start w:val="1"/>
      <w:numFmt w:val="bullet"/>
      <w:lvlText w:val=""/>
      <w:lvlJc w:val="left"/>
      <w:pPr>
        <w:ind w:left="2880" w:hanging="360"/>
      </w:pPr>
      <w:rPr>
        <w:rFonts w:ascii="Symbol" w:hAnsi="Symbol" w:hint="default"/>
      </w:rPr>
    </w:lvl>
    <w:lvl w:ilvl="4" w:tplc="8DAA244E" w:tentative="1">
      <w:start w:val="1"/>
      <w:numFmt w:val="bullet"/>
      <w:lvlText w:val="o"/>
      <w:lvlJc w:val="left"/>
      <w:pPr>
        <w:ind w:left="3600" w:hanging="360"/>
      </w:pPr>
      <w:rPr>
        <w:rFonts w:ascii="Courier New" w:hAnsi="Courier New" w:hint="default"/>
      </w:rPr>
    </w:lvl>
    <w:lvl w:ilvl="5" w:tplc="09AA06DC" w:tentative="1">
      <w:start w:val="1"/>
      <w:numFmt w:val="bullet"/>
      <w:lvlText w:val=""/>
      <w:lvlJc w:val="left"/>
      <w:pPr>
        <w:ind w:left="4320" w:hanging="360"/>
      </w:pPr>
      <w:rPr>
        <w:rFonts w:ascii="Wingdings" w:hAnsi="Wingdings" w:hint="default"/>
      </w:rPr>
    </w:lvl>
    <w:lvl w:ilvl="6" w:tplc="65141D4A" w:tentative="1">
      <w:start w:val="1"/>
      <w:numFmt w:val="bullet"/>
      <w:lvlText w:val=""/>
      <w:lvlJc w:val="left"/>
      <w:pPr>
        <w:ind w:left="5040" w:hanging="360"/>
      </w:pPr>
      <w:rPr>
        <w:rFonts w:ascii="Symbol" w:hAnsi="Symbol" w:hint="default"/>
      </w:rPr>
    </w:lvl>
    <w:lvl w:ilvl="7" w:tplc="02002018" w:tentative="1">
      <w:start w:val="1"/>
      <w:numFmt w:val="bullet"/>
      <w:lvlText w:val="o"/>
      <w:lvlJc w:val="left"/>
      <w:pPr>
        <w:ind w:left="5760" w:hanging="360"/>
      </w:pPr>
      <w:rPr>
        <w:rFonts w:ascii="Courier New" w:hAnsi="Courier New" w:hint="default"/>
      </w:rPr>
    </w:lvl>
    <w:lvl w:ilvl="8" w:tplc="A0BA91CC" w:tentative="1">
      <w:start w:val="1"/>
      <w:numFmt w:val="bullet"/>
      <w:lvlText w:val=""/>
      <w:lvlJc w:val="left"/>
      <w:pPr>
        <w:ind w:left="6480" w:hanging="360"/>
      </w:pPr>
      <w:rPr>
        <w:rFonts w:ascii="Wingdings" w:hAnsi="Wingdings" w:hint="default"/>
      </w:rPr>
    </w:lvl>
  </w:abstractNum>
  <w:abstractNum w:abstractNumId="42" w15:restartNumberingAfterBreak="0">
    <w:nsid w:val="5ACB6CA5"/>
    <w:multiLevelType w:val="hybridMultilevel"/>
    <w:tmpl w:val="9CE44D26"/>
    <w:lvl w:ilvl="0" w:tplc="4C9457FC">
      <w:start w:val="1"/>
      <w:numFmt w:val="bullet"/>
      <w:lvlText w:val=""/>
      <w:lvlJc w:val="left"/>
      <w:pPr>
        <w:ind w:left="720" w:hanging="360"/>
      </w:pPr>
      <w:rPr>
        <w:rFonts w:ascii="Symbol" w:hAnsi="Symbol" w:hint="default"/>
      </w:rPr>
    </w:lvl>
    <w:lvl w:ilvl="1" w:tplc="C2B4225E" w:tentative="1">
      <w:start w:val="1"/>
      <w:numFmt w:val="bullet"/>
      <w:lvlText w:val="o"/>
      <w:lvlJc w:val="left"/>
      <w:pPr>
        <w:ind w:left="1440" w:hanging="360"/>
      </w:pPr>
      <w:rPr>
        <w:rFonts w:ascii="Courier New" w:hAnsi="Courier New" w:hint="default"/>
      </w:rPr>
    </w:lvl>
    <w:lvl w:ilvl="2" w:tplc="BB7276DA" w:tentative="1">
      <w:start w:val="1"/>
      <w:numFmt w:val="bullet"/>
      <w:lvlText w:val=""/>
      <w:lvlJc w:val="left"/>
      <w:pPr>
        <w:ind w:left="2160" w:hanging="360"/>
      </w:pPr>
      <w:rPr>
        <w:rFonts w:ascii="Wingdings" w:hAnsi="Wingdings" w:hint="default"/>
      </w:rPr>
    </w:lvl>
    <w:lvl w:ilvl="3" w:tplc="E60C20A0" w:tentative="1">
      <w:start w:val="1"/>
      <w:numFmt w:val="bullet"/>
      <w:lvlText w:val=""/>
      <w:lvlJc w:val="left"/>
      <w:pPr>
        <w:ind w:left="2880" w:hanging="360"/>
      </w:pPr>
      <w:rPr>
        <w:rFonts w:ascii="Symbol" w:hAnsi="Symbol" w:hint="default"/>
      </w:rPr>
    </w:lvl>
    <w:lvl w:ilvl="4" w:tplc="216468A2" w:tentative="1">
      <w:start w:val="1"/>
      <w:numFmt w:val="bullet"/>
      <w:lvlText w:val="o"/>
      <w:lvlJc w:val="left"/>
      <w:pPr>
        <w:ind w:left="3600" w:hanging="360"/>
      </w:pPr>
      <w:rPr>
        <w:rFonts w:ascii="Courier New" w:hAnsi="Courier New" w:hint="default"/>
      </w:rPr>
    </w:lvl>
    <w:lvl w:ilvl="5" w:tplc="A1D4AAD0" w:tentative="1">
      <w:start w:val="1"/>
      <w:numFmt w:val="bullet"/>
      <w:lvlText w:val=""/>
      <w:lvlJc w:val="left"/>
      <w:pPr>
        <w:ind w:left="4320" w:hanging="360"/>
      </w:pPr>
      <w:rPr>
        <w:rFonts w:ascii="Wingdings" w:hAnsi="Wingdings" w:hint="default"/>
      </w:rPr>
    </w:lvl>
    <w:lvl w:ilvl="6" w:tplc="641CF9FC" w:tentative="1">
      <w:start w:val="1"/>
      <w:numFmt w:val="bullet"/>
      <w:lvlText w:val=""/>
      <w:lvlJc w:val="left"/>
      <w:pPr>
        <w:ind w:left="5040" w:hanging="360"/>
      </w:pPr>
      <w:rPr>
        <w:rFonts w:ascii="Symbol" w:hAnsi="Symbol" w:hint="default"/>
      </w:rPr>
    </w:lvl>
    <w:lvl w:ilvl="7" w:tplc="CDB65238" w:tentative="1">
      <w:start w:val="1"/>
      <w:numFmt w:val="bullet"/>
      <w:lvlText w:val="o"/>
      <w:lvlJc w:val="left"/>
      <w:pPr>
        <w:ind w:left="5760" w:hanging="360"/>
      </w:pPr>
      <w:rPr>
        <w:rFonts w:ascii="Courier New" w:hAnsi="Courier New" w:hint="default"/>
      </w:rPr>
    </w:lvl>
    <w:lvl w:ilvl="8" w:tplc="B998A17C" w:tentative="1">
      <w:start w:val="1"/>
      <w:numFmt w:val="bullet"/>
      <w:lvlText w:val=""/>
      <w:lvlJc w:val="left"/>
      <w:pPr>
        <w:ind w:left="6480" w:hanging="360"/>
      </w:pPr>
      <w:rPr>
        <w:rFonts w:ascii="Wingdings" w:hAnsi="Wingdings" w:hint="default"/>
      </w:rPr>
    </w:lvl>
  </w:abstractNum>
  <w:abstractNum w:abstractNumId="43" w15:restartNumberingAfterBreak="0">
    <w:nsid w:val="5BC155B5"/>
    <w:multiLevelType w:val="hybridMultilevel"/>
    <w:tmpl w:val="F47AB004"/>
    <w:styleLink w:val="1ai"/>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5" w15:restartNumberingAfterBreak="0">
    <w:nsid w:val="64E6223C"/>
    <w:multiLevelType w:val="hybridMultilevel"/>
    <w:tmpl w:val="6A387328"/>
    <w:styleLink w:val="BulletList"/>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68526EF3"/>
    <w:multiLevelType w:val="hybridMultilevel"/>
    <w:tmpl w:val="9B602E88"/>
    <w:styleLink w:val="adeListeBulletseinfach"/>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6AB278F9"/>
    <w:multiLevelType w:val="hybridMultilevel"/>
    <w:tmpl w:val="7DDE1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E806874"/>
    <w:multiLevelType w:val="hybridMultilevel"/>
    <w:tmpl w:val="0DD4E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EB30B7B"/>
    <w:multiLevelType w:val="hybridMultilevel"/>
    <w:tmpl w:val="4DAC1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2C950F7"/>
    <w:multiLevelType w:val="multilevel"/>
    <w:tmpl w:val="3B9E6A38"/>
    <w:lvl w:ilvl="0">
      <w:start w:val="1"/>
      <w:numFmt w:val="decimal"/>
      <w:pStyle w:val="Heading10"/>
      <w:lvlText w:val="%1"/>
      <w:lvlJc w:val="left"/>
      <w:pPr>
        <w:ind w:left="0" w:firstLine="0"/>
      </w:pPr>
      <w:rPr>
        <w:rFonts w:ascii="Arial" w:hAnsi="Arial" w:hint="default"/>
      </w:rPr>
    </w:lvl>
    <w:lvl w:ilvl="1">
      <w:start w:val="1"/>
      <w:numFmt w:val="decimal"/>
      <w:pStyle w:val="Heading20"/>
      <w:lvlText w:val="%1.%2"/>
      <w:lvlJc w:val="left"/>
      <w:pPr>
        <w:ind w:left="0" w:firstLine="0"/>
      </w:pPr>
    </w:lvl>
    <w:lvl w:ilvl="2">
      <w:start w:val="1"/>
      <w:numFmt w:val="decimal"/>
      <w:pStyle w:val="Heading30"/>
      <w:lvlText w:val="%1.%2.%3"/>
      <w:lvlJc w:val="left"/>
      <w:pPr>
        <w:ind w:left="0" w:firstLine="0"/>
      </w:pPr>
      <w:rPr>
        <w:b/>
        <w:bCs/>
        <w:i w:val="0"/>
        <w:iCs w:val="0"/>
      </w:rPr>
    </w:lvl>
    <w:lvl w:ilvl="3">
      <w:start w:val="1"/>
      <w:numFmt w:val="decimal"/>
      <w:pStyle w:val="Heading40"/>
      <w:lvlText w:val="%1.%2.%3.%4"/>
      <w:lvlJc w:val="left"/>
      <w:pPr>
        <w:ind w:left="709" w:firstLine="0"/>
      </w:pPr>
      <w:rPr>
        <w:b w:val="0"/>
        <w:bCs w:val="0"/>
        <w:i/>
        <w:i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1" w:hanging="361"/>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2CB24A8"/>
    <w:multiLevelType w:val="hybridMultilevel"/>
    <w:tmpl w:val="B276E84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2" w15:restartNumberingAfterBreak="0">
    <w:nsid w:val="779E30C5"/>
    <w:multiLevelType w:val="hybridMultilevel"/>
    <w:tmpl w:val="98CAE34A"/>
    <w:lvl w:ilvl="0" w:tplc="1F683592">
      <w:start w:val="1"/>
      <w:numFmt w:val="bullet"/>
      <w:lvlText w:val=""/>
      <w:lvlJc w:val="left"/>
      <w:pPr>
        <w:ind w:left="720" w:hanging="360"/>
      </w:pPr>
      <w:rPr>
        <w:rFonts w:ascii="Symbol" w:hAnsi="Symbol" w:hint="default"/>
      </w:rPr>
    </w:lvl>
    <w:lvl w:ilvl="1" w:tplc="7DB2ACBE" w:tentative="1">
      <w:start w:val="1"/>
      <w:numFmt w:val="bullet"/>
      <w:lvlText w:val="o"/>
      <w:lvlJc w:val="left"/>
      <w:pPr>
        <w:ind w:left="1440" w:hanging="360"/>
      </w:pPr>
      <w:rPr>
        <w:rFonts w:ascii="Courier New" w:hAnsi="Courier New" w:hint="default"/>
      </w:rPr>
    </w:lvl>
    <w:lvl w:ilvl="2" w:tplc="9086E1E2" w:tentative="1">
      <w:start w:val="1"/>
      <w:numFmt w:val="bullet"/>
      <w:lvlText w:val=""/>
      <w:lvlJc w:val="left"/>
      <w:pPr>
        <w:ind w:left="2160" w:hanging="360"/>
      </w:pPr>
      <w:rPr>
        <w:rFonts w:ascii="Wingdings" w:hAnsi="Wingdings" w:hint="default"/>
      </w:rPr>
    </w:lvl>
    <w:lvl w:ilvl="3" w:tplc="5CD4CBE0" w:tentative="1">
      <w:start w:val="1"/>
      <w:numFmt w:val="bullet"/>
      <w:lvlText w:val=""/>
      <w:lvlJc w:val="left"/>
      <w:pPr>
        <w:ind w:left="2880" w:hanging="360"/>
      </w:pPr>
      <w:rPr>
        <w:rFonts w:ascii="Symbol" w:hAnsi="Symbol" w:hint="default"/>
      </w:rPr>
    </w:lvl>
    <w:lvl w:ilvl="4" w:tplc="01DA5EF6" w:tentative="1">
      <w:start w:val="1"/>
      <w:numFmt w:val="bullet"/>
      <w:lvlText w:val="o"/>
      <w:lvlJc w:val="left"/>
      <w:pPr>
        <w:ind w:left="3600" w:hanging="360"/>
      </w:pPr>
      <w:rPr>
        <w:rFonts w:ascii="Courier New" w:hAnsi="Courier New" w:hint="default"/>
      </w:rPr>
    </w:lvl>
    <w:lvl w:ilvl="5" w:tplc="9FE0F79E" w:tentative="1">
      <w:start w:val="1"/>
      <w:numFmt w:val="bullet"/>
      <w:lvlText w:val=""/>
      <w:lvlJc w:val="left"/>
      <w:pPr>
        <w:ind w:left="4320" w:hanging="360"/>
      </w:pPr>
      <w:rPr>
        <w:rFonts w:ascii="Wingdings" w:hAnsi="Wingdings" w:hint="default"/>
      </w:rPr>
    </w:lvl>
    <w:lvl w:ilvl="6" w:tplc="E9C006BC" w:tentative="1">
      <w:start w:val="1"/>
      <w:numFmt w:val="bullet"/>
      <w:lvlText w:val=""/>
      <w:lvlJc w:val="left"/>
      <w:pPr>
        <w:ind w:left="5040" w:hanging="360"/>
      </w:pPr>
      <w:rPr>
        <w:rFonts w:ascii="Symbol" w:hAnsi="Symbol" w:hint="default"/>
      </w:rPr>
    </w:lvl>
    <w:lvl w:ilvl="7" w:tplc="D6224CDA" w:tentative="1">
      <w:start w:val="1"/>
      <w:numFmt w:val="bullet"/>
      <w:lvlText w:val="o"/>
      <w:lvlJc w:val="left"/>
      <w:pPr>
        <w:ind w:left="5760" w:hanging="360"/>
      </w:pPr>
      <w:rPr>
        <w:rFonts w:ascii="Courier New" w:hAnsi="Courier New" w:hint="default"/>
      </w:rPr>
    </w:lvl>
    <w:lvl w:ilvl="8" w:tplc="C4A2112C" w:tentative="1">
      <w:start w:val="1"/>
      <w:numFmt w:val="bullet"/>
      <w:lvlText w:val=""/>
      <w:lvlJc w:val="left"/>
      <w:pPr>
        <w:ind w:left="6480" w:hanging="360"/>
      </w:pPr>
      <w:rPr>
        <w:rFonts w:ascii="Wingdings" w:hAnsi="Wingdings" w:hint="default"/>
      </w:rPr>
    </w:lvl>
  </w:abstractNum>
  <w:abstractNum w:abstractNumId="53" w15:restartNumberingAfterBreak="0">
    <w:nsid w:val="791E54AF"/>
    <w:multiLevelType w:val="hybridMultilevel"/>
    <w:tmpl w:val="2EE0B2AC"/>
    <w:lvl w:ilvl="0" w:tplc="4AEE1158">
      <w:start w:val="1"/>
      <w:numFmt w:val="lowerRoman"/>
      <w:lvlText w:val="(%1)"/>
      <w:lvlJc w:val="left"/>
      <w:pPr>
        <w:ind w:left="1080" w:hanging="72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54" w15:restartNumberingAfterBreak="0">
    <w:nsid w:val="7E362C5F"/>
    <w:multiLevelType w:val="hybridMultilevel"/>
    <w:tmpl w:val="7DFED7D6"/>
    <w:styleLink w:val="1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4058887">
    <w:abstractNumId w:val="26"/>
  </w:num>
  <w:num w:numId="2" w16cid:durableId="1603953516">
    <w:abstractNumId w:val="8"/>
  </w:num>
  <w:num w:numId="3" w16cid:durableId="1198662588">
    <w:abstractNumId w:val="4"/>
  </w:num>
  <w:num w:numId="4" w16cid:durableId="492186094">
    <w:abstractNumId w:val="6"/>
  </w:num>
  <w:num w:numId="5" w16cid:durableId="44567913">
    <w:abstractNumId w:val="36"/>
  </w:num>
  <w:num w:numId="6" w16cid:durableId="1332101256">
    <w:abstractNumId w:val="46"/>
  </w:num>
  <w:num w:numId="7" w16cid:durableId="529533421">
    <w:abstractNumId w:val="43"/>
  </w:num>
  <w:num w:numId="8" w16cid:durableId="837232951">
    <w:abstractNumId w:val="54"/>
  </w:num>
  <w:num w:numId="9" w16cid:durableId="7490075">
    <w:abstractNumId w:val="45"/>
  </w:num>
  <w:num w:numId="10" w16cid:durableId="367219331">
    <w:abstractNumId w:val="25"/>
  </w:num>
  <w:num w:numId="11" w16cid:durableId="711272278">
    <w:abstractNumId w:val="16"/>
  </w:num>
  <w:num w:numId="12" w16cid:durableId="1271814132">
    <w:abstractNumId w:val="14"/>
  </w:num>
  <w:num w:numId="13" w16cid:durableId="387846384">
    <w:abstractNumId w:val="27"/>
  </w:num>
  <w:num w:numId="14" w16cid:durableId="1641416606">
    <w:abstractNumId w:val="17"/>
  </w:num>
  <w:num w:numId="15" w16cid:durableId="471413439">
    <w:abstractNumId w:val="11"/>
  </w:num>
  <w:num w:numId="16" w16cid:durableId="1836533497">
    <w:abstractNumId w:val="47"/>
  </w:num>
  <w:num w:numId="17" w16cid:durableId="1135103940">
    <w:abstractNumId w:val="24"/>
  </w:num>
  <w:num w:numId="18" w16cid:durableId="1812820274">
    <w:abstractNumId w:val="12"/>
  </w:num>
  <w:num w:numId="19" w16cid:durableId="234559682">
    <w:abstractNumId w:val="0"/>
  </w:num>
  <w:num w:numId="20" w16cid:durableId="1071584735">
    <w:abstractNumId w:val="41"/>
  </w:num>
  <w:num w:numId="21" w16cid:durableId="450053469">
    <w:abstractNumId w:val="52"/>
  </w:num>
  <w:num w:numId="22" w16cid:durableId="1728720195">
    <w:abstractNumId w:val="30"/>
  </w:num>
  <w:num w:numId="23" w16cid:durableId="787436289">
    <w:abstractNumId w:val="7"/>
  </w:num>
  <w:num w:numId="24" w16cid:durableId="762144785">
    <w:abstractNumId w:val="23"/>
  </w:num>
  <w:num w:numId="25" w16cid:durableId="1926760659">
    <w:abstractNumId w:val="40"/>
  </w:num>
  <w:num w:numId="26" w16cid:durableId="1997492502">
    <w:abstractNumId w:val="42"/>
  </w:num>
  <w:num w:numId="27" w16cid:durableId="66460307">
    <w:abstractNumId w:val="31"/>
  </w:num>
  <w:num w:numId="28" w16cid:durableId="1809854967">
    <w:abstractNumId w:val="3"/>
  </w:num>
  <w:num w:numId="29" w16cid:durableId="1995526615">
    <w:abstractNumId w:val="13"/>
  </w:num>
  <w:num w:numId="30" w16cid:durableId="217476574">
    <w:abstractNumId w:val="38"/>
  </w:num>
  <w:num w:numId="31" w16cid:durableId="82803531">
    <w:abstractNumId w:val="49"/>
  </w:num>
  <w:num w:numId="32" w16cid:durableId="1323585861">
    <w:abstractNumId w:val="50"/>
  </w:num>
  <w:num w:numId="33" w16cid:durableId="145516841">
    <w:abstractNumId w:val="18"/>
  </w:num>
  <w:num w:numId="34" w16cid:durableId="1600481595">
    <w:abstractNumId w:val="29"/>
  </w:num>
  <w:num w:numId="35" w16cid:durableId="1286691346">
    <w:abstractNumId w:val="28"/>
  </w:num>
  <w:num w:numId="36" w16cid:durableId="2049603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4454612">
    <w:abstractNumId w:val="19"/>
  </w:num>
  <w:num w:numId="38" w16cid:durableId="35739881">
    <w:abstractNumId w:val="37"/>
  </w:num>
  <w:num w:numId="39" w16cid:durableId="538275657">
    <w:abstractNumId w:val="44"/>
  </w:num>
  <w:num w:numId="40" w16cid:durableId="155852298">
    <w:abstractNumId w:val="2"/>
  </w:num>
  <w:num w:numId="41" w16cid:durableId="218176775">
    <w:abstractNumId w:val="21"/>
  </w:num>
  <w:num w:numId="42" w16cid:durableId="20355731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2306857">
    <w:abstractNumId w:val="32"/>
  </w:num>
  <w:num w:numId="44" w16cid:durableId="223490884">
    <w:abstractNumId w:val="35"/>
  </w:num>
  <w:num w:numId="45" w16cid:durableId="1407067506">
    <w:abstractNumId w:val="48"/>
  </w:num>
  <w:num w:numId="46" w16cid:durableId="533004945">
    <w:abstractNumId w:val="39"/>
  </w:num>
  <w:num w:numId="47" w16cid:durableId="1451244873">
    <w:abstractNumId w:val="34"/>
  </w:num>
  <w:num w:numId="48" w16cid:durableId="74589660">
    <w:abstractNumId w:val="15"/>
  </w:num>
  <w:num w:numId="49" w16cid:durableId="1391877920">
    <w:abstractNumId w:val="1"/>
  </w:num>
  <w:num w:numId="50" w16cid:durableId="333453997">
    <w:abstractNumId w:val="22"/>
  </w:num>
  <w:num w:numId="51" w16cid:durableId="3853738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2274989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57188625">
    <w:abstractNumId w:val="18"/>
    <w:lvlOverride w:ilvl="0">
      <w:startOverride w:val="6"/>
    </w:lvlOverride>
  </w:num>
  <w:num w:numId="54" w16cid:durableId="1730341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35572470">
    <w:abstractNumId w:val="18"/>
    <w:lvlOverride w:ilvl="0">
      <w:startOverride w:val="1"/>
    </w:lvlOverride>
  </w:num>
  <w:num w:numId="56" w16cid:durableId="89354725">
    <w:abstractNumId w:val="28"/>
    <w:lvlOverride w:ilvl="0">
      <w:startOverride w:val="1"/>
    </w:lvlOverride>
  </w:num>
  <w:num w:numId="57" w16cid:durableId="353456390">
    <w:abstractNumId w:val="33"/>
  </w:num>
  <w:num w:numId="58" w16cid:durableId="1730303152">
    <w:abstractNumId w:val="51"/>
  </w:num>
  <w:num w:numId="59" w16cid:durableId="1099372222">
    <w:abstractNumId w:val="9"/>
  </w:num>
  <w:num w:numId="60" w16cid:durableId="8928108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06785463">
    <w:abstractNumId w:val="10"/>
  </w:num>
  <w:num w:numId="62" w16cid:durableId="1337918914">
    <w:abstractNumId w:val="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hideSpellingErrors/>
  <w:hideGrammaticalErrors/>
  <w:stylePaneFormatFilter w:val="5F24" w:allStyles="0" w:customStyles="0" w:latentStyles="1" w:stylesInUse="0" w:headingStyles="1" w:numberingStyles="0" w:tableStyles="0" w:directFormattingOnRuns="1" w:directFormattingOnParagraphs="1" w:directFormattingOnNumbering="1" w:directFormattingOnTables="1" w:clearFormatting="1" w:top3HeadingStyles="0" w:visibleStyles="1" w:alternateStyleNames="0"/>
  <w:stylePaneSortMethod w:val="0004"/>
  <w:revisionView w:markup="0"/>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Accompanying the documents"/>
    <w:docVar w:name="LW_CORRIGENDUM" w:val="&lt;UNUSED&gt;"/>
    <w:docVar w:name="LW_COVERPAGE_EXISTS" w:val="True"/>
    <w:docVar w:name="LW_COVERPAGE_GUID" w:val="D20291A6-A10A-4C3D-AC9D-4FF8C85BD7C5"/>
    <w:docVar w:name="LW_COVERPAGE_TYPE" w:val="1"/>
    <w:docVar w:name="LW_CROSSREFERENCE" w:val="{COM(2026) 616 final} - {COM(2026) 619 final} - {COM(2026) 620 final} - {SEC(2026) 616 final} - {SWD(2026) 617 final} - {SWD(2026) 618 final}"/>
    <w:docVar w:name="LW_DocType" w:val="RICARDO REPORT TEMPLATE (1)"/>
    <w:docVar w:name="LW_EMISSION" w:val="17.7.2026"/>
    <w:docVar w:name="LW_EMISSION_ISODATE" w:val="2026-07-17"/>
    <w:docVar w:name="LW_EMISSION_LOCATION" w:val="BRX"/>
    <w:docVar w:name="LW_EMISSION_PREFIX" w:val="Brussels,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DIRECTIVE OF THE EUROPEAN PARLIAMENT AND OF THE COUNCIL amending Directive 2003/87/EC and Decision (EU) 2015/1814 as regards driving competitiveness and cost-effective decarbonisation _x000d__x000d__x000b__x000d__x000b_REGULATION OF THE EUROPEAN PARLIAMENT AND OF THE COUNCIL amending Directive 2003/87/EC as regards revised benchmark values for the heat and fuel benchmarks period from 2026 to 2030 _x000d__x000d__x000b__x000d__x000d__x000b_REGULATION OF THE EUROPEAN PARLIAMENT AND OF THE COUNCIL amending Regulation (EU) 2015/757 and Regulation (EU) 2023/1805 to simplify and streamline monitoring, reporting and verification and to align with revisions of the EU Emissions Trading System "/>
    <w:docVar w:name="LW_PART_NBR" w:val="4"/>
    <w:docVar w:name="LW_PART_NBR_TOTAL" w:val="5"/>
    <w:docVar w:name="LW_REF.INST.NEW" w:val="SWD"/>
    <w:docVar w:name="LW_REF.INST.NEW_ADOPTED" w:val="final"/>
    <w:docVar w:name="LW_REF.INST.NEW_TEXT" w:val="(2026) 6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
    <w:docVar w:name="LwApiVersions" w:val="LW4CoDe 1.24.5.0; LW 9.2, Build 20251112"/>
  </w:docVars>
  <w:rsids>
    <w:rsidRoot w:val="00782018"/>
    <w:rsid w:val="00000049"/>
    <w:rsid w:val="000000F9"/>
    <w:rsid w:val="0000017E"/>
    <w:rsid w:val="0000042E"/>
    <w:rsid w:val="00000544"/>
    <w:rsid w:val="0000054D"/>
    <w:rsid w:val="00000609"/>
    <w:rsid w:val="00000667"/>
    <w:rsid w:val="00000717"/>
    <w:rsid w:val="0000086A"/>
    <w:rsid w:val="000008B4"/>
    <w:rsid w:val="00000952"/>
    <w:rsid w:val="0000095E"/>
    <w:rsid w:val="00000A89"/>
    <w:rsid w:val="00000A97"/>
    <w:rsid w:val="00000B06"/>
    <w:rsid w:val="00000B1F"/>
    <w:rsid w:val="00000B49"/>
    <w:rsid w:val="00000BE9"/>
    <w:rsid w:val="00000EBC"/>
    <w:rsid w:val="00000EC1"/>
    <w:rsid w:val="00000FF2"/>
    <w:rsid w:val="00000FFF"/>
    <w:rsid w:val="000012AE"/>
    <w:rsid w:val="000012D4"/>
    <w:rsid w:val="000013A3"/>
    <w:rsid w:val="000015CB"/>
    <w:rsid w:val="000016E2"/>
    <w:rsid w:val="00001781"/>
    <w:rsid w:val="0000179B"/>
    <w:rsid w:val="000017EB"/>
    <w:rsid w:val="000018DE"/>
    <w:rsid w:val="00001919"/>
    <w:rsid w:val="00001A7B"/>
    <w:rsid w:val="00001DEE"/>
    <w:rsid w:val="00002055"/>
    <w:rsid w:val="000023CE"/>
    <w:rsid w:val="00002411"/>
    <w:rsid w:val="000024B0"/>
    <w:rsid w:val="000025C4"/>
    <w:rsid w:val="000025E7"/>
    <w:rsid w:val="000025F1"/>
    <w:rsid w:val="00002741"/>
    <w:rsid w:val="00002767"/>
    <w:rsid w:val="00002774"/>
    <w:rsid w:val="000027C5"/>
    <w:rsid w:val="00002869"/>
    <w:rsid w:val="000028D6"/>
    <w:rsid w:val="000028EC"/>
    <w:rsid w:val="0000294D"/>
    <w:rsid w:val="00002D75"/>
    <w:rsid w:val="00002DA0"/>
    <w:rsid w:val="00002F22"/>
    <w:rsid w:val="00002FD9"/>
    <w:rsid w:val="00003049"/>
    <w:rsid w:val="0000305C"/>
    <w:rsid w:val="0000323E"/>
    <w:rsid w:val="0000328A"/>
    <w:rsid w:val="00003299"/>
    <w:rsid w:val="000032FB"/>
    <w:rsid w:val="0000335F"/>
    <w:rsid w:val="00003376"/>
    <w:rsid w:val="00003475"/>
    <w:rsid w:val="00003565"/>
    <w:rsid w:val="0000361E"/>
    <w:rsid w:val="0000362D"/>
    <w:rsid w:val="00003656"/>
    <w:rsid w:val="00003A96"/>
    <w:rsid w:val="00003AFD"/>
    <w:rsid w:val="00003BD4"/>
    <w:rsid w:val="00003D45"/>
    <w:rsid w:val="00003DAC"/>
    <w:rsid w:val="00003EC3"/>
    <w:rsid w:val="000040C7"/>
    <w:rsid w:val="00004182"/>
    <w:rsid w:val="000043A9"/>
    <w:rsid w:val="00004429"/>
    <w:rsid w:val="0000478F"/>
    <w:rsid w:val="000047C0"/>
    <w:rsid w:val="000047C3"/>
    <w:rsid w:val="00004A32"/>
    <w:rsid w:val="00004BCC"/>
    <w:rsid w:val="00004D3E"/>
    <w:rsid w:val="00004DE2"/>
    <w:rsid w:val="00004E92"/>
    <w:rsid w:val="00004EAD"/>
    <w:rsid w:val="00004F5D"/>
    <w:rsid w:val="0000511C"/>
    <w:rsid w:val="00005293"/>
    <w:rsid w:val="00005339"/>
    <w:rsid w:val="000053B2"/>
    <w:rsid w:val="000055CD"/>
    <w:rsid w:val="0000572B"/>
    <w:rsid w:val="000057B2"/>
    <w:rsid w:val="000058B2"/>
    <w:rsid w:val="00005A32"/>
    <w:rsid w:val="00005B04"/>
    <w:rsid w:val="00005B1D"/>
    <w:rsid w:val="00005DD3"/>
    <w:rsid w:val="00005F49"/>
    <w:rsid w:val="0000609E"/>
    <w:rsid w:val="000062DF"/>
    <w:rsid w:val="000063CA"/>
    <w:rsid w:val="0000650E"/>
    <w:rsid w:val="0000655E"/>
    <w:rsid w:val="0000676D"/>
    <w:rsid w:val="00006789"/>
    <w:rsid w:val="00006810"/>
    <w:rsid w:val="00006821"/>
    <w:rsid w:val="0000682C"/>
    <w:rsid w:val="0000687F"/>
    <w:rsid w:val="00006AD7"/>
    <w:rsid w:val="00006AF8"/>
    <w:rsid w:val="00006B3E"/>
    <w:rsid w:val="00006BAC"/>
    <w:rsid w:val="00006C79"/>
    <w:rsid w:val="00006E12"/>
    <w:rsid w:val="00006E7E"/>
    <w:rsid w:val="00006EDE"/>
    <w:rsid w:val="0000715D"/>
    <w:rsid w:val="00007179"/>
    <w:rsid w:val="000072D0"/>
    <w:rsid w:val="000074A8"/>
    <w:rsid w:val="000075D9"/>
    <w:rsid w:val="000075ED"/>
    <w:rsid w:val="00007640"/>
    <w:rsid w:val="00007676"/>
    <w:rsid w:val="00007730"/>
    <w:rsid w:val="000078AF"/>
    <w:rsid w:val="000078CA"/>
    <w:rsid w:val="000079AB"/>
    <w:rsid w:val="000079F3"/>
    <w:rsid w:val="00007CF7"/>
    <w:rsid w:val="00007CFD"/>
    <w:rsid w:val="00007EA7"/>
    <w:rsid w:val="00007F51"/>
    <w:rsid w:val="00007FE7"/>
    <w:rsid w:val="00007FED"/>
    <w:rsid w:val="00010070"/>
    <w:rsid w:val="000100F1"/>
    <w:rsid w:val="000104A0"/>
    <w:rsid w:val="000104C7"/>
    <w:rsid w:val="000105ED"/>
    <w:rsid w:val="000106D2"/>
    <w:rsid w:val="0001071F"/>
    <w:rsid w:val="00010A16"/>
    <w:rsid w:val="00010BC7"/>
    <w:rsid w:val="00010F81"/>
    <w:rsid w:val="0001104A"/>
    <w:rsid w:val="00011081"/>
    <w:rsid w:val="000110C8"/>
    <w:rsid w:val="000111E7"/>
    <w:rsid w:val="00011263"/>
    <w:rsid w:val="000113A7"/>
    <w:rsid w:val="000114FF"/>
    <w:rsid w:val="0001153D"/>
    <w:rsid w:val="000116D9"/>
    <w:rsid w:val="000117D3"/>
    <w:rsid w:val="0001183A"/>
    <w:rsid w:val="00011843"/>
    <w:rsid w:val="0001194F"/>
    <w:rsid w:val="00011984"/>
    <w:rsid w:val="00011D0E"/>
    <w:rsid w:val="00012109"/>
    <w:rsid w:val="00012173"/>
    <w:rsid w:val="0001239B"/>
    <w:rsid w:val="000123AD"/>
    <w:rsid w:val="0001241E"/>
    <w:rsid w:val="00012456"/>
    <w:rsid w:val="000125B2"/>
    <w:rsid w:val="00012705"/>
    <w:rsid w:val="00012754"/>
    <w:rsid w:val="000129AB"/>
    <w:rsid w:val="00012AA7"/>
    <w:rsid w:val="00012B0F"/>
    <w:rsid w:val="00012C86"/>
    <w:rsid w:val="00012F86"/>
    <w:rsid w:val="0001300C"/>
    <w:rsid w:val="0001336D"/>
    <w:rsid w:val="000133B8"/>
    <w:rsid w:val="0001352F"/>
    <w:rsid w:val="00013582"/>
    <w:rsid w:val="000136DB"/>
    <w:rsid w:val="0001374B"/>
    <w:rsid w:val="0001385F"/>
    <w:rsid w:val="00013AE4"/>
    <w:rsid w:val="00013CA2"/>
    <w:rsid w:val="00013CB4"/>
    <w:rsid w:val="00013D93"/>
    <w:rsid w:val="00013E00"/>
    <w:rsid w:val="00013EC0"/>
    <w:rsid w:val="00014185"/>
    <w:rsid w:val="000141CF"/>
    <w:rsid w:val="00014228"/>
    <w:rsid w:val="00014232"/>
    <w:rsid w:val="00014297"/>
    <w:rsid w:val="000142FD"/>
    <w:rsid w:val="000143AE"/>
    <w:rsid w:val="000143F1"/>
    <w:rsid w:val="0001442F"/>
    <w:rsid w:val="00014685"/>
    <w:rsid w:val="000146C8"/>
    <w:rsid w:val="00014770"/>
    <w:rsid w:val="000147EE"/>
    <w:rsid w:val="000149A7"/>
    <w:rsid w:val="000149A9"/>
    <w:rsid w:val="000149AC"/>
    <w:rsid w:val="00014A2F"/>
    <w:rsid w:val="00014A4B"/>
    <w:rsid w:val="00014A74"/>
    <w:rsid w:val="00014B09"/>
    <w:rsid w:val="00014B8A"/>
    <w:rsid w:val="00014BC5"/>
    <w:rsid w:val="00014C08"/>
    <w:rsid w:val="00014CFE"/>
    <w:rsid w:val="00014E21"/>
    <w:rsid w:val="00014E70"/>
    <w:rsid w:val="00014E79"/>
    <w:rsid w:val="00014EBA"/>
    <w:rsid w:val="00014FEA"/>
    <w:rsid w:val="0001535C"/>
    <w:rsid w:val="0001544F"/>
    <w:rsid w:val="000155DC"/>
    <w:rsid w:val="0001563E"/>
    <w:rsid w:val="0001569C"/>
    <w:rsid w:val="000156D4"/>
    <w:rsid w:val="0001592E"/>
    <w:rsid w:val="000159D2"/>
    <w:rsid w:val="000159E2"/>
    <w:rsid w:val="000159F4"/>
    <w:rsid w:val="00015A0C"/>
    <w:rsid w:val="00015ADB"/>
    <w:rsid w:val="00015BA9"/>
    <w:rsid w:val="00015C03"/>
    <w:rsid w:val="00015C2A"/>
    <w:rsid w:val="00015C6C"/>
    <w:rsid w:val="00015E84"/>
    <w:rsid w:val="00015ED3"/>
    <w:rsid w:val="00015FAD"/>
    <w:rsid w:val="000160A3"/>
    <w:rsid w:val="00016134"/>
    <w:rsid w:val="000161A0"/>
    <w:rsid w:val="000161FA"/>
    <w:rsid w:val="00016277"/>
    <w:rsid w:val="00016356"/>
    <w:rsid w:val="00016366"/>
    <w:rsid w:val="0001636B"/>
    <w:rsid w:val="00016670"/>
    <w:rsid w:val="00016835"/>
    <w:rsid w:val="00016852"/>
    <w:rsid w:val="000168E7"/>
    <w:rsid w:val="0001697E"/>
    <w:rsid w:val="00016ACA"/>
    <w:rsid w:val="00016AF7"/>
    <w:rsid w:val="00016C1F"/>
    <w:rsid w:val="00016D2A"/>
    <w:rsid w:val="00016D64"/>
    <w:rsid w:val="00016DDE"/>
    <w:rsid w:val="00017193"/>
    <w:rsid w:val="0001726F"/>
    <w:rsid w:val="000172ED"/>
    <w:rsid w:val="00017371"/>
    <w:rsid w:val="00017464"/>
    <w:rsid w:val="00017500"/>
    <w:rsid w:val="00017552"/>
    <w:rsid w:val="000175E0"/>
    <w:rsid w:val="00017650"/>
    <w:rsid w:val="00017738"/>
    <w:rsid w:val="000177BF"/>
    <w:rsid w:val="00017960"/>
    <w:rsid w:val="000179B4"/>
    <w:rsid w:val="00017AD8"/>
    <w:rsid w:val="00017B8F"/>
    <w:rsid w:val="00017D3A"/>
    <w:rsid w:val="00017D6D"/>
    <w:rsid w:val="00017D89"/>
    <w:rsid w:val="00017DD4"/>
    <w:rsid w:val="00017E67"/>
    <w:rsid w:val="00017EEA"/>
    <w:rsid w:val="000200F4"/>
    <w:rsid w:val="00020354"/>
    <w:rsid w:val="000203AD"/>
    <w:rsid w:val="00020418"/>
    <w:rsid w:val="00020492"/>
    <w:rsid w:val="000206B8"/>
    <w:rsid w:val="0002078C"/>
    <w:rsid w:val="000209A4"/>
    <w:rsid w:val="00020AA8"/>
    <w:rsid w:val="00020CA3"/>
    <w:rsid w:val="00020CC0"/>
    <w:rsid w:val="00020D5C"/>
    <w:rsid w:val="00020DB2"/>
    <w:rsid w:val="00020DD0"/>
    <w:rsid w:val="00020E50"/>
    <w:rsid w:val="00020E8A"/>
    <w:rsid w:val="00020FD9"/>
    <w:rsid w:val="00020FF3"/>
    <w:rsid w:val="00020FF8"/>
    <w:rsid w:val="000210B6"/>
    <w:rsid w:val="00021104"/>
    <w:rsid w:val="00021156"/>
    <w:rsid w:val="0002115A"/>
    <w:rsid w:val="000211E6"/>
    <w:rsid w:val="0002135D"/>
    <w:rsid w:val="0002139B"/>
    <w:rsid w:val="000216C0"/>
    <w:rsid w:val="000216FA"/>
    <w:rsid w:val="0002185B"/>
    <w:rsid w:val="000218F5"/>
    <w:rsid w:val="00021923"/>
    <w:rsid w:val="00021996"/>
    <w:rsid w:val="00021A4D"/>
    <w:rsid w:val="00021AFE"/>
    <w:rsid w:val="00021B82"/>
    <w:rsid w:val="00021B83"/>
    <w:rsid w:val="00021B9F"/>
    <w:rsid w:val="00021C6C"/>
    <w:rsid w:val="00021D2F"/>
    <w:rsid w:val="00021DED"/>
    <w:rsid w:val="00021E28"/>
    <w:rsid w:val="00021E3F"/>
    <w:rsid w:val="00021E40"/>
    <w:rsid w:val="00021E65"/>
    <w:rsid w:val="00021EDE"/>
    <w:rsid w:val="00021FE7"/>
    <w:rsid w:val="0002215F"/>
    <w:rsid w:val="000224DE"/>
    <w:rsid w:val="0002253F"/>
    <w:rsid w:val="000225A8"/>
    <w:rsid w:val="000225E4"/>
    <w:rsid w:val="00022774"/>
    <w:rsid w:val="000228FC"/>
    <w:rsid w:val="000229F0"/>
    <w:rsid w:val="00022BEA"/>
    <w:rsid w:val="00023024"/>
    <w:rsid w:val="00023066"/>
    <w:rsid w:val="000230E5"/>
    <w:rsid w:val="0002340F"/>
    <w:rsid w:val="000234AB"/>
    <w:rsid w:val="0002350E"/>
    <w:rsid w:val="00023529"/>
    <w:rsid w:val="00023968"/>
    <w:rsid w:val="0002399F"/>
    <w:rsid w:val="000239F4"/>
    <w:rsid w:val="00023A03"/>
    <w:rsid w:val="00023C5B"/>
    <w:rsid w:val="00023DDA"/>
    <w:rsid w:val="00023E35"/>
    <w:rsid w:val="00023E6C"/>
    <w:rsid w:val="00023FA7"/>
    <w:rsid w:val="000240AC"/>
    <w:rsid w:val="0002423E"/>
    <w:rsid w:val="000244DC"/>
    <w:rsid w:val="00024516"/>
    <w:rsid w:val="00024575"/>
    <w:rsid w:val="0002459B"/>
    <w:rsid w:val="0002465D"/>
    <w:rsid w:val="00024848"/>
    <w:rsid w:val="00024857"/>
    <w:rsid w:val="00024961"/>
    <w:rsid w:val="00024988"/>
    <w:rsid w:val="000249BE"/>
    <w:rsid w:val="00024AA8"/>
    <w:rsid w:val="00024AFB"/>
    <w:rsid w:val="00024C2D"/>
    <w:rsid w:val="00024D7B"/>
    <w:rsid w:val="00024D7F"/>
    <w:rsid w:val="00024D97"/>
    <w:rsid w:val="00024ED7"/>
    <w:rsid w:val="00024F7D"/>
    <w:rsid w:val="00025100"/>
    <w:rsid w:val="0002516E"/>
    <w:rsid w:val="000252D0"/>
    <w:rsid w:val="000252D6"/>
    <w:rsid w:val="00025322"/>
    <w:rsid w:val="0002533F"/>
    <w:rsid w:val="0002539E"/>
    <w:rsid w:val="000253F2"/>
    <w:rsid w:val="00025422"/>
    <w:rsid w:val="00025433"/>
    <w:rsid w:val="00025471"/>
    <w:rsid w:val="000254A2"/>
    <w:rsid w:val="000254FA"/>
    <w:rsid w:val="00025565"/>
    <w:rsid w:val="000255E5"/>
    <w:rsid w:val="0002566C"/>
    <w:rsid w:val="00025711"/>
    <w:rsid w:val="0002577A"/>
    <w:rsid w:val="0002580C"/>
    <w:rsid w:val="00025B18"/>
    <w:rsid w:val="00025B85"/>
    <w:rsid w:val="00025C23"/>
    <w:rsid w:val="00025DB7"/>
    <w:rsid w:val="00025DF7"/>
    <w:rsid w:val="00025E55"/>
    <w:rsid w:val="00025F2E"/>
    <w:rsid w:val="00026004"/>
    <w:rsid w:val="00026026"/>
    <w:rsid w:val="0002607D"/>
    <w:rsid w:val="0002608F"/>
    <w:rsid w:val="00026128"/>
    <w:rsid w:val="000262AB"/>
    <w:rsid w:val="00026310"/>
    <w:rsid w:val="00026524"/>
    <w:rsid w:val="00026527"/>
    <w:rsid w:val="00026609"/>
    <w:rsid w:val="000267F8"/>
    <w:rsid w:val="00026AB7"/>
    <w:rsid w:val="00026D76"/>
    <w:rsid w:val="00026E1E"/>
    <w:rsid w:val="00026E5A"/>
    <w:rsid w:val="00027013"/>
    <w:rsid w:val="00027028"/>
    <w:rsid w:val="0002715F"/>
    <w:rsid w:val="000273B2"/>
    <w:rsid w:val="000274D0"/>
    <w:rsid w:val="00027571"/>
    <w:rsid w:val="00027682"/>
    <w:rsid w:val="00027700"/>
    <w:rsid w:val="000277D8"/>
    <w:rsid w:val="000277EE"/>
    <w:rsid w:val="000278D6"/>
    <w:rsid w:val="00027951"/>
    <w:rsid w:val="000279FE"/>
    <w:rsid w:val="00027DD5"/>
    <w:rsid w:val="00027E26"/>
    <w:rsid w:val="00027EC9"/>
    <w:rsid w:val="00027EF3"/>
    <w:rsid w:val="00030031"/>
    <w:rsid w:val="000300E2"/>
    <w:rsid w:val="000300FC"/>
    <w:rsid w:val="00030279"/>
    <w:rsid w:val="000302FA"/>
    <w:rsid w:val="00030305"/>
    <w:rsid w:val="00030328"/>
    <w:rsid w:val="000304D3"/>
    <w:rsid w:val="000305DB"/>
    <w:rsid w:val="0003086C"/>
    <w:rsid w:val="00030A48"/>
    <w:rsid w:val="00030B2D"/>
    <w:rsid w:val="00030B69"/>
    <w:rsid w:val="00030C19"/>
    <w:rsid w:val="00030C9B"/>
    <w:rsid w:val="00030DC1"/>
    <w:rsid w:val="00030E4A"/>
    <w:rsid w:val="00030E5D"/>
    <w:rsid w:val="00030E5F"/>
    <w:rsid w:val="00030F3A"/>
    <w:rsid w:val="00030FFA"/>
    <w:rsid w:val="00031068"/>
    <w:rsid w:val="0003128A"/>
    <w:rsid w:val="000312E4"/>
    <w:rsid w:val="000313C7"/>
    <w:rsid w:val="00031427"/>
    <w:rsid w:val="00031597"/>
    <w:rsid w:val="000315F2"/>
    <w:rsid w:val="0003178E"/>
    <w:rsid w:val="00031832"/>
    <w:rsid w:val="00031943"/>
    <w:rsid w:val="00031950"/>
    <w:rsid w:val="0003198C"/>
    <w:rsid w:val="000319E3"/>
    <w:rsid w:val="00031A32"/>
    <w:rsid w:val="00031AC8"/>
    <w:rsid w:val="00031B0A"/>
    <w:rsid w:val="00031B24"/>
    <w:rsid w:val="00031BFB"/>
    <w:rsid w:val="00031D0C"/>
    <w:rsid w:val="00031D21"/>
    <w:rsid w:val="00031E0C"/>
    <w:rsid w:val="00031ECB"/>
    <w:rsid w:val="00031FBD"/>
    <w:rsid w:val="00032101"/>
    <w:rsid w:val="00032135"/>
    <w:rsid w:val="00032306"/>
    <w:rsid w:val="0003233D"/>
    <w:rsid w:val="00032361"/>
    <w:rsid w:val="000323DA"/>
    <w:rsid w:val="00032572"/>
    <w:rsid w:val="000327A9"/>
    <w:rsid w:val="00032809"/>
    <w:rsid w:val="00032916"/>
    <w:rsid w:val="0003294A"/>
    <w:rsid w:val="00032B0F"/>
    <w:rsid w:val="00032C72"/>
    <w:rsid w:val="00032DB2"/>
    <w:rsid w:val="00032FBA"/>
    <w:rsid w:val="000330C4"/>
    <w:rsid w:val="00033175"/>
    <w:rsid w:val="000331C2"/>
    <w:rsid w:val="000331C8"/>
    <w:rsid w:val="000331FD"/>
    <w:rsid w:val="00033252"/>
    <w:rsid w:val="000336BE"/>
    <w:rsid w:val="0003374F"/>
    <w:rsid w:val="00033874"/>
    <w:rsid w:val="00033A20"/>
    <w:rsid w:val="00033A63"/>
    <w:rsid w:val="00033AEE"/>
    <w:rsid w:val="00033AFD"/>
    <w:rsid w:val="00033DE1"/>
    <w:rsid w:val="00033E80"/>
    <w:rsid w:val="00033EBB"/>
    <w:rsid w:val="00034031"/>
    <w:rsid w:val="0003415A"/>
    <w:rsid w:val="00034195"/>
    <w:rsid w:val="00034290"/>
    <w:rsid w:val="000342BD"/>
    <w:rsid w:val="00034393"/>
    <w:rsid w:val="00034416"/>
    <w:rsid w:val="0003446D"/>
    <w:rsid w:val="00034507"/>
    <w:rsid w:val="0003450C"/>
    <w:rsid w:val="0003453B"/>
    <w:rsid w:val="000346A5"/>
    <w:rsid w:val="00034883"/>
    <w:rsid w:val="000348F6"/>
    <w:rsid w:val="000349E9"/>
    <w:rsid w:val="00034C11"/>
    <w:rsid w:val="00034C4F"/>
    <w:rsid w:val="00034D6E"/>
    <w:rsid w:val="00034FAC"/>
    <w:rsid w:val="00035039"/>
    <w:rsid w:val="0003515E"/>
    <w:rsid w:val="00035197"/>
    <w:rsid w:val="000351B6"/>
    <w:rsid w:val="00035497"/>
    <w:rsid w:val="000354F8"/>
    <w:rsid w:val="000355E9"/>
    <w:rsid w:val="0003563B"/>
    <w:rsid w:val="00035888"/>
    <w:rsid w:val="00035AB9"/>
    <w:rsid w:val="00035AE0"/>
    <w:rsid w:val="000361C1"/>
    <w:rsid w:val="000361D7"/>
    <w:rsid w:val="00036253"/>
    <w:rsid w:val="0003627B"/>
    <w:rsid w:val="000362FA"/>
    <w:rsid w:val="0003663D"/>
    <w:rsid w:val="0003668A"/>
    <w:rsid w:val="000366EA"/>
    <w:rsid w:val="000367C8"/>
    <w:rsid w:val="000367D6"/>
    <w:rsid w:val="00036A38"/>
    <w:rsid w:val="00036A98"/>
    <w:rsid w:val="00036BA4"/>
    <w:rsid w:val="00036CAF"/>
    <w:rsid w:val="00036D0A"/>
    <w:rsid w:val="00036F97"/>
    <w:rsid w:val="0003704B"/>
    <w:rsid w:val="00037164"/>
    <w:rsid w:val="000371C3"/>
    <w:rsid w:val="0003723F"/>
    <w:rsid w:val="000372D9"/>
    <w:rsid w:val="000372F8"/>
    <w:rsid w:val="00037638"/>
    <w:rsid w:val="0003793B"/>
    <w:rsid w:val="000379D7"/>
    <w:rsid w:val="00037A17"/>
    <w:rsid w:val="00037AFE"/>
    <w:rsid w:val="00037BB3"/>
    <w:rsid w:val="00037C54"/>
    <w:rsid w:val="00037C6E"/>
    <w:rsid w:val="00037DCB"/>
    <w:rsid w:val="00037E06"/>
    <w:rsid w:val="00037E97"/>
    <w:rsid w:val="00037F78"/>
    <w:rsid w:val="000401F0"/>
    <w:rsid w:val="000402E4"/>
    <w:rsid w:val="000405C8"/>
    <w:rsid w:val="00040690"/>
    <w:rsid w:val="000406B9"/>
    <w:rsid w:val="000407D5"/>
    <w:rsid w:val="00040930"/>
    <w:rsid w:val="00040A71"/>
    <w:rsid w:val="00040AA0"/>
    <w:rsid w:val="00040B36"/>
    <w:rsid w:val="00040C10"/>
    <w:rsid w:val="00040C97"/>
    <w:rsid w:val="00040CD0"/>
    <w:rsid w:val="00040D18"/>
    <w:rsid w:val="00040D81"/>
    <w:rsid w:val="00040EFC"/>
    <w:rsid w:val="00041134"/>
    <w:rsid w:val="00041380"/>
    <w:rsid w:val="0004158C"/>
    <w:rsid w:val="000415CB"/>
    <w:rsid w:val="000416F4"/>
    <w:rsid w:val="00041894"/>
    <w:rsid w:val="00041A97"/>
    <w:rsid w:val="00041B97"/>
    <w:rsid w:val="00041C8C"/>
    <w:rsid w:val="00041DBF"/>
    <w:rsid w:val="00041DDC"/>
    <w:rsid w:val="00041E0F"/>
    <w:rsid w:val="00041F75"/>
    <w:rsid w:val="00042033"/>
    <w:rsid w:val="0004231C"/>
    <w:rsid w:val="0004238A"/>
    <w:rsid w:val="00042624"/>
    <w:rsid w:val="0004266A"/>
    <w:rsid w:val="000426A8"/>
    <w:rsid w:val="000428E7"/>
    <w:rsid w:val="00042BA0"/>
    <w:rsid w:val="00042C96"/>
    <w:rsid w:val="00042CEB"/>
    <w:rsid w:val="00042D33"/>
    <w:rsid w:val="00042E7E"/>
    <w:rsid w:val="00042EA6"/>
    <w:rsid w:val="00042F69"/>
    <w:rsid w:val="0004302E"/>
    <w:rsid w:val="000430CC"/>
    <w:rsid w:val="00043212"/>
    <w:rsid w:val="00043468"/>
    <w:rsid w:val="000434BA"/>
    <w:rsid w:val="000434BD"/>
    <w:rsid w:val="000436CE"/>
    <w:rsid w:val="00043752"/>
    <w:rsid w:val="00043782"/>
    <w:rsid w:val="000437DD"/>
    <w:rsid w:val="000438AC"/>
    <w:rsid w:val="00043914"/>
    <w:rsid w:val="000439D2"/>
    <w:rsid w:val="00043A27"/>
    <w:rsid w:val="00043ADF"/>
    <w:rsid w:val="00043AE2"/>
    <w:rsid w:val="00043B76"/>
    <w:rsid w:val="00043BE3"/>
    <w:rsid w:val="00043C02"/>
    <w:rsid w:val="00043C7D"/>
    <w:rsid w:val="00043CC7"/>
    <w:rsid w:val="00043F1E"/>
    <w:rsid w:val="00043FB6"/>
    <w:rsid w:val="00043FBD"/>
    <w:rsid w:val="00044048"/>
    <w:rsid w:val="00044097"/>
    <w:rsid w:val="000441F5"/>
    <w:rsid w:val="0004425C"/>
    <w:rsid w:val="00044357"/>
    <w:rsid w:val="0004445E"/>
    <w:rsid w:val="0004450D"/>
    <w:rsid w:val="00044573"/>
    <w:rsid w:val="00044731"/>
    <w:rsid w:val="000447B7"/>
    <w:rsid w:val="000447E8"/>
    <w:rsid w:val="00044823"/>
    <w:rsid w:val="00044B98"/>
    <w:rsid w:val="00044BF6"/>
    <w:rsid w:val="00044BF7"/>
    <w:rsid w:val="00044E3D"/>
    <w:rsid w:val="0004503B"/>
    <w:rsid w:val="00045073"/>
    <w:rsid w:val="000450F7"/>
    <w:rsid w:val="000452E6"/>
    <w:rsid w:val="0004534B"/>
    <w:rsid w:val="00045355"/>
    <w:rsid w:val="00045408"/>
    <w:rsid w:val="00045493"/>
    <w:rsid w:val="000455A5"/>
    <w:rsid w:val="000455CE"/>
    <w:rsid w:val="000457F2"/>
    <w:rsid w:val="0004583D"/>
    <w:rsid w:val="00045894"/>
    <w:rsid w:val="000458ED"/>
    <w:rsid w:val="00045946"/>
    <w:rsid w:val="00045A10"/>
    <w:rsid w:val="00045AE1"/>
    <w:rsid w:val="00045AF5"/>
    <w:rsid w:val="00045AF9"/>
    <w:rsid w:val="00045BB9"/>
    <w:rsid w:val="00045CA4"/>
    <w:rsid w:val="00045D0E"/>
    <w:rsid w:val="00045E78"/>
    <w:rsid w:val="00045F3F"/>
    <w:rsid w:val="00045F70"/>
    <w:rsid w:val="0004602E"/>
    <w:rsid w:val="00046127"/>
    <w:rsid w:val="000462F0"/>
    <w:rsid w:val="000463C0"/>
    <w:rsid w:val="00046455"/>
    <w:rsid w:val="00046573"/>
    <w:rsid w:val="00046790"/>
    <w:rsid w:val="000467FB"/>
    <w:rsid w:val="0004684C"/>
    <w:rsid w:val="00046908"/>
    <w:rsid w:val="0004695A"/>
    <w:rsid w:val="00046A5A"/>
    <w:rsid w:val="00046B86"/>
    <w:rsid w:val="00046CC5"/>
    <w:rsid w:val="00046D0F"/>
    <w:rsid w:val="00046D90"/>
    <w:rsid w:val="00046E2D"/>
    <w:rsid w:val="00046EB7"/>
    <w:rsid w:val="00046F72"/>
    <w:rsid w:val="00046F95"/>
    <w:rsid w:val="00047103"/>
    <w:rsid w:val="00047170"/>
    <w:rsid w:val="000471AA"/>
    <w:rsid w:val="000471C3"/>
    <w:rsid w:val="0004720E"/>
    <w:rsid w:val="00047262"/>
    <w:rsid w:val="0004730C"/>
    <w:rsid w:val="00047340"/>
    <w:rsid w:val="00047430"/>
    <w:rsid w:val="00047484"/>
    <w:rsid w:val="0004748F"/>
    <w:rsid w:val="000475C1"/>
    <w:rsid w:val="000475E4"/>
    <w:rsid w:val="000476B9"/>
    <w:rsid w:val="00047739"/>
    <w:rsid w:val="00047811"/>
    <w:rsid w:val="00047849"/>
    <w:rsid w:val="000479C7"/>
    <w:rsid w:val="00047A8D"/>
    <w:rsid w:val="00047B0B"/>
    <w:rsid w:val="00047B53"/>
    <w:rsid w:val="00047E43"/>
    <w:rsid w:val="00047EDC"/>
    <w:rsid w:val="00047EED"/>
    <w:rsid w:val="00047F09"/>
    <w:rsid w:val="00047FEC"/>
    <w:rsid w:val="000500A2"/>
    <w:rsid w:val="00050251"/>
    <w:rsid w:val="00050477"/>
    <w:rsid w:val="0005073B"/>
    <w:rsid w:val="00050890"/>
    <w:rsid w:val="00050AF5"/>
    <w:rsid w:val="00050C3C"/>
    <w:rsid w:val="00050CC7"/>
    <w:rsid w:val="00050F12"/>
    <w:rsid w:val="00050F32"/>
    <w:rsid w:val="00050F97"/>
    <w:rsid w:val="00051047"/>
    <w:rsid w:val="000511A7"/>
    <w:rsid w:val="000511B3"/>
    <w:rsid w:val="00051288"/>
    <w:rsid w:val="000512E2"/>
    <w:rsid w:val="0005132B"/>
    <w:rsid w:val="0005146F"/>
    <w:rsid w:val="000514ED"/>
    <w:rsid w:val="00051667"/>
    <w:rsid w:val="00051724"/>
    <w:rsid w:val="00051743"/>
    <w:rsid w:val="0005186D"/>
    <w:rsid w:val="00051A4E"/>
    <w:rsid w:val="00051AF2"/>
    <w:rsid w:val="00051B16"/>
    <w:rsid w:val="00051B25"/>
    <w:rsid w:val="00051B4B"/>
    <w:rsid w:val="00051E83"/>
    <w:rsid w:val="00051ED7"/>
    <w:rsid w:val="00052122"/>
    <w:rsid w:val="000522EE"/>
    <w:rsid w:val="00052411"/>
    <w:rsid w:val="000524AE"/>
    <w:rsid w:val="0005257B"/>
    <w:rsid w:val="00052599"/>
    <w:rsid w:val="000525F4"/>
    <w:rsid w:val="00052806"/>
    <w:rsid w:val="000528E1"/>
    <w:rsid w:val="00052955"/>
    <w:rsid w:val="0005299B"/>
    <w:rsid w:val="000529FF"/>
    <w:rsid w:val="00052A87"/>
    <w:rsid w:val="00052ACB"/>
    <w:rsid w:val="00052AF7"/>
    <w:rsid w:val="00052B4F"/>
    <w:rsid w:val="00052C69"/>
    <w:rsid w:val="00052DA9"/>
    <w:rsid w:val="00052E2B"/>
    <w:rsid w:val="00052E3A"/>
    <w:rsid w:val="00053029"/>
    <w:rsid w:val="0005302A"/>
    <w:rsid w:val="0005308D"/>
    <w:rsid w:val="000531CC"/>
    <w:rsid w:val="000531DA"/>
    <w:rsid w:val="00053214"/>
    <w:rsid w:val="000532D5"/>
    <w:rsid w:val="0005337F"/>
    <w:rsid w:val="00053541"/>
    <w:rsid w:val="000536FD"/>
    <w:rsid w:val="00053783"/>
    <w:rsid w:val="00053885"/>
    <w:rsid w:val="0005397F"/>
    <w:rsid w:val="00053B3F"/>
    <w:rsid w:val="00053B59"/>
    <w:rsid w:val="00053DE6"/>
    <w:rsid w:val="00053E94"/>
    <w:rsid w:val="00053FC5"/>
    <w:rsid w:val="00054075"/>
    <w:rsid w:val="000540AC"/>
    <w:rsid w:val="000540F4"/>
    <w:rsid w:val="000541AE"/>
    <w:rsid w:val="000541B1"/>
    <w:rsid w:val="00054352"/>
    <w:rsid w:val="000543DC"/>
    <w:rsid w:val="000544E0"/>
    <w:rsid w:val="000544FF"/>
    <w:rsid w:val="00054514"/>
    <w:rsid w:val="0005451B"/>
    <w:rsid w:val="000545DD"/>
    <w:rsid w:val="000546BD"/>
    <w:rsid w:val="00054705"/>
    <w:rsid w:val="000547C9"/>
    <w:rsid w:val="0005481D"/>
    <w:rsid w:val="00054A7D"/>
    <w:rsid w:val="00054A83"/>
    <w:rsid w:val="00054BE1"/>
    <w:rsid w:val="00054C9B"/>
    <w:rsid w:val="00054CDB"/>
    <w:rsid w:val="00054D1D"/>
    <w:rsid w:val="00054F64"/>
    <w:rsid w:val="00055004"/>
    <w:rsid w:val="0005500B"/>
    <w:rsid w:val="00055012"/>
    <w:rsid w:val="000551E1"/>
    <w:rsid w:val="0005524A"/>
    <w:rsid w:val="000552C1"/>
    <w:rsid w:val="00055333"/>
    <w:rsid w:val="000553F8"/>
    <w:rsid w:val="000554C6"/>
    <w:rsid w:val="000554F9"/>
    <w:rsid w:val="000556BA"/>
    <w:rsid w:val="000556D9"/>
    <w:rsid w:val="0005572C"/>
    <w:rsid w:val="00055873"/>
    <w:rsid w:val="00055989"/>
    <w:rsid w:val="00055A6D"/>
    <w:rsid w:val="00055B08"/>
    <w:rsid w:val="00055B40"/>
    <w:rsid w:val="00055B41"/>
    <w:rsid w:val="00055D4D"/>
    <w:rsid w:val="00055DF8"/>
    <w:rsid w:val="00055F54"/>
    <w:rsid w:val="00055F77"/>
    <w:rsid w:val="00055F96"/>
    <w:rsid w:val="000560BE"/>
    <w:rsid w:val="000560DE"/>
    <w:rsid w:val="0005611B"/>
    <w:rsid w:val="000562AB"/>
    <w:rsid w:val="000562B7"/>
    <w:rsid w:val="00056352"/>
    <w:rsid w:val="0005647B"/>
    <w:rsid w:val="000564B1"/>
    <w:rsid w:val="00056509"/>
    <w:rsid w:val="00056522"/>
    <w:rsid w:val="000566F5"/>
    <w:rsid w:val="0005684B"/>
    <w:rsid w:val="000568AD"/>
    <w:rsid w:val="00056918"/>
    <w:rsid w:val="00056A55"/>
    <w:rsid w:val="00056B83"/>
    <w:rsid w:val="00056BD9"/>
    <w:rsid w:val="00056CAB"/>
    <w:rsid w:val="00056D5C"/>
    <w:rsid w:val="00056DC9"/>
    <w:rsid w:val="00056EA4"/>
    <w:rsid w:val="00056ED2"/>
    <w:rsid w:val="00056F6B"/>
    <w:rsid w:val="0005725C"/>
    <w:rsid w:val="00057379"/>
    <w:rsid w:val="00057589"/>
    <w:rsid w:val="0005759B"/>
    <w:rsid w:val="0005764A"/>
    <w:rsid w:val="00057749"/>
    <w:rsid w:val="000577B0"/>
    <w:rsid w:val="000577FC"/>
    <w:rsid w:val="00057A45"/>
    <w:rsid w:val="00057AF3"/>
    <w:rsid w:val="00057B17"/>
    <w:rsid w:val="00057B72"/>
    <w:rsid w:val="00057C9F"/>
    <w:rsid w:val="00057D05"/>
    <w:rsid w:val="00057D09"/>
    <w:rsid w:val="00057D15"/>
    <w:rsid w:val="00057D83"/>
    <w:rsid w:val="00057E74"/>
    <w:rsid w:val="00057F52"/>
    <w:rsid w:val="00057F7B"/>
    <w:rsid w:val="00060088"/>
    <w:rsid w:val="0006018B"/>
    <w:rsid w:val="00060250"/>
    <w:rsid w:val="00060283"/>
    <w:rsid w:val="000602FB"/>
    <w:rsid w:val="00060541"/>
    <w:rsid w:val="0006060F"/>
    <w:rsid w:val="000606E6"/>
    <w:rsid w:val="00060830"/>
    <w:rsid w:val="0006090C"/>
    <w:rsid w:val="00060A09"/>
    <w:rsid w:val="00060A49"/>
    <w:rsid w:val="00060C22"/>
    <w:rsid w:val="00060EA4"/>
    <w:rsid w:val="00060EDF"/>
    <w:rsid w:val="00060F0E"/>
    <w:rsid w:val="00060F28"/>
    <w:rsid w:val="00060F8B"/>
    <w:rsid w:val="00060FB7"/>
    <w:rsid w:val="00060FC5"/>
    <w:rsid w:val="0006105E"/>
    <w:rsid w:val="00061141"/>
    <w:rsid w:val="0006118F"/>
    <w:rsid w:val="0006134B"/>
    <w:rsid w:val="000613BE"/>
    <w:rsid w:val="000614EB"/>
    <w:rsid w:val="000615FA"/>
    <w:rsid w:val="00061794"/>
    <w:rsid w:val="000617CC"/>
    <w:rsid w:val="0006181A"/>
    <w:rsid w:val="0006197D"/>
    <w:rsid w:val="00061A2C"/>
    <w:rsid w:val="00061D3C"/>
    <w:rsid w:val="00061E1B"/>
    <w:rsid w:val="00061E9F"/>
    <w:rsid w:val="00061F2E"/>
    <w:rsid w:val="00061F78"/>
    <w:rsid w:val="00061F82"/>
    <w:rsid w:val="00061FBE"/>
    <w:rsid w:val="000621F0"/>
    <w:rsid w:val="00062244"/>
    <w:rsid w:val="000624E3"/>
    <w:rsid w:val="00062835"/>
    <w:rsid w:val="00062A4E"/>
    <w:rsid w:val="00062A6B"/>
    <w:rsid w:val="00062B07"/>
    <w:rsid w:val="00062D4E"/>
    <w:rsid w:val="00062F0E"/>
    <w:rsid w:val="000630E5"/>
    <w:rsid w:val="0006315E"/>
    <w:rsid w:val="000631DC"/>
    <w:rsid w:val="0006338F"/>
    <w:rsid w:val="000633BB"/>
    <w:rsid w:val="00063499"/>
    <w:rsid w:val="0006353B"/>
    <w:rsid w:val="0006366D"/>
    <w:rsid w:val="000636F2"/>
    <w:rsid w:val="000637A3"/>
    <w:rsid w:val="000638DF"/>
    <w:rsid w:val="00063AA3"/>
    <w:rsid w:val="00063D68"/>
    <w:rsid w:val="00063FB6"/>
    <w:rsid w:val="00064022"/>
    <w:rsid w:val="000640C2"/>
    <w:rsid w:val="000640C8"/>
    <w:rsid w:val="00064118"/>
    <w:rsid w:val="00064131"/>
    <w:rsid w:val="00064277"/>
    <w:rsid w:val="000642BC"/>
    <w:rsid w:val="0006433E"/>
    <w:rsid w:val="000643C5"/>
    <w:rsid w:val="000643D3"/>
    <w:rsid w:val="00064447"/>
    <w:rsid w:val="0006454B"/>
    <w:rsid w:val="00064726"/>
    <w:rsid w:val="0006475C"/>
    <w:rsid w:val="0006479D"/>
    <w:rsid w:val="00064833"/>
    <w:rsid w:val="00064866"/>
    <w:rsid w:val="00064869"/>
    <w:rsid w:val="00064A08"/>
    <w:rsid w:val="00064B19"/>
    <w:rsid w:val="00064CDD"/>
    <w:rsid w:val="00064CFB"/>
    <w:rsid w:val="000650D0"/>
    <w:rsid w:val="000653A9"/>
    <w:rsid w:val="00065453"/>
    <w:rsid w:val="0006547B"/>
    <w:rsid w:val="000654B9"/>
    <w:rsid w:val="0006553B"/>
    <w:rsid w:val="00065740"/>
    <w:rsid w:val="0006574F"/>
    <w:rsid w:val="00065863"/>
    <w:rsid w:val="0006598B"/>
    <w:rsid w:val="000659A3"/>
    <w:rsid w:val="000659CC"/>
    <w:rsid w:val="000659F5"/>
    <w:rsid w:val="00065ABC"/>
    <w:rsid w:val="00065C7C"/>
    <w:rsid w:val="00065CB7"/>
    <w:rsid w:val="00065D8F"/>
    <w:rsid w:val="00065DC3"/>
    <w:rsid w:val="00065E2D"/>
    <w:rsid w:val="00065F30"/>
    <w:rsid w:val="00066022"/>
    <w:rsid w:val="00066061"/>
    <w:rsid w:val="00066153"/>
    <w:rsid w:val="0006623E"/>
    <w:rsid w:val="00066290"/>
    <w:rsid w:val="0006639D"/>
    <w:rsid w:val="0006651D"/>
    <w:rsid w:val="00066593"/>
    <w:rsid w:val="000665C1"/>
    <w:rsid w:val="000665C9"/>
    <w:rsid w:val="00066827"/>
    <w:rsid w:val="00066B17"/>
    <w:rsid w:val="00066B46"/>
    <w:rsid w:val="00066D9B"/>
    <w:rsid w:val="00066E74"/>
    <w:rsid w:val="00066EDB"/>
    <w:rsid w:val="00067074"/>
    <w:rsid w:val="00067127"/>
    <w:rsid w:val="0006738C"/>
    <w:rsid w:val="0006771A"/>
    <w:rsid w:val="00067894"/>
    <w:rsid w:val="00067AD7"/>
    <w:rsid w:val="00067D58"/>
    <w:rsid w:val="00070013"/>
    <w:rsid w:val="000700E7"/>
    <w:rsid w:val="000703A0"/>
    <w:rsid w:val="000703D8"/>
    <w:rsid w:val="000704EF"/>
    <w:rsid w:val="0007057A"/>
    <w:rsid w:val="0007060C"/>
    <w:rsid w:val="00070616"/>
    <w:rsid w:val="000706B5"/>
    <w:rsid w:val="000706F8"/>
    <w:rsid w:val="000707C8"/>
    <w:rsid w:val="00070A6E"/>
    <w:rsid w:val="00071158"/>
    <w:rsid w:val="00071190"/>
    <w:rsid w:val="000711D9"/>
    <w:rsid w:val="00071291"/>
    <w:rsid w:val="00071437"/>
    <w:rsid w:val="000714EE"/>
    <w:rsid w:val="0007156C"/>
    <w:rsid w:val="00071654"/>
    <w:rsid w:val="000716FE"/>
    <w:rsid w:val="00071722"/>
    <w:rsid w:val="00071738"/>
    <w:rsid w:val="000719F7"/>
    <w:rsid w:val="00071C0D"/>
    <w:rsid w:val="00071E12"/>
    <w:rsid w:val="00071E5B"/>
    <w:rsid w:val="00071E89"/>
    <w:rsid w:val="00072183"/>
    <w:rsid w:val="0007231E"/>
    <w:rsid w:val="000724FC"/>
    <w:rsid w:val="00072860"/>
    <w:rsid w:val="00072862"/>
    <w:rsid w:val="000728CD"/>
    <w:rsid w:val="00072929"/>
    <w:rsid w:val="0007296C"/>
    <w:rsid w:val="00072ABC"/>
    <w:rsid w:val="00072AE5"/>
    <w:rsid w:val="00072B01"/>
    <w:rsid w:val="00072C2B"/>
    <w:rsid w:val="00072DC3"/>
    <w:rsid w:val="00073052"/>
    <w:rsid w:val="00073127"/>
    <w:rsid w:val="000732D4"/>
    <w:rsid w:val="0007340B"/>
    <w:rsid w:val="000734FB"/>
    <w:rsid w:val="0007366C"/>
    <w:rsid w:val="0007369B"/>
    <w:rsid w:val="000736AC"/>
    <w:rsid w:val="000736F4"/>
    <w:rsid w:val="0007374B"/>
    <w:rsid w:val="000738C5"/>
    <w:rsid w:val="00073A14"/>
    <w:rsid w:val="00073A3C"/>
    <w:rsid w:val="00073AD3"/>
    <w:rsid w:val="00073B52"/>
    <w:rsid w:val="00073E45"/>
    <w:rsid w:val="00073EAD"/>
    <w:rsid w:val="00073EB7"/>
    <w:rsid w:val="00073EDD"/>
    <w:rsid w:val="00073F9D"/>
    <w:rsid w:val="00073FB1"/>
    <w:rsid w:val="00074007"/>
    <w:rsid w:val="0007407D"/>
    <w:rsid w:val="0007420E"/>
    <w:rsid w:val="000743B4"/>
    <w:rsid w:val="000743E6"/>
    <w:rsid w:val="00074414"/>
    <w:rsid w:val="0007445E"/>
    <w:rsid w:val="0007459D"/>
    <w:rsid w:val="0007464A"/>
    <w:rsid w:val="00074738"/>
    <w:rsid w:val="00074785"/>
    <w:rsid w:val="000747A1"/>
    <w:rsid w:val="00074829"/>
    <w:rsid w:val="0007485A"/>
    <w:rsid w:val="000749E0"/>
    <w:rsid w:val="00074A1C"/>
    <w:rsid w:val="00074ACF"/>
    <w:rsid w:val="00074B3C"/>
    <w:rsid w:val="00074D84"/>
    <w:rsid w:val="00074FCE"/>
    <w:rsid w:val="0007508E"/>
    <w:rsid w:val="00075137"/>
    <w:rsid w:val="00075150"/>
    <w:rsid w:val="000752F9"/>
    <w:rsid w:val="0007542B"/>
    <w:rsid w:val="00075511"/>
    <w:rsid w:val="00075628"/>
    <w:rsid w:val="00075794"/>
    <w:rsid w:val="00075A30"/>
    <w:rsid w:val="00075AC2"/>
    <w:rsid w:val="00075F12"/>
    <w:rsid w:val="00075F46"/>
    <w:rsid w:val="0007604B"/>
    <w:rsid w:val="00076192"/>
    <w:rsid w:val="00076208"/>
    <w:rsid w:val="00076297"/>
    <w:rsid w:val="000762D4"/>
    <w:rsid w:val="000762D9"/>
    <w:rsid w:val="00076648"/>
    <w:rsid w:val="0007668C"/>
    <w:rsid w:val="000767F8"/>
    <w:rsid w:val="00076915"/>
    <w:rsid w:val="00076A7C"/>
    <w:rsid w:val="00076A8C"/>
    <w:rsid w:val="00076AC8"/>
    <w:rsid w:val="00076B11"/>
    <w:rsid w:val="00076B83"/>
    <w:rsid w:val="00076D94"/>
    <w:rsid w:val="00076DB5"/>
    <w:rsid w:val="00076DDB"/>
    <w:rsid w:val="00076E8B"/>
    <w:rsid w:val="00076EB2"/>
    <w:rsid w:val="00076EC9"/>
    <w:rsid w:val="00076F22"/>
    <w:rsid w:val="0007700C"/>
    <w:rsid w:val="0007708C"/>
    <w:rsid w:val="000771D5"/>
    <w:rsid w:val="0007727C"/>
    <w:rsid w:val="00077299"/>
    <w:rsid w:val="0007729D"/>
    <w:rsid w:val="0007729F"/>
    <w:rsid w:val="000773C6"/>
    <w:rsid w:val="00077593"/>
    <w:rsid w:val="00077610"/>
    <w:rsid w:val="0007775E"/>
    <w:rsid w:val="0007777B"/>
    <w:rsid w:val="000778D1"/>
    <w:rsid w:val="000778D4"/>
    <w:rsid w:val="00077C3E"/>
    <w:rsid w:val="00077C51"/>
    <w:rsid w:val="00077D54"/>
    <w:rsid w:val="00077D95"/>
    <w:rsid w:val="00077D9D"/>
    <w:rsid w:val="00077DC4"/>
    <w:rsid w:val="00080094"/>
    <w:rsid w:val="000800C4"/>
    <w:rsid w:val="00080763"/>
    <w:rsid w:val="000808B7"/>
    <w:rsid w:val="00080A13"/>
    <w:rsid w:val="00080B7D"/>
    <w:rsid w:val="00080BA5"/>
    <w:rsid w:val="00080C1E"/>
    <w:rsid w:val="00080CF8"/>
    <w:rsid w:val="00080E90"/>
    <w:rsid w:val="00080EAD"/>
    <w:rsid w:val="00080FF5"/>
    <w:rsid w:val="000810E3"/>
    <w:rsid w:val="000810E6"/>
    <w:rsid w:val="00081344"/>
    <w:rsid w:val="0008139A"/>
    <w:rsid w:val="00081689"/>
    <w:rsid w:val="000817C4"/>
    <w:rsid w:val="000818ED"/>
    <w:rsid w:val="0008191E"/>
    <w:rsid w:val="000819D1"/>
    <w:rsid w:val="00081C83"/>
    <w:rsid w:val="00081EF5"/>
    <w:rsid w:val="00081F4C"/>
    <w:rsid w:val="00081F58"/>
    <w:rsid w:val="00081F62"/>
    <w:rsid w:val="00081F88"/>
    <w:rsid w:val="0008225C"/>
    <w:rsid w:val="00082356"/>
    <w:rsid w:val="0008238B"/>
    <w:rsid w:val="0008248D"/>
    <w:rsid w:val="00082583"/>
    <w:rsid w:val="0008266E"/>
    <w:rsid w:val="0008269A"/>
    <w:rsid w:val="000826E7"/>
    <w:rsid w:val="00082721"/>
    <w:rsid w:val="000827AB"/>
    <w:rsid w:val="0008282D"/>
    <w:rsid w:val="00082873"/>
    <w:rsid w:val="00082AB9"/>
    <w:rsid w:val="00082AFA"/>
    <w:rsid w:val="00082B50"/>
    <w:rsid w:val="00082B6E"/>
    <w:rsid w:val="00082D2F"/>
    <w:rsid w:val="00082D5D"/>
    <w:rsid w:val="00083031"/>
    <w:rsid w:val="000830AF"/>
    <w:rsid w:val="00083131"/>
    <w:rsid w:val="0008315F"/>
    <w:rsid w:val="000831A6"/>
    <w:rsid w:val="000832D2"/>
    <w:rsid w:val="00083359"/>
    <w:rsid w:val="000835DE"/>
    <w:rsid w:val="000837A8"/>
    <w:rsid w:val="00083CA4"/>
    <w:rsid w:val="00083D6F"/>
    <w:rsid w:val="00083E08"/>
    <w:rsid w:val="00083E57"/>
    <w:rsid w:val="00083E7F"/>
    <w:rsid w:val="00083E81"/>
    <w:rsid w:val="00084117"/>
    <w:rsid w:val="0008412A"/>
    <w:rsid w:val="0008419E"/>
    <w:rsid w:val="00084212"/>
    <w:rsid w:val="000844D9"/>
    <w:rsid w:val="00084504"/>
    <w:rsid w:val="0008450D"/>
    <w:rsid w:val="0008466C"/>
    <w:rsid w:val="00084681"/>
    <w:rsid w:val="0008473D"/>
    <w:rsid w:val="0008480D"/>
    <w:rsid w:val="00084900"/>
    <w:rsid w:val="00084905"/>
    <w:rsid w:val="000849C1"/>
    <w:rsid w:val="00084A1B"/>
    <w:rsid w:val="00084A69"/>
    <w:rsid w:val="00084A98"/>
    <w:rsid w:val="00084AA6"/>
    <w:rsid w:val="00084B92"/>
    <w:rsid w:val="00084C97"/>
    <w:rsid w:val="00084CBB"/>
    <w:rsid w:val="00084CCD"/>
    <w:rsid w:val="00084D2C"/>
    <w:rsid w:val="00084D5C"/>
    <w:rsid w:val="00084DCE"/>
    <w:rsid w:val="00084EB7"/>
    <w:rsid w:val="00084EF1"/>
    <w:rsid w:val="00084FC4"/>
    <w:rsid w:val="00084FC7"/>
    <w:rsid w:val="00084FD4"/>
    <w:rsid w:val="00085018"/>
    <w:rsid w:val="00085029"/>
    <w:rsid w:val="00085378"/>
    <w:rsid w:val="000853F3"/>
    <w:rsid w:val="00085573"/>
    <w:rsid w:val="000855DF"/>
    <w:rsid w:val="000856BD"/>
    <w:rsid w:val="0008593A"/>
    <w:rsid w:val="00085AA6"/>
    <w:rsid w:val="00085B5A"/>
    <w:rsid w:val="00085B7B"/>
    <w:rsid w:val="00085B7C"/>
    <w:rsid w:val="00085CBC"/>
    <w:rsid w:val="00085EA1"/>
    <w:rsid w:val="00085EAA"/>
    <w:rsid w:val="00085F0F"/>
    <w:rsid w:val="0008603E"/>
    <w:rsid w:val="000861C1"/>
    <w:rsid w:val="000865CA"/>
    <w:rsid w:val="000865CD"/>
    <w:rsid w:val="000865F6"/>
    <w:rsid w:val="0008671B"/>
    <w:rsid w:val="000868F5"/>
    <w:rsid w:val="0008690D"/>
    <w:rsid w:val="00086B31"/>
    <w:rsid w:val="00086B8E"/>
    <w:rsid w:val="00086BD1"/>
    <w:rsid w:val="00086C43"/>
    <w:rsid w:val="00086CD9"/>
    <w:rsid w:val="00086EF0"/>
    <w:rsid w:val="00086FF5"/>
    <w:rsid w:val="0008711E"/>
    <w:rsid w:val="00087436"/>
    <w:rsid w:val="00087564"/>
    <w:rsid w:val="00087674"/>
    <w:rsid w:val="000878C2"/>
    <w:rsid w:val="000879B2"/>
    <w:rsid w:val="00087B6A"/>
    <w:rsid w:val="00087C52"/>
    <w:rsid w:val="00087C7C"/>
    <w:rsid w:val="00087C88"/>
    <w:rsid w:val="00087F01"/>
    <w:rsid w:val="0009003A"/>
    <w:rsid w:val="00090168"/>
    <w:rsid w:val="0009022F"/>
    <w:rsid w:val="000903D7"/>
    <w:rsid w:val="000904CB"/>
    <w:rsid w:val="00090508"/>
    <w:rsid w:val="00090551"/>
    <w:rsid w:val="00090589"/>
    <w:rsid w:val="00090866"/>
    <w:rsid w:val="00090898"/>
    <w:rsid w:val="00090A67"/>
    <w:rsid w:val="00090A68"/>
    <w:rsid w:val="00090CC0"/>
    <w:rsid w:val="00090CC1"/>
    <w:rsid w:val="00090CEC"/>
    <w:rsid w:val="000910A4"/>
    <w:rsid w:val="00091191"/>
    <w:rsid w:val="000913F9"/>
    <w:rsid w:val="00091448"/>
    <w:rsid w:val="000914C8"/>
    <w:rsid w:val="00091521"/>
    <w:rsid w:val="0009159C"/>
    <w:rsid w:val="0009165C"/>
    <w:rsid w:val="000916C2"/>
    <w:rsid w:val="0009174C"/>
    <w:rsid w:val="0009181B"/>
    <w:rsid w:val="000918AF"/>
    <w:rsid w:val="000918B3"/>
    <w:rsid w:val="00091961"/>
    <w:rsid w:val="000919D6"/>
    <w:rsid w:val="00091B9F"/>
    <w:rsid w:val="00091BE1"/>
    <w:rsid w:val="00091E52"/>
    <w:rsid w:val="00091E7B"/>
    <w:rsid w:val="00091ED2"/>
    <w:rsid w:val="000920D0"/>
    <w:rsid w:val="000920DD"/>
    <w:rsid w:val="000922F5"/>
    <w:rsid w:val="0009235A"/>
    <w:rsid w:val="0009238F"/>
    <w:rsid w:val="000924AB"/>
    <w:rsid w:val="0009255D"/>
    <w:rsid w:val="000925E1"/>
    <w:rsid w:val="000926C0"/>
    <w:rsid w:val="00092794"/>
    <w:rsid w:val="00092826"/>
    <w:rsid w:val="0009289D"/>
    <w:rsid w:val="00092AB1"/>
    <w:rsid w:val="00092BE3"/>
    <w:rsid w:val="00092C85"/>
    <w:rsid w:val="00092D00"/>
    <w:rsid w:val="00092DB8"/>
    <w:rsid w:val="00092E57"/>
    <w:rsid w:val="00092F45"/>
    <w:rsid w:val="00092FC1"/>
    <w:rsid w:val="00093029"/>
    <w:rsid w:val="000930BC"/>
    <w:rsid w:val="00093182"/>
    <w:rsid w:val="000931E2"/>
    <w:rsid w:val="0009320B"/>
    <w:rsid w:val="000933C8"/>
    <w:rsid w:val="000934B6"/>
    <w:rsid w:val="00093581"/>
    <w:rsid w:val="00093674"/>
    <w:rsid w:val="00093A69"/>
    <w:rsid w:val="00093AC5"/>
    <w:rsid w:val="00093B0E"/>
    <w:rsid w:val="00093E8D"/>
    <w:rsid w:val="00093E8F"/>
    <w:rsid w:val="00093F31"/>
    <w:rsid w:val="00093FC0"/>
    <w:rsid w:val="0009404E"/>
    <w:rsid w:val="00094064"/>
    <w:rsid w:val="00094075"/>
    <w:rsid w:val="00094093"/>
    <w:rsid w:val="00094200"/>
    <w:rsid w:val="0009424C"/>
    <w:rsid w:val="000943F6"/>
    <w:rsid w:val="000944F4"/>
    <w:rsid w:val="00094536"/>
    <w:rsid w:val="0009488B"/>
    <w:rsid w:val="000948DB"/>
    <w:rsid w:val="00094A50"/>
    <w:rsid w:val="00094A71"/>
    <w:rsid w:val="00094AA1"/>
    <w:rsid w:val="00094B1D"/>
    <w:rsid w:val="00094B4E"/>
    <w:rsid w:val="00094C6C"/>
    <w:rsid w:val="00094D9B"/>
    <w:rsid w:val="00094EDC"/>
    <w:rsid w:val="00094F57"/>
    <w:rsid w:val="00095093"/>
    <w:rsid w:val="00095098"/>
    <w:rsid w:val="00095290"/>
    <w:rsid w:val="000952CC"/>
    <w:rsid w:val="000953BE"/>
    <w:rsid w:val="00095592"/>
    <w:rsid w:val="00095669"/>
    <w:rsid w:val="000957E8"/>
    <w:rsid w:val="000957F1"/>
    <w:rsid w:val="00095B31"/>
    <w:rsid w:val="00095B41"/>
    <w:rsid w:val="00095C27"/>
    <w:rsid w:val="00095CD2"/>
    <w:rsid w:val="00095D20"/>
    <w:rsid w:val="00095D45"/>
    <w:rsid w:val="00095DB2"/>
    <w:rsid w:val="00095E2E"/>
    <w:rsid w:val="00095FF5"/>
    <w:rsid w:val="00096057"/>
    <w:rsid w:val="000960C5"/>
    <w:rsid w:val="00096178"/>
    <w:rsid w:val="000962F5"/>
    <w:rsid w:val="00096346"/>
    <w:rsid w:val="00096364"/>
    <w:rsid w:val="000963E1"/>
    <w:rsid w:val="00096407"/>
    <w:rsid w:val="000964DB"/>
    <w:rsid w:val="00096584"/>
    <w:rsid w:val="0009666D"/>
    <w:rsid w:val="000966F2"/>
    <w:rsid w:val="000967B6"/>
    <w:rsid w:val="00096813"/>
    <w:rsid w:val="0009685D"/>
    <w:rsid w:val="000968C7"/>
    <w:rsid w:val="0009694B"/>
    <w:rsid w:val="000969FE"/>
    <w:rsid w:val="00096C4C"/>
    <w:rsid w:val="00096CA1"/>
    <w:rsid w:val="00096CA4"/>
    <w:rsid w:val="00096DD5"/>
    <w:rsid w:val="00096E43"/>
    <w:rsid w:val="00096ECA"/>
    <w:rsid w:val="00096FAC"/>
    <w:rsid w:val="00097130"/>
    <w:rsid w:val="00097139"/>
    <w:rsid w:val="00097196"/>
    <w:rsid w:val="0009723D"/>
    <w:rsid w:val="00097310"/>
    <w:rsid w:val="0009773C"/>
    <w:rsid w:val="00097A53"/>
    <w:rsid w:val="00097B92"/>
    <w:rsid w:val="00097C8D"/>
    <w:rsid w:val="00097C9D"/>
    <w:rsid w:val="00097F63"/>
    <w:rsid w:val="00097F9C"/>
    <w:rsid w:val="000A00A2"/>
    <w:rsid w:val="000A0174"/>
    <w:rsid w:val="000A026E"/>
    <w:rsid w:val="000A041C"/>
    <w:rsid w:val="000A0525"/>
    <w:rsid w:val="000A0554"/>
    <w:rsid w:val="000A0735"/>
    <w:rsid w:val="000A076A"/>
    <w:rsid w:val="000A07BA"/>
    <w:rsid w:val="000A07D8"/>
    <w:rsid w:val="000A088E"/>
    <w:rsid w:val="000A0954"/>
    <w:rsid w:val="000A09D0"/>
    <w:rsid w:val="000A0E35"/>
    <w:rsid w:val="000A0FB6"/>
    <w:rsid w:val="000A0FE9"/>
    <w:rsid w:val="000A0FF6"/>
    <w:rsid w:val="000A111B"/>
    <w:rsid w:val="000A1197"/>
    <w:rsid w:val="000A11A4"/>
    <w:rsid w:val="000A1207"/>
    <w:rsid w:val="000A132D"/>
    <w:rsid w:val="000A1398"/>
    <w:rsid w:val="000A13A5"/>
    <w:rsid w:val="000A143D"/>
    <w:rsid w:val="000A1499"/>
    <w:rsid w:val="000A14FE"/>
    <w:rsid w:val="000A1704"/>
    <w:rsid w:val="000A1740"/>
    <w:rsid w:val="000A177A"/>
    <w:rsid w:val="000A193B"/>
    <w:rsid w:val="000A1978"/>
    <w:rsid w:val="000A1A1E"/>
    <w:rsid w:val="000A1A20"/>
    <w:rsid w:val="000A1A32"/>
    <w:rsid w:val="000A1A35"/>
    <w:rsid w:val="000A1A5C"/>
    <w:rsid w:val="000A1A76"/>
    <w:rsid w:val="000A1BCD"/>
    <w:rsid w:val="000A1BCE"/>
    <w:rsid w:val="000A1C2C"/>
    <w:rsid w:val="000A1CFE"/>
    <w:rsid w:val="000A1D00"/>
    <w:rsid w:val="000A205B"/>
    <w:rsid w:val="000A207F"/>
    <w:rsid w:val="000A2502"/>
    <w:rsid w:val="000A266F"/>
    <w:rsid w:val="000A29C9"/>
    <w:rsid w:val="000A2A23"/>
    <w:rsid w:val="000A2A60"/>
    <w:rsid w:val="000A2B37"/>
    <w:rsid w:val="000A2B87"/>
    <w:rsid w:val="000A2BB7"/>
    <w:rsid w:val="000A2BFF"/>
    <w:rsid w:val="000A2CD1"/>
    <w:rsid w:val="000A2DB0"/>
    <w:rsid w:val="000A2E16"/>
    <w:rsid w:val="000A2F0F"/>
    <w:rsid w:val="000A3044"/>
    <w:rsid w:val="000A30DF"/>
    <w:rsid w:val="000A3101"/>
    <w:rsid w:val="000A3116"/>
    <w:rsid w:val="000A32B8"/>
    <w:rsid w:val="000A32B9"/>
    <w:rsid w:val="000A32C3"/>
    <w:rsid w:val="000A3368"/>
    <w:rsid w:val="000A3429"/>
    <w:rsid w:val="000A343E"/>
    <w:rsid w:val="000A3561"/>
    <w:rsid w:val="000A358A"/>
    <w:rsid w:val="000A35A7"/>
    <w:rsid w:val="000A35BD"/>
    <w:rsid w:val="000A35EE"/>
    <w:rsid w:val="000A3699"/>
    <w:rsid w:val="000A3713"/>
    <w:rsid w:val="000A3761"/>
    <w:rsid w:val="000A3800"/>
    <w:rsid w:val="000A398C"/>
    <w:rsid w:val="000A3998"/>
    <w:rsid w:val="000A39A5"/>
    <w:rsid w:val="000A3A4A"/>
    <w:rsid w:val="000A3AD7"/>
    <w:rsid w:val="000A3CDC"/>
    <w:rsid w:val="000A3D59"/>
    <w:rsid w:val="000A3DC9"/>
    <w:rsid w:val="000A3E3E"/>
    <w:rsid w:val="000A3F49"/>
    <w:rsid w:val="000A414F"/>
    <w:rsid w:val="000A41E5"/>
    <w:rsid w:val="000A41E8"/>
    <w:rsid w:val="000A42BF"/>
    <w:rsid w:val="000A44B8"/>
    <w:rsid w:val="000A44C0"/>
    <w:rsid w:val="000A454A"/>
    <w:rsid w:val="000A457A"/>
    <w:rsid w:val="000A45BA"/>
    <w:rsid w:val="000A45DB"/>
    <w:rsid w:val="000A48BD"/>
    <w:rsid w:val="000A48D5"/>
    <w:rsid w:val="000A4910"/>
    <w:rsid w:val="000A4928"/>
    <w:rsid w:val="000A4CF0"/>
    <w:rsid w:val="000A4D32"/>
    <w:rsid w:val="000A4E03"/>
    <w:rsid w:val="000A4E2B"/>
    <w:rsid w:val="000A51AA"/>
    <w:rsid w:val="000A5500"/>
    <w:rsid w:val="000A55A2"/>
    <w:rsid w:val="000A55BF"/>
    <w:rsid w:val="000A57D7"/>
    <w:rsid w:val="000A57EA"/>
    <w:rsid w:val="000A59B6"/>
    <w:rsid w:val="000A5AE8"/>
    <w:rsid w:val="000A5B13"/>
    <w:rsid w:val="000A5B27"/>
    <w:rsid w:val="000A5B63"/>
    <w:rsid w:val="000A5D5A"/>
    <w:rsid w:val="000A5EFE"/>
    <w:rsid w:val="000A5F3C"/>
    <w:rsid w:val="000A609C"/>
    <w:rsid w:val="000A6126"/>
    <w:rsid w:val="000A61D5"/>
    <w:rsid w:val="000A6291"/>
    <w:rsid w:val="000A629A"/>
    <w:rsid w:val="000A62B1"/>
    <w:rsid w:val="000A6318"/>
    <w:rsid w:val="000A6505"/>
    <w:rsid w:val="000A6533"/>
    <w:rsid w:val="000A65B2"/>
    <w:rsid w:val="000A6612"/>
    <w:rsid w:val="000A6634"/>
    <w:rsid w:val="000A6727"/>
    <w:rsid w:val="000A6A03"/>
    <w:rsid w:val="000A6A9C"/>
    <w:rsid w:val="000A6D5B"/>
    <w:rsid w:val="000A6DA3"/>
    <w:rsid w:val="000A6E5A"/>
    <w:rsid w:val="000A6EBB"/>
    <w:rsid w:val="000A6EC8"/>
    <w:rsid w:val="000A6FC8"/>
    <w:rsid w:val="000A6FFA"/>
    <w:rsid w:val="000A7173"/>
    <w:rsid w:val="000A71A4"/>
    <w:rsid w:val="000A71CA"/>
    <w:rsid w:val="000A724A"/>
    <w:rsid w:val="000A727F"/>
    <w:rsid w:val="000A7315"/>
    <w:rsid w:val="000A7374"/>
    <w:rsid w:val="000A73DF"/>
    <w:rsid w:val="000A748E"/>
    <w:rsid w:val="000A74A6"/>
    <w:rsid w:val="000A75BD"/>
    <w:rsid w:val="000A7729"/>
    <w:rsid w:val="000A7805"/>
    <w:rsid w:val="000A7863"/>
    <w:rsid w:val="000A799B"/>
    <w:rsid w:val="000A7A26"/>
    <w:rsid w:val="000A7A46"/>
    <w:rsid w:val="000A7BC1"/>
    <w:rsid w:val="000A7E65"/>
    <w:rsid w:val="000B008A"/>
    <w:rsid w:val="000B00B4"/>
    <w:rsid w:val="000B02E6"/>
    <w:rsid w:val="000B043A"/>
    <w:rsid w:val="000B0491"/>
    <w:rsid w:val="000B04EC"/>
    <w:rsid w:val="000B07EE"/>
    <w:rsid w:val="000B081F"/>
    <w:rsid w:val="000B0A1B"/>
    <w:rsid w:val="000B0B3D"/>
    <w:rsid w:val="000B0CA7"/>
    <w:rsid w:val="000B0CF6"/>
    <w:rsid w:val="000B0D34"/>
    <w:rsid w:val="000B0D9B"/>
    <w:rsid w:val="000B0F19"/>
    <w:rsid w:val="000B0F6C"/>
    <w:rsid w:val="000B0FBD"/>
    <w:rsid w:val="000B1036"/>
    <w:rsid w:val="000B10D9"/>
    <w:rsid w:val="000B122D"/>
    <w:rsid w:val="000B1289"/>
    <w:rsid w:val="000B12C9"/>
    <w:rsid w:val="000B12F4"/>
    <w:rsid w:val="000B138E"/>
    <w:rsid w:val="000B13BB"/>
    <w:rsid w:val="000B15B1"/>
    <w:rsid w:val="000B15D6"/>
    <w:rsid w:val="000B1804"/>
    <w:rsid w:val="000B1A43"/>
    <w:rsid w:val="000B1AE4"/>
    <w:rsid w:val="000B1C12"/>
    <w:rsid w:val="000B1D46"/>
    <w:rsid w:val="000B1DA5"/>
    <w:rsid w:val="000B2101"/>
    <w:rsid w:val="000B2124"/>
    <w:rsid w:val="000B229E"/>
    <w:rsid w:val="000B254E"/>
    <w:rsid w:val="000B26A6"/>
    <w:rsid w:val="000B26F1"/>
    <w:rsid w:val="000B2707"/>
    <w:rsid w:val="000B279B"/>
    <w:rsid w:val="000B27EE"/>
    <w:rsid w:val="000B2828"/>
    <w:rsid w:val="000B284D"/>
    <w:rsid w:val="000B28A5"/>
    <w:rsid w:val="000B28ED"/>
    <w:rsid w:val="000B295E"/>
    <w:rsid w:val="000B2989"/>
    <w:rsid w:val="000B2AB4"/>
    <w:rsid w:val="000B2BA5"/>
    <w:rsid w:val="000B2D48"/>
    <w:rsid w:val="000B2D71"/>
    <w:rsid w:val="000B2E89"/>
    <w:rsid w:val="000B2F05"/>
    <w:rsid w:val="000B3345"/>
    <w:rsid w:val="000B334D"/>
    <w:rsid w:val="000B35C7"/>
    <w:rsid w:val="000B35E3"/>
    <w:rsid w:val="000B3647"/>
    <w:rsid w:val="000B3652"/>
    <w:rsid w:val="000B36C2"/>
    <w:rsid w:val="000B36C3"/>
    <w:rsid w:val="000B36D5"/>
    <w:rsid w:val="000B373B"/>
    <w:rsid w:val="000B3D80"/>
    <w:rsid w:val="000B3ED7"/>
    <w:rsid w:val="000B410B"/>
    <w:rsid w:val="000B4130"/>
    <w:rsid w:val="000B4174"/>
    <w:rsid w:val="000B4564"/>
    <w:rsid w:val="000B45A3"/>
    <w:rsid w:val="000B4785"/>
    <w:rsid w:val="000B4811"/>
    <w:rsid w:val="000B4875"/>
    <w:rsid w:val="000B48E0"/>
    <w:rsid w:val="000B48F8"/>
    <w:rsid w:val="000B49CA"/>
    <w:rsid w:val="000B4A74"/>
    <w:rsid w:val="000B4AEC"/>
    <w:rsid w:val="000B4DC3"/>
    <w:rsid w:val="000B4E60"/>
    <w:rsid w:val="000B4EA5"/>
    <w:rsid w:val="000B4F25"/>
    <w:rsid w:val="000B500C"/>
    <w:rsid w:val="000B500F"/>
    <w:rsid w:val="000B50D8"/>
    <w:rsid w:val="000B5167"/>
    <w:rsid w:val="000B52EE"/>
    <w:rsid w:val="000B533A"/>
    <w:rsid w:val="000B5344"/>
    <w:rsid w:val="000B54BA"/>
    <w:rsid w:val="000B5553"/>
    <w:rsid w:val="000B586F"/>
    <w:rsid w:val="000B58D2"/>
    <w:rsid w:val="000B5905"/>
    <w:rsid w:val="000B5A02"/>
    <w:rsid w:val="000B5AAC"/>
    <w:rsid w:val="000B5B2B"/>
    <w:rsid w:val="000B5B6C"/>
    <w:rsid w:val="000B5B95"/>
    <w:rsid w:val="000B5B9A"/>
    <w:rsid w:val="000B5D9C"/>
    <w:rsid w:val="000B5DDC"/>
    <w:rsid w:val="000B5E99"/>
    <w:rsid w:val="000B5EE0"/>
    <w:rsid w:val="000B615C"/>
    <w:rsid w:val="000B62B2"/>
    <w:rsid w:val="000B631F"/>
    <w:rsid w:val="000B6358"/>
    <w:rsid w:val="000B642B"/>
    <w:rsid w:val="000B65B8"/>
    <w:rsid w:val="000B65C5"/>
    <w:rsid w:val="000B65FB"/>
    <w:rsid w:val="000B67F8"/>
    <w:rsid w:val="000B6807"/>
    <w:rsid w:val="000B681B"/>
    <w:rsid w:val="000B685F"/>
    <w:rsid w:val="000B686D"/>
    <w:rsid w:val="000B6916"/>
    <w:rsid w:val="000B69F8"/>
    <w:rsid w:val="000B6C69"/>
    <w:rsid w:val="000B6F68"/>
    <w:rsid w:val="000B6FEF"/>
    <w:rsid w:val="000B6FF3"/>
    <w:rsid w:val="000B70A7"/>
    <w:rsid w:val="000B712C"/>
    <w:rsid w:val="000B713D"/>
    <w:rsid w:val="000B717E"/>
    <w:rsid w:val="000B7186"/>
    <w:rsid w:val="000B7342"/>
    <w:rsid w:val="000B7733"/>
    <w:rsid w:val="000B77C7"/>
    <w:rsid w:val="000B787F"/>
    <w:rsid w:val="000B79B7"/>
    <w:rsid w:val="000B7A53"/>
    <w:rsid w:val="000B7A62"/>
    <w:rsid w:val="000B7A93"/>
    <w:rsid w:val="000B7BD6"/>
    <w:rsid w:val="000B7C20"/>
    <w:rsid w:val="000C00F9"/>
    <w:rsid w:val="000C02CE"/>
    <w:rsid w:val="000C038B"/>
    <w:rsid w:val="000C03E6"/>
    <w:rsid w:val="000C0428"/>
    <w:rsid w:val="000C05C3"/>
    <w:rsid w:val="000C075E"/>
    <w:rsid w:val="000C0770"/>
    <w:rsid w:val="000C09CD"/>
    <w:rsid w:val="000C0A2F"/>
    <w:rsid w:val="000C0B66"/>
    <w:rsid w:val="000C0BBD"/>
    <w:rsid w:val="000C0BCE"/>
    <w:rsid w:val="000C0C48"/>
    <w:rsid w:val="000C0C7B"/>
    <w:rsid w:val="000C0EC6"/>
    <w:rsid w:val="000C0F58"/>
    <w:rsid w:val="000C0FB8"/>
    <w:rsid w:val="000C10EC"/>
    <w:rsid w:val="000C1179"/>
    <w:rsid w:val="000C14F7"/>
    <w:rsid w:val="000C18BF"/>
    <w:rsid w:val="000C18CC"/>
    <w:rsid w:val="000C1AA2"/>
    <w:rsid w:val="000C1B21"/>
    <w:rsid w:val="000C1C1A"/>
    <w:rsid w:val="000C1C91"/>
    <w:rsid w:val="000C1D64"/>
    <w:rsid w:val="000C1DB3"/>
    <w:rsid w:val="000C1E35"/>
    <w:rsid w:val="000C1EE3"/>
    <w:rsid w:val="000C1FE9"/>
    <w:rsid w:val="000C2038"/>
    <w:rsid w:val="000C20E2"/>
    <w:rsid w:val="000C251B"/>
    <w:rsid w:val="000C2626"/>
    <w:rsid w:val="000C2747"/>
    <w:rsid w:val="000C275A"/>
    <w:rsid w:val="000C27D5"/>
    <w:rsid w:val="000C290D"/>
    <w:rsid w:val="000C2976"/>
    <w:rsid w:val="000C29DB"/>
    <w:rsid w:val="000C2A09"/>
    <w:rsid w:val="000C2A2E"/>
    <w:rsid w:val="000C2BE1"/>
    <w:rsid w:val="000C2D6E"/>
    <w:rsid w:val="000C2DAA"/>
    <w:rsid w:val="000C2F15"/>
    <w:rsid w:val="000C2F23"/>
    <w:rsid w:val="000C303C"/>
    <w:rsid w:val="000C309E"/>
    <w:rsid w:val="000C30BE"/>
    <w:rsid w:val="000C31BF"/>
    <w:rsid w:val="000C31D6"/>
    <w:rsid w:val="000C34FA"/>
    <w:rsid w:val="000C357E"/>
    <w:rsid w:val="000C371D"/>
    <w:rsid w:val="000C3A72"/>
    <w:rsid w:val="000C3AA2"/>
    <w:rsid w:val="000C3AC4"/>
    <w:rsid w:val="000C3B33"/>
    <w:rsid w:val="000C3B43"/>
    <w:rsid w:val="000C3B52"/>
    <w:rsid w:val="000C3BD7"/>
    <w:rsid w:val="000C3C1E"/>
    <w:rsid w:val="000C3DEA"/>
    <w:rsid w:val="000C3F3D"/>
    <w:rsid w:val="000C4086"/>
    <w:rsid w:val="000C4158"/>
    <w:rsid w:val="000C416F"/>
    <w:rsid w:val="000C41F9"/>
    <w:rsid w:val="000C43A3"/>
    <w:rsid w:val="000C43E0"/>
    <w:rsid w:val="000C46DB"/>
    <w:rsid w:val="000C4A54"/>
    <w:rsid w:val="000C4AB9"/>
    <w:rsid w:val="000C4AC8"/>
    <w:rsid w:val="000C4AE4"/>
    <w:rsid w:val="000C4C4A"/>
    <w:rsid w:val="000C4D1A"/>
    <w:rsid w:val="000C4DCF"/>
    <w:rsid w:val="000C4E21"/>
    <w:rsid w:val="000C4E22"/>
    <w:rsid w:val="000C50EC"/>
    <w:rsid w:val="000C51D2"/>
    <w:rsid w:val="000C5280"/>
    <w:rsid w:val="000C52C0"/>
    <w:rsid w:val="000C5352"/>
    <w:rsid w:val="000C537A"/>
    <w:rsid w:val="000C5399"/>
    <w:rsid w:val="000C53FA"/>
    <w:rsid w:val="000C5403"/>
    <w:rsid w:val="000C5598"/>
    <w:rsid w:val="000C5601"/>
    <w:rsid w:val="000C56BF"/>
    <w:rsid w:val="000C57E3"/>
    <w:rsid w:val="000C58A3"/>
    <w:rsid w:val="000C5A62"/>
    <w:rsid w:val="000C5C58"/>
    <w:rsid w:val="000C5C8E"/>
    <w:rsid w:val="000C5CBC"/>
    <w:rsid w:val="000C5D43"/>
    <w:rsid w:val="000C5DAE"/>
    <w:rsid w:val="000C5E61"/>
    <w:rsid w:val="000C5EC0"/>
    <w:rsid w:val="000C629D"/>
    <w:rsid w:val="000C6476"/>
    <w:rsid w:val="000C6594"/>
    <w:rsid w:val="000C65DF"/>
    <w:rsid w:val="000C66AB"/>
    <w:rsid w:val="000C6729"/>
    <w:rsid w:val="000C6748"/>
    <w:rsid w:val="000C67D3"/>
    <w:rsid w:val="000C6946"/>
    <w:rsid w:val="000C6966"/>
    <w:rsid w:val="000C6A7B"/>
    <w:rsid w:val="000C6ADF"/>
    <w:rsid w:val="000C6B4A"/>
    <w:rsid w:val="000C6CF4"/>
    <w:rsid w:val="000C6DDD"/>
    <w:rsid w:val="000C6ED5"/>
    <w:rsid w:val="000C7157"/>
    <w:rsid w:val="000C7181"/>
    <w:rsid w:val="000C71AC"/>
    <w:rsid w:val="000C720C"/>
    <w:rsid w:val="000C7488"/>
    <w:rsid w:val="000C7559"/>
    <w:rsid w:val="000C76BA"/>
    <w:rsid w:val="000C76CD"/>
    <w:rsid w:val="000C7D7A"/>
    <w:rsid w:val="000C7ECF"/>
    <w:rsid w:val="000C7EFA"/>
    <w:rsid w:val="000C7F21"/>
    <w:rsid w:val="000CAFBF"/>
    <w:rsid w:val="000D0007"/>
    <w:rsid w:val="000D0466"/>
    <w:rsid w:val="000D046F"/>
    <w:rsid w:val="000D047C"/>
    <w:rsid w:val="000D0812"/>
    <w:rsid w:val="000D0BC0"/>
    <w:rsid w:val="000D0C9E"/>
    <w:rsid w:val="000D0DE2"/>
    <w:rsid w:val="000D0EC3"/>
    <w:rsid w:val="000D0EE2"/>
    <w:rsid w:val="000D0F59"/>
    <w:rsid w:val="000D12D9"/>
    <w:rsid w:val="000D13FA"/>
    <w:rsid w:val="000D1637"/>
    <w:rsid w:val="000D164B"/>
    <w:rsid w:val="000D1814"/>
    <w:rsid w:val="000D18A8"/>
    <w:rsid w:val="000D19F2"/>
    <w:rsid w:val="000D1A72"/>
    <w:rsid w:val="000D1C05"/>
    <w:rsid w:val="000D1D8B"/>
    <w:rsid w:val="000D1DD4"/>
    <w:rsid w:val="000D1E60"/>
    <w:rsid w:val="000D1F33"/>
    <w:rsid w:val="000D1FE1"/>
    <w:rsid w:val="000D2005"/>
    <w:rsid w:val="000D20CE"/>
    <w:rsid w:val="000D20EA"/>
    <w:rsid w:val="000D21EB"/>
    <w:rsid w:val="000D2251"/>
    <w:rsid w:val="000D2272"/>
    <w:rsid w:val="000D2363"/>
    <w:rsid w:val="000D239A"/>
    <w:rsid w:val="000D23A0"/>
    <w:rsid w:val="000D245E"/>
    <w:rsid w:val="000D25E1"/>
    <w:rsid w:val="000D26BE"/>
    <w:rsid w:val="000D29A7"/>
    <w:rsid w:val="000D2AE3"/>
    <w:rsid w:val="000D2C18"/>
    <w:rsid w:val="000D2C2E"/>
    <w:rsid w:val="000D2D15"/>
    <w:rsid w:val="000D2D45"/>
    <w:rsid w:val="000D2DE1"/>
    <w:rsid w:val="000D30B3"/>
    <w:rsid w:val="000D3120"/>
    <w:rsid w:val="000D3513"/>
    <w:rsid w:val="000D3582"/>
    <w:rsid w:val="000D364F"/>
    <w:rsid w:val="000D37AF"/>
    <w:rsid w:val="000D39A6"/>
    <w:rsid w:val="000D3B7D"/>
    <w:rsid w:val="000D3BA5"/>
    <w:rsid w:val="000D3C40"/>
    <w:rsid w:val="000D3D46"/>
    <w:rsid w:val="000D3EAB"/>
    <w:rsid w:val="000D3EE8"/>
    <w:rsid w:val="000D3F0C"/>
    <w:rsid w:val="000D41BD"/>
    <w:rsid w:val="000D420D"/>
    <w:rsid w:val="000D4265"/>
    <w:rsid w:val="000D4390"/>
    <w:rsid w:val="000D451A"/>
    <w:rsid w:val="000D4600"/>
    <w:rsid w:val="000D46B1"/>
    <w:rsid w:val="000D480E"/>
    <w:rsid w:val="000D489E"/>
    <w:rsid w:val="000D48B4"/>
    <w:rsid w:val="000D4A25"/>
    <w:rsid w:val="000D4A45"/>
    <w:rsid w:val="000D4B1F"/>
    <w:rsid w:val="000D4BD7"/>
    <w:rsid w:val="000D4C61"/>
    <w:rsid w:val="000D4C74"/>
    <w:rsid w:val="000D4D6F"/>
    <w:rsid w:val="000D4F65"/>
    <w:rsid w:val="000D50D3"/>
    <w:rsid w:val="000D51BB"/>
    <w:rsid w:val="000D5226"/>
    <w:rsid w:val="000D530C"/>
    <w:rsid w:val="000D5674"/>
    <w:rsid w:val="000D571E"/>
    <w:rsid w:val="000D57CF"/>
    <w:rsid w:val="000D5825"/>
    <w:rsid w:val="000D588D"/>
    <w:rsid w:val="000D5957"/>
    <w:rsid w:val="000D595F"/>
    <w:rsid w:val="000D5A63"/>
    <w:rsid w:val="000D5A8A"/>
    <w:rsid w:val="000D5AFF"/>
    <w:rsid w:val="000D5B08"/>
    <w:rsid w:val="000D5C86"/>
    <w:rsid w:val="000D5D4D"/>
    <w:rsid w:val="000D5DD3"/>
    <w:rsid w:val="000D5F42"/>
    <w:rsid w:val="000D5F7B"/>
    <w:rsid w:val="000D5FE3"/>
    <w:rsid w:val="000D5FE8"/>
    <w:rsid w:val="000D6061"/>
    <w:rsid w:val="000D6067"/>
    <w:rsid w:val="000D63A7"/>
    <w:rsid w:val="000D63CA"/>
    <w:rsid w:val="000D64CE"/>
    <w:rsid w:val="000D64F2"/>
    <w:rsid w:val="000D65A7"/>
    <w:rsid w:val="000D6DE5"/>
    <w:rsid w:val="000D7025"/>
    <w:rsid w:val="000D702D"/>
    <w:rsid w:val="000D716C"/>
    <w:rsid w:val="000D726D"/>
    <w:rsid w:val="000D729D"/>
    <w:rsid w:val="000D74F5"/>
    <w:rsid w:val="000D750C"/>
    <w:rsid w:val="000D758E"/>
    <w:rsid w:val="000D78F1"/>
    <w:rsid w:val="000D7B04"/>
    <w:rsid w:val="000D7CCD"/>
    <w:rsid w:val="000D7E45"/>
    <w:rsid w:val="000D7ED3"/>
    <w:rsid w:val="000D7F02"/>
    <w:rsid w:val="000E0029"/>
    <w:rsid w:val="000E0089"/>
    <w:rsid w:val="000E0130"/>
    <w:rsid w:val="000E03C4"/>
    <w:rsid w:val="000E03E3"/>
    <w:rsid w:val="000E047E"/>
    <w:rsid w:val="000E04B6"/>
    <w:rsid w:val="000E0726"/>
    <w:rsid w:val="000E092D"/>
    <w:rsid w:val="000E09C3"/>
    <w:rsid w:val="000E0A14"/>
    <w:rsid w:val="000E0A3F"/>
    <w:rsid w:val="000E0A80"/>
    <w:rsid w:val="000E0ADA"/>
    <w:rsid w:val="000E0B82"/>
    <w:rsid w:val="000E0B8C"/>
    <w:rsid w:val="000E0BA6"/>
    <w:rsid w:val="000E0C7D"/>
    <w:rsid w:val="000E0D5F"/>
    <w:rsid w:val="000E0F5C"/>
    <w:rsid w:val="000E1096"/>
    <w:rsid w:val="000E10F7"/>
    <w:rsid w:val="000E1140"/>
    <w:rsid w:val="000E1260"/>
    <w:rsid w:val="000E13B8"/>
    <w:rsid w:val="000E13D9"/>
    <w:rsid w:val="000E1547"/>
    <w:rsid w:val="000E163C"/>
    <w:rsid w:val="000E16AA"/>
    <w:rsid w:val="000E1776"/>
    <w:rsid w:val="000E1A45"/>
    <w:rsid w:val="000E1ABB"/>
    <w:rsid w:val="000E1B7E"/>
    <w:rsid w:val="000E1D35"/>
    <w:rsid w:val="000E1E5A"/>
    <w:rsid w:val="000E1F8A"/>
    <w:rsid w:val="000E1FEB"/>
    <w:rsid w:val="000E2003"/>
    <w:rsid w:val="000E21D4"/>
    <w:rsid w:val="000E227E"/>
    <w:rsid w:val="000E2356"/>
    <w:rsid w:val="000E23F6"/>
    <w:rsid w:val="000E2515"/>
    <w:rsid w:val="000E251A"/>
    <w:rsid w:val="000E254B"/>
    <w:rsid w:val="000E25E1"/>
    <w:rsid w:val="000E2631"/>
    <w:rsid w:val="000E264B"/>
    <w:rsid w:val="000E26DB"/>
    <w:rsid w:val="000E272F"/>
    <w:rsid w:val="000E2777"/>
    <w:rsid w:val="000E2792"/>
    <w:rsid w:val="000E27BE"/>
    <w:rsid w:val="000E28A2"/>
    <w:rsid w:val="000E29F6"/>
    <w:rsid w:val="000E2A22"/>
    <w:rsid w:val="000E2BF8"/>
    <w:rsid w:val="000E2C2C"/>
    <w:rsid w:val="000E2C98"/>
    <w:rsid w:val="000E2E45"/>
    <w:rsid w:val="000E2E8C"/>
    <w:rsid w:val="000E3111"/>
    <w:rsid w:val="000E3191"/>
    <w:rsid w:val="000E3223"/>
    <w:rsid w:val="000E341B"/>
    <w:rsid w:val="000E3512"/>
    <w:rsid w:val="000E35D1"/>
    <w:rsid w:val="000E3606"/>
    <w:rsid w:val="000E363D"/>
    <w:rsid w:val="000E37D0"/>
    <w:rsid w:val="000E38A8"/>
    <w:rsid w:val="000E391D"/>
    <w:rsid w:val="000E392E"/>
    <w:rsid w:val="000E39A9"/>
    <w:rsid w:val="000E3B25"/>
    <w:rsid w:val="000E3B9A"/>
    <w:rsid w:val="000E3C86"/>
    <w:rsid w:val="000E3E86"/>
    <w:rsid w:val="000E3F9A"/>
    <w:rsid w:val="000E417B"/>
    <w:rsid w:val="000E4579"/>
    <w:rsid w:val="000E4730"/>
    <w:rsid w:val="000E47B4"/>
    <w:rsid w:val="000E48A7"/>
    <w:rsid w:val="000E49D5"/>
    <w:rsid w:val="000E4AA2"/>
    <w:rsid w:val="000E4B38"/>
    <w:rsid w:val="000E4E0B"/>
    <w:rsid w:val="000E5026"/>
    <w:rsid w:val="000E5115"/>
    <w:rsid w:val="000E51A8"/>
    <w:rsid w:val="000E5224"/>
    <w:rsid w:val="000E527D"/>
    <w:rsid w:val="000E52AF"/>
    <w:rsid w:val="000E5399"/>
    <w:rsid w:val="000E545E"/>
    <w:rsid w:val="000E5486"/>
    <w:rsid w:val="000E56F9"/>
    <w:rsid w:val="000E58B9"/>
    <w:rsid w:val="000E58FD"/>
    <w:rsid w:val="000E5963"/>
    <w:rsid w:val="000E5B47"/>
    <w:rsid w:val="000E5C5E"/>
    <w:rsid w:val="000E5CDC"/>
    <w:rsid w:val="000E5D7A"/>
    <w:rsid w:val="000E5F53"/>
    <w:rsid w:val="000E60B9"/>
    <w:rsid w:val="000E60F5"/>
    <w:rsid w:val="000E61BF"/>
    <w:rsid w:val="000E61D1"/>
    <w:rsid w:val="000E621F"/>
    <w:rsid w:val="000E6248"/>
    <w:rsid w:val="000E63E9"/>
    <w:rsid w:val="000E6409"/>
    <w:rsid w:val="000E654F"/>
    <w:rsid w:val="000E6564"/>
    <w:rsid w:val="000E662F"/>
    <w:rsid w:val="000E669C"/>
    <w:rsid w:val="000E676B"/>
    <w:rsid w:val="000E6796"/>
    <w:rsid w:val="000E68DC"/>
    <w:rsid w:val="000E699C"/>
    <w:rsid w:val="000E69AF"/>
    <w:rsid w:val="000E6AB3"/>
    <w:rsid w:val="000E6AC4"/>
    <w:rsid w:val="000E6C0B"/>
    <w:rsid w:val="000E6E50"/>
    <w:rsid w:val="000E6E70"/>
    <w:rsid w:val="000E6EEB"/>
    <w:rsid w:val="000E6EF9"/>
    <w:rsid w:val="000E6F82"/>
    <w:rsid w:val="000E6FE7"/>
    <w:rsid w:val="000E7007"/>
    <w:rsid w:val="000E7070"/>
    <w:rsid w:val="000E7274"/>
    <w:rsid w:val="000E74AF"/>
    <w:rsid w:val="000E754D"/>
    <w:rsid w:val="000E7631"/>
    <w:rsid w:val="000E7738"/>
    <w:rsid w:val="000E7788"/>
    <w:rsid w:val="000E7920"/>
    <w:rsid w:val="000E79BA"/>
    <w:rsid w:val="000E7C79"/>
    <w:rsid w:val="000E7F1E"/>
    <w:rsid w:val="000E7F2A"/>
    <w:rsid w:val="000E7FE3"/>
    <w:rsid w:val="000F0004"/>
    <w:rsid w:val="000F032B"/>
    <w:rsid w:val="000F0441"/>
    <w:rsid w:val="000F086F"/>
    <w:rsid w:val="000F0962"/>
    <w:rsid w:val="000F097D"/>
    <w:rsid w:val="000F09AA"/>
    <w:rsid w:val="000F09AE"/>
    <w:rsid w:val="000F0DAD"/>
    <w:rsid w:val="000F0DDA"/>
    <w:rsid w:val="000F0E7B"/>
    <w:rsid w:val="000F0E9F"/>
    <w:rsid w:val="000F1018"/>
    <w:rsid w:val="000F1023"/>
    <w:rsid w:val="000F10A4"/>
    <w:rsid w:val="000F1434"/>
    <w:rsid w:val="000F144E"/>
    <w:rsid w:val="000F158D"/>
    <w:rsid w:val="000F1698"/>
    <w:rsid w:val="000F172D"/>
    <w:rsid w:val="000F17E8"/>
    <w:rsid w:val="000F1862"/>
    <w:rsid w:val="000F188F"/>
    <w:rsid w:val="000F1954"/>
    <w:rsid w:val="000F1C02"/>
    <w:rsid w:val="000F1D71"/>
    <w:rsid w:val="000F1ECD"/>
    <w:rsid w:val="000F1F7A"/>
    <w:rsid w:val="000F1FDA"/>
    <w:rsid w:val="000F207B"/>
    <w:rsid w:val="000F20A3"/>
    <w:rsid w:val="000F20A6"/>
    <w:rsid w:val="000F20B6"/>
    <w:rsid w:val="000F2287"/>
    <w:rsid w:val="000F2336"/>
    <w:rsid w:val="000F248D"/>
    <w:rsid w:val="000F24DC"/>
    <w:rsid w:val="000F2526"/>
    <w:rsid w:val="000F2795"/>
    <w:rsid w:val="000F28A7"/>
    <w:rsid w:val="000F2946"/>
    <w:rsid w:val="000F29F9"/>
    <w:rsid w:val="000F2A8B"/>
    <w:rsid w:val="000F2A96"/>
    <w:rsid w:val="000F2CB5"/>
    <w:rsid w:val="000F2DF3"/>
    <w:rsid w:val="000F2E3C"/>
    <w:rsid w:val="000F2F2E"/>
    <w:rsid w:val="000F30A0"/>
    <w:rsid w:val="000F3127"/>
    <w:rsid w:val="000F314D"/>
    <w:rsid w:val="000F3179"/>
    <w:rsid w:val="000F31E4"/>
    <w:rsid w:val="000F3355"/>
    <w:rsid w:val="000F33A5"/>
    <w:rsid w:val="000F34D2"/>
    <w:rsid w:val="000F3591"/>
    <w:rsid w:val="000F35A9"/>
    <w:rsid w:val="000F368C"/>
    <w:rsid w:val="000F3845"/>
    <w:rsid w:val="000F3BC5"/>
    <w:rsid w:val="000F3C86"/>
    <w:rsid w:val="000F3DAF"/>
    <w:rsid w:val="000F3E5C"/>
    <w:rsid w:val="000F401D"/>
    <w:rsid w:val="000F402C"/>
    <w:rsid w:val="000F40B9"/>
    <w:rsid w:val="000F4120"/>
    <w:rsid w:val="000F417D"/>
    <w:rsid w:val="000F41A3"/>
    <w:rsid w:val="000F42DB"/>
    <w:rsid w:val="000F42FD"/>
    <w:rsid w:val="000F447B"/>
    <w:rsid w:val="000F44F3"/>
    <w:rsid w:val="000F44FA"/>
    <w:rsid w:val="000F477B"/>
    <w:rsid w:val="000F47BA"/>
    <w:rsid w:val="000F4812"/>
    <w:rsid w:val="000F4824"/>
    <w:rsid w:val="000F4907"/>
    <w:rsid w:val="000F4B16"/>
    <w:rsid w:val="000F4D09"/>
    <w:rsid w:val="000F4D5C"/>
    <w:rsid w:val="000F4DF1"/>
    <w:rsid w:val="000F4DF7"/>
    <w:rsid w:val="000F4E07"/>
    <w:rsid w:val="000F4E99"/>
    <w:rsid w:val="000F4FE3"/>
    <w:rsid w:val="000F4FF2"/>
    <w:rsid w:val="000F4FF4"/>
    <w:rsid w:val="000F5090"/>
    <w:rsid w:val="000F5093"/>
    <w:rsid w:val="000F50E2"/>
    <w:rsid w:val="000F5101"/>
    <w:rsid w:val="000F5207"/>
    <w:rsid w:val="000F53AE"/>
    <w:rsid w:val="000F5422"/>
    <w:rsid w:val="000F5434"/>
    <w:rsid w:val="000F54AE"/>
    <w:rsid w:val="000F5574"/>
    <w:rsid w:val="000F566A"/>
    <w:rsid w:val="000F573C"/>
    <w:rsid w:val="000F57C0"/>
    <w:rsid w:val="000F58CD"/>
    <w:rsid w:val="000F5954"/>
    <w:rsid w:val="000F5966"/>
    <w:rsid w:val="000F5A2A"/>
    <w:rsid w:val="000F5A4E"/>
    <w:rsid w:val="000F5A95"/>
    <w:rsid w:val="000F5AA3"/>
    <w:rsid w:val="000F5B3E"/>
    <w:rsid w:val="000F5BAE"/>
    <w:rsid w:val="000F5BF5"/>
    <w:rsid w:val="000F5C49"/>
    <w:rsid w:val="000F5D7B"/>
    <w:rsid w:val="000F5DA1"/>
    <w:rsid w:val="000F5E04"/>
    <w:rsid w:val="000F6071"/>
    <w:rsid w:val="000F6145"/>
    <w:rsid w:val="000F6291"/>
    <w:rsid w:val="000F645A"/>
    <w:rsid w:val="000F64EF"/>
    <w:rsid w:val="000F6504"/>
    <w:rsid w:val="000F65A2"/>
    <w:rsid w:val="000F69FB"/>
    <w:rsid w:val="000F6A12"/>
    <w:rsid w:val="000F6A80"/>
    <w:rsid w:val="000F6A9B"/>
    <w:rsid w:val="000F6B86"/>
    <w:rsid w:val="000F6BAC"/>
    <w:rsid w:val="000F6C1E"/>
    <w:rsid w:val="000F6D25"/>
    <w:rsid w:val="000F6DBD"/>
    <w:rsid w:val="000F6E01"/>
    <w:rsid w:val="000F6E8C"/>
    <w:rsid w:val="000F6EA1"/>
    <w:rsid w:val="000F6FF7"/>
    <w:rsid w:val="000F735B"/>
    <w:rsid w:val="000F74FA"/>
    <w:rsid w:val="000F75C4"/>
    <w:rsid w:val="000F76D6"/>
    <w:rsid w:val="000F77C2"/>
    <w:rsid w:val="000F786D"/>
    <w:rsid w:val="000F78A5"/>
    <w:rsid w:val="000F796D"/>
    <w:rsid w:val="000F7A00"/>
    <w:rsid w:val="000F7BC2"/>
    <w:rsid w:val="000F7C7A"/>
    <w:rsid w:val="000F7CF8"/>
    <w:rsid w:val="000F7F39"/>
    <w:rsid w:val="00100064"/>
    <w:rsid w:val="00100066"/>
    <w:rsid w:val="00100070"/>
    <w:rsid w:val="0010015E"/>
    <w:rsid w:val="001001F2"/>
    <w:rsid w:val="0010022B"/>
    <w:rsid w:val="00100268"/>
    <w:rsid w:val="001002A1"/>
    <w:rsid w:val="0010058B"/>
    <w:rsid w:val="001005B5"/>
    <w:rsid w:val="001005EE"/>
    <w:rsid w:val="00100617"/>
    <w:rsid w:val="00100631"/>
    <w:rsid w:val="001009FF"/>
    <w:rsid w:val="00100A60"/>
    <w:rsid w:val="00100C35"/>
    <w:rsid w:val="00100CEC"/>
    <w:rsid w:val="00100D72"/>
    <w:rsid w:val="00100D74"/>
    <w:rsid w:val="00101023"/>
    <w:rsid w:val="0010108C"/>
    <w:rsid w:val="001010C7"/>
    <w:rsid w:val="001010E1"/>
    <w:rsid w:val="0010127F"/>
    <w:rsid w:val="00101336"/>
    <w:rsid w:val="00101390"/>
    <w:rsid w:val="00101391"/>
    <w:rsid w:val="001016D5"/>
    <w:rsid w:val="00101708"/>
    <w:rsid w:val="00101779"/>
    <w:rsid w:val="0010182D"/>
    <w:rsid w:val="00101879"/>
    <w:rsid w:val="00101948"/>
    <w:rsid w:val="001019CD"/>
    <w:rsid w:val="00101BD1"/>
    <w:rsid w:val="00101C52"/>
    <w:rsid w:val="00101C65"/>
    <w:rsid w:val="00101D25"/>
    <w:rsid w:val="00101DAE"/>
    <w:rsid w:val="00101DB8"/>
    <w:rsid w:val="00101E95"/>
    <w:rsid w:val="00101FF4"/>
    <w:rsid w:val="001020BD"/>
    <w:rsid w:val="00102155"/>
    <w:rsid w:val="001021CB"/>
    <w:rsid w:val="00102345"/>
    <w:rsid w:val="001023B6"/>
    <w:rsid w:val="00102453"/>
    <w:rsid w:val="001027B2"/>
    <w:rsid w:val="001027FE"/>
    <w:rsid w:val="00102B32"/>
    <w:rsid w:val="00102C32"/>
    <w:rsid w:val="00102C35"/>
    <w:rsid w:val="00102CF2"/>
    <w:rsid w:val="00102E32"/>
    <w:rsid w:val="00102F4F"/>
    <w:rsid w:val="00102F8A"/>
    <w:rsid w:val="00102FD2"/>
    <w:rsid w:val="0010301C"/>
    <w:rsid w:val="00103074"/>
    <w:rsid w:val="00103075"/>
    <w:rsid w:val="00103171"/>
    <w:rsid w:val="001032CD"/>
    <w:rsid w:val="001033ED"/>
    <w:rsid w:val="00103403"/>
    <w:rsid w:val="00103688"/>
    <w:rsid w:val="00103A11"/>
    <w:rsid w:val="00103AE3"/>
    <w:rsid w:val="00103CC9"/>
    <w:rsid w:val="00103D46"/>
    <w:rsid w:val="00103D8B"/>
    <w:rsid w:val="00103FF4"/>
    <w:rsid w:val="00104028"/>
    <w:rsid w:val="001041E7"/>
    <w:rsid w:val="001042E3"/>
    <w:rsid w:val="00104539"/>
    <w:rsid w:val="0010456E"/>
    <w:rsid w:val="0010456F"/>
    <w:rsid w:val="00104604"/>
    <w:rsid w:val="0010475E"/>
    <w:rsid w:val="00104A5D"/>
    <w:rsid w:val="00104E50"/>
    <w:rsid w:val="00104F36"/>
    <w:rsid w:val="00105163"/>
    <w:rsid w:val="0010558D"/>
    <w:rsid w:val="001057DE"/>
    <w:rsid w:val="00105B3B"/>
    <w:rsid w:val="00105BFF"/>
    <w:rsid w:val="00105CEC"/>
    <w:rsid w:val="00105DA2"/>
    <w:rsid w:val="00105DC3"/>
    <w:rsid w:val="00105FAE"/>
    <w:rsid w:val="0010609B"/>
    <w:rsid w:val="001060C4"/>
    <w:rsid w:val="0010610D"/>
    <w:rsid w:val="00106125"/>
    <w:rsid w:val="001061C7"/>
    <w:rsid w:val="001061F3"/>
    <w:rsid w:val="001063D6"/>
    <w:rsid w:val="00106482"/>
    <w:rsid w:val="0010651B"/>
    <w:rsid w:val="00106966"/>
    <w:rsid w:val="00106A0A"/>
    <w:rsid w:val="00106A0D"/>
    <w:rsid w:val="00106B58"/>
    <w:rsid w:val="00106C04"/>
    <w:rsid w:val="00106C93"/>
    <w:rsid w:val="00106D0F"/>
    <w:rsid w:val="00106D66"/>
    <w:rsid w:val="00106DA3"/>
    <w:rsid w:val="00106DF8"/>
    <w:rsid w:val="001070EE"/>
    <w:rsid w:val="00107121"/>
    <w:rsid w:val="0010727E"/>
    <w:rsid w:val="0010730F"/>
    <w:rsid w:val="001074F6"/>
    <w:rsid w:val="001078D1"/>
    <w:rsid w:val="00107A83"/>
    <w:rsid w:val="00107C71"/>
    <w:rsid w:val="00107CAD"/>
    <w:rsid w:val="00107D04"/>
    <w:rsid w:val="00107D9F"/>
    <w:rsid w:val="00107DC7"/>
    <w:rsid w:val="00107E89"/>
    <w:rsid w:val="00107F1B"/>
    <w:rsid w:val="00107F62"/>
    <w:rsid w:val="00110065"/>
    <w:rsid w:val="001100D1"/>
    <w:rsid w:val="00110136"/>
    <w:rsid w:val="001103AD"/>
    <w:rsid w:val="0011047E"/>
    <w:rsid w:val="00110488"/>
    <w:rsid w:val="0011055F"/>
    <w:rsid w:val="00110632"/>
    <w:rsid w:val="001106E0"/>
    <w:rsid w:val="001106E1"/>
    <w:rsid w:val="0011082F"/>
    <w:rsid w:val="00110918"/>
    <w:rsid w:val="00110A64"/>
    <w:rsid w:val="00110B36"/>
    <w:rsid w:val="00110CE9"/>
    <w:rsid w:val="00110CF0"/>
    <w:rsid w:val="00110D3E"/>
    <w:rsid w:val="00110D5B"/>
    <w:rsid w:val="00110E60"/>
    <w:rsid w:val="00111068"/>
    <w:rsid w:val="0011108D"/>
    <w:rsid w:val="00111137"/>
    <w:rsid w:val="001111F9"/>
    <w:rsid w:val="001111FC"/>
    <w:rsid w:val="001112BB"/>
    <w:rsid w:val="0011146A"/>
    <w:rsid w:val="00111502"/>
    <w:rsid w:val="00111593"/>
    <w:rsid w:val="001115B5"/>
    <w:rsid w:val="0011186A"/>
    <w:rsid w:val="0011186C"/>
    <w:rsid w:val="0011187A"/>
    <w:rsid w:val="0011188A"/>
    <w:rsid w:val="00111931"/>
    <w:rsid w:val="001119EC"/>
    <w:rsid w:val="001119FD"/>
    <w:rsid w:val="00111A28"/>
    <w:rsid w:val="00111A60"/>
    <w:rsid w:val="00111AC7"/>
    <w:rsid w:val="00111AD3"/>
    <w:rsid w:val="00111B47"/>
    <w:rsid w:val="00111CF1"/>
    <w:rsid w:val="00111D88"/>
    <w:rsid w:val="00112092"/>
    <w:rsid w:val="00112135"/>
    <w:rsid w:val="00112166"/>
    <w:rsid w:val="00112183"/>
    <w:rsid w:val="00112354"/>
    <w:rsid w:val="001123FC"/>
    <w:rsid w:val="00112525"/>
    <w:rsid w:val="001125EC"/>
    <w:rsid w:val="00112637"/>
    <w:rsid w:val="001127A5"/>
    <w:rsid w:val="00112954"/>
    <w:rsid w:val="00112A8E"/>
    <w:rsid w:val="00112CDB"/>
    <w:rsid w:val="00112D09"/>
    <w:rsid w:val="00112FF4"/>
    <w:rsid w:val="001130C8"/>
    <w:rsid w:val="0011317D"/>
    <w:rsid w:val="001131C3"/>
    <w:rsid w:val="001132E8"/>
    <w:rsid w:val="00113403"/>
    <w:rsid w:val="001134DE"/>
    <w:rsid w:val="00113630"/>
    <w:rsid w:val="0011373D"/>
    <w:rsid w:val="0011394A"/>
    <w:rsid w:val="00113A7D"/>
    <w:rsid w:val="00113CD2"/>
    <w:rsid w:val="00113DD1"/>
    <w:rsid w:val="00113DD3"/>
    <w:rsid w:val="00113F78"/>
    <w:rsid w:val="00113FF1"/>
    <w:rsid w:val="0011401C"/>
    <w:rsid w:val="00114149"/>
    <w:rsid w:val="001141B0"/>
    <w:rsid w:val="001142DB"/>
    <w:rsid w:val="00114365"/>
    <w:rsid w:val="001143B7"/>
    <w:rsid w:val="0011449A"/>
    <w:rsid w:val="0011449C"/>
    <w:rsid w:val="0011454A"/>
    <w:rsid w:val="001145F5"/>
    <w:rsid w:val="0011477E"/>
    <w:rsid w:val="0011487C"/>
    <w:rsid w:val="00114B7D"/>
    <w:rsid w:val="00114BB2"/>
    <w:rsid w:val="00114C00"/>
    <w:rsid w:val="00114C1A"/>
    <w:rsid w:val="00114D25"/>
    <w:rsid w:val="00114D58"/>
    <w:rsid w:val="00114DF7"/>
    <w:rsid w:val="00114F10"/>
    <w:rsid w:val="00115074"/>
    <w:rsid w:val="0011511D"/>
    <w:rsid w:val="00115209"/>
    <w:rsid w:val="00115532"/>
    <w:rsid w:val="0011565D"/>
    <w:rsid w:val="0011583C"/>
    <w:rsid w:val="0011586F"/>
    <w:rsid w:val="00115B44"/>
    <w:rsid w:val="00115BE2"/>
    <w:rsid w:val="00115CFF"/>
    <w:rsid w:val="00115D49"/>
    <w:rsid w:val="00115DA2"/>
    <w:rsid w:val="00115ED8"/>
    <w:rsid w:val="0011606C"/>
    <w:rsid w:val="00116113"/>
    <w:rsid w:val="00116176"/>
    <w:rsid w:val="00116258"/>
    <w:rsid w:val="00116286"/>
    <w:rsid w:val="00116434"/>
    <w:rsid w:val="0011660B"/>
    <w:rsid w:val="001166C3"/>
    <w:rsid w:val="001166D7"/>
    <w:rsid w:val="001166FA"/>
    <w:rsid w:val="00116752"/>
    <w:rsid w:val="0011675E"/>
    <w:rsid w:val="001167AF"/>
    <w:rsid w:val="00116867"/>
    <w:rsid w:val="00116868"/>
    <w:rsid w:val="00116A14"/>
    <w:rsid w:val="00116A19"/>
    <w:rsid w:val="00116A6E"/>
    <w:rsid w:val="00116AAB"/>
    <w:rsid w:val="00116AC7"/>
    <w:rsid w:val="00116ADD"/>
    <w:rsid w:val="00116BAE"/>
    <w:rsid w:val="00116C8C"/>
    <w:rsid w:val="00116DAE"/>
    <w:rsid w:val="00116E5A"/>
    <w:rsid w:val="00116EE8"/>
    <w:rsid w:val="00116FD1"/>
    <w:rsid w:val="0011707A"/>
    <w:rsid w:val="001170D5"/>
    <w:rsid w:val="001170DC"/>
    <w:rsid w:val="0011718D"/>
    <w:rsid w:val="00117196"/>
    <w:rsid w:val="001171E9"/>
    <w:rsid w:val="0011745E"/>
    <w:rsid w:val="0011769E"/>
    <w:rsid w:val="001176F3"/>
    <w:rsid w:val="00117760"/>
    <w:rsid w:val="001177B1"/>
    <w:rsid w:val="00117871"/>
    <w:rsid w:val="001178DB"/>
    <w:rsid w:val="001179E5"/>
    <w:rsid w:val="00117A0E"/>
    <w:rsid w:val="00117A7A"/>
    <w:rsid w:val="00117B6F"/>
    <w:rsid w:val="00117D5B"/>
    <w:rsid w:val="00117E12"/>
    <w:rsid w:val="00120128"/>
    <w:rsid w:val="0012029F"/>
    <w:rsid w:val="0012032F"/>
    <w:rsid w:val="0012034A"/>
    <w:rsid w:val="00120362"/>
    <w:rsid w:val="00120395"/>
    <w:rsid w:val="00120423"/>
    <w:rsid w:val="001204C3"/>
    <w:rsid w:val="0012052F"/>
    <w:rsid w:val="00120558"/>
    <w:rsid w:val="0012055B"/>
    <w:rsid w:val="0012081B"/>
    <w:rsid w:val="0012089B"/>
    <w:rsid w:val="00120924"/>
    <w:rsid w:val="00120929"/>
    <w:rsid w:val="00120BDD"/>
    <w:rsid w:val="00120DDA"/>
    <w:rsid w:val="00120F1C"/>
    <w:rsid w:val="00120F62"/>
    <w:rsid w:val="00120F6B"/>
    <w:rsid w:val="00121669"/>
    <w:rsid w:val="00121679"/>
    <w:rsid w:val="00121680"/>
    <w:rsid w:val="001217CB"/>
    <w:rsid w:val="001217E8"/>
    <w:rsid w:val="00121820"/>
    <w:rsid w:val="0012199C"/>
    <w:rsid w:val="001219D9"/>
    <w:rsid w:val="00121A1B"/>
    <w:rsid w:val="00121AF5"/>
    <w:rsid w:val="00121C6E"/>
    <w:rsid w:val="00121CD7"/>
    <w:rsid w:val="00121CE6"/>
    <w:rsid w:val="00121FA5"/>
    <w:rsid w:val="00121FFE"/>
    <w:rsid w:val="001220D3"/>
    <w:rsid w:val="00122218"/>
    <w:rsid w:val="001222A5"/>
    <w:rsid w:val="0012243F"/>
    <w:rsid w:val="0012244B"/>
    <w:rsid w:val="001224FE"/>
    <w:rsid w:val="001229E7"/>
    <w:rsid w:val="00122DC9"/>
    <w:rsid w:val="00122E7F"/>
    <w:rsid w:val="00123019"/>
    <w:rsid w:val="001231A9"/>
    <w:rsid w:val="001231C0"/>
    <w:rsid w:val="0012331E"/>
    <w:rsid w:val="00123419"/>
    <w:rsid w:val="00123626"/>
    <w:rsid w:val="0012364D"/>
    <w:rsid w:val="00123675"/>
    <w:rsid w:val="001236AD"/>
    <w:rsid w:val="00123742"/>
    <w:rsid w:val="00123778"/>
    <w:rsid w:val="00123826"/>
    <w:rsid w:val="001238BA"/>
    <w:rsid w:val="00123910"/>
    <w:rsid w:val="00123978"/>
    <w:rsid w:val="00123982"/>
    <w:rsid w:val="001239BB"/>
    <w:rsid w:val="00123A0A"/>
    <w:rsid w:val="00123A7A"/>
    <w:rsid w:val="00123BFA"/>
    <w:rsid w:val="00123C69"/>
    <w:rsid w:val="00123E27"/>
    <w:rsid w:val="00123F69"/>
    <w:rsid w:val="00123F90"/>
    <w:rsid w:val="001242C0"/>
    <w:rsid w:val="001243B2"/>
    <w:rsid w:val="001244C0"/>
    <w:rsid w:val="001244F1"/>
    <w:rsid w:val="00124558"/>
    <w:rsid w:val="0012478D"/>
    <w:rsid w:val="00124821"/>
    <w:rsid w:val="001248AC"/>
    <w:rsid w:val="001249FE"/>
    <w:rsid w:val="00124ABB"/>
    <w:rsid w:val="00124ACD"/>
    <w:rsid w:val="00124B44"/>
    <w:rsid w:val="00124BE4"/>
    <w:rsid w:val="00124CB9"/>
    <w:rsid w:val="00124CF1"/>
    <w:rsid w:val="00124DC0"/>
    <w:rsid w:val="00125014"/>
    <w:rsid w:val="0012510F"/>
    <w:rsid w:val="00125200"/>
    <w:rsid w:val="00125287"/>
    <w:rsid w:val="001252F8"/>
    <w:rsid w:val="0012533F"/>
    <w:rsid w:val="00125533"/>
    <w:rsid w:val="00125548"/>
    <w:rsid w:val="001255A1"/>
    <w:rsid w:val="00125625"/>
    <w:rsid w:val="0012567B"/>
    <w:rsid w:val="001256C2"/>
    <w:rsid w:val="0012570B"/>
    <w:rsid w:val="001258F1"/>
    <w:rsid w:val="0012598F"/>
    <w:rsid w:val="00125A08"/>
    <w:rsid w:val="00125C09"/>
    <w:rsid w:val="00125EA0"/>
    <w:rsid w:val="00125EF2"/>
    <w:rsid w:val="00125F47"/>
    <w:rsid w:val="00125FB8"/>
    <w:rsid w:val="00125FE8"/>
    <w:rsid w:val="00126124"/>
    <w:rsid w:val="00126171"/>
    <w:rsid w:val="001261A0"/>
    <w:rsid w:val="001263C0"/>
    <w:rsid w:val="00126447"/>
    <w:rsid w:val="00126483"/>
    <w:rsid w:val="00126579"/>
    <w:rsid w:val="0012665C"/>
    <w:rsid w:val="001267D1"/>
    <w:rsid w:val="00126805"/>
    <w:rsid w:val="001268C2"/>
    <w:rsid w:val="001269EF"/>
    <w:rsid w:val="00126A6E"/>
    <w:rsid w:val="00126B32"/>
    <w:rsid w:val="00126BE2"/>
    <w:rsid w:val="00126CED"/>
    <w:rsid w:val="00126CF1"/>
    <w:rsid w:val="00126CF9"/>
    <w:rsid w:val="00126D85"/>
    <w:rsid w:val="00126DB9"/>
    <w:rsid w:val="00126DC1"/>
    <w:rsid w:val="00126DD7"/>
    <w:rsid w:val="00126EB0"/>
    <w:rsid w:val="00126EFA"/>
    <w:rsid w:val="00127053"/>
    <w:rsid w:val="00127157"/>
    <w:rsid w:val="001271FD"/>
    <w:rsid w:val="00127239"/>
    <w:rsid w:val="0012741A"/>
    <w:rsid w:val="0012749F"/>
    <w:rsid w:val="00127539"/>
    <w:rsid w:val="00127796"/>
    <w:rsid w:val="0012786C"/>
    <w:rsid w:val="001278C5"/>
    <w:rsid w:val="0012794F"/>
    <w:rsid w:val="0012796C"/>
    <w:rsid w:val="0012797B"/>
    <w:rsid w:val="00127A69"/>
    <w:rsid w:val="00127A87"/>
    <w:rsid w:val="00127ADF"/>
    <w:rsid w:val="00127B26"/>
    <w:rsid w:val="00127B40"/>
    <w:rsid w:val="00127B79"/>
    <w:rsid w:val="00127C98"/>
    <w:rsid w:val="00127DA2"/>
    <w:rsid w:val="00127E80"/>
    <w:rsid w:val="001300C6"/>
    <w:rsid w:val="001300CD"/>
    <w:rsid w:val="00130129"/>
    <w:rsid w:val="0013031D"/>
    <w:rsid w:val="0013036E"/>
    <w:rsid w:val="0013043B"/>
    <w:rsid w:val="0013044D"/>
    <w:rsid w:val="001305B4"/>
    <w:rsid w:val="001305DD"/>
    <w:rsid w:val="00130630"/>
    <w:rsid w:val="0013079C"/>
    <w:rsid w:val="00130A69"/>
    <w:rsid w:val="00130B88"/>
    <w:rsid w:val="00130BB2"/>
    <w:rsid w:val="00130C25"/>
    <w:rsid w:val="00130CE1"/>
    <w:rsid w:val="00130DBE"/>
    <w:rsid w:val="00130F33"/>
    <w:rsid w:val="0013102B"/>
    <w:rsid w:val="001311EE"/>
    <w:rsid w:val="0013120B"/>
    <w:rsid w:val="0013137D"/>
    <w:rsid w:val="001313FC"/>
    <w:rsid w:val="0013140B"/>
    <w:rsid w:val="00131420"/>
    <w:rsid w:val="00131422"/>
    <w:rsid w:val="0013163A"/>
    <w:rsid w:val="001316B0"/>
    <w:rsid w:val="00131827"/>
    <w:rsid w:val="0013188B"/>
    <w:rsid w:val="00131ABD"/>
    <w:rsid w:val="00131B27"/>
    <w:rsid w:val="00131C90"/>
    <w:rsid w:val="00131E19"/>
    <w:rsid w:val="00131F45"/>
    <w:rsid w:val="0013215E"/>
    <w:rsid w:val="0013229C"/>
    <w:rsid w:val="001322A3"/>
    <w:rsid w:val="0013230B"/>
    <w:rsid w:val="00132359"/>
    <w:rsid w:val="001323BE"/>
    <w:rsid w:val="001323FB"/>
    <w:rsid w:val="0013246B"/>
    <w:rsid w:val="001324D4"/>
    <w:rsid w:val="00132555"/>
    <w:rsid w:val="00132564"/>
    <w:rsid w:val="0013258F"/>
    <w:rsid w:val="001325B0"/>
    <w:rsid w:val="001325E3"/>
    <w:rsid w:val="001326BB"/>
    <w:rsid w:val="00132867"/>
    <w:rsid w:val="0013293D"/>
    <w:rsid w:val="00132CA2"/>
    <w:rsid w:val="00132CE1"/>
    <w:rsid w:val="00132D36"/>
    <w:rsid w:val="00132DA2"/>
    <w:rsid w:val="00132EA4"/>
    <w:rsid w:val="00132EEB"/>
    <w:rsid w:val="0013301E"/>
    <w:rsid w:val="0013313A"/>
    <w:rsid w:val="001333B8"/>
    <w:rsid w:val="001336BF"/>
    <w:rsid w:val="001336C8"/>
    <w:rsid w:val="001336DA"/>
    <w:rsid w:val="001336DC"/>
    <w:rsid w:val="001337F0"/>
    <w:rsid w:val="00133D4D"/>
    <w:rsid w:val="00133EBC"/>
    <w:rsid w:val="00133EF6"/>
    <w:rsid w:val="00133F87"/>
    <w:rsid w:val="001341E3"/>
    <w:rsid w:val="00134283"/>
    <w:rsid w:val="001342DC"/>
    <w:rsid w:val="00134309"/>
    <w:rsid w:val="00134443"/>
    <w:rsid w:val="00134462"/>
    <w:rsid w:val="001344D4"/>
    <w:rsid w:val="00134689"/>
    <w:rsid w:val="00134819"/>
    <w:rsid w:val="00134939"/>
    <w:rsid w:val="0013493A"/>
    <w:rsid w:val="00134958"/>
    <w:rsid w:val="001349B2"/>
    <w:rsid w:val="001349C1"/>
    <w:rsid w:val="00134D79"/>
    <w:rsid w:val="00134F74"/>
    <w:rsid w:val="00135059"/>
    <w:rsid w:val="001351A5"/>
    <w:rsid w:val="001351F3"/>
    <w:rsid w:val="001351F7"/>
    <w:rsid w:val="00135241"/>
    <w:rsid w:val="0013527E"/>
    <w:rsid w:val="00135390"/>
    <w:rsid w:val="001354A7"/>
    <w:rsid w:val="0013557B"/>
    <w:rsid w:val="001355D2"/>
    <w:rsid w:val="00135601"/>
    <w:rsid w:val="00135629"/>
    <w:rsid w:val="00135644"/>
    <w:rsid w:val="001356A2"/>
    <w:rsid w:val="0013571E"/>
    <w:rsid w:val="00135913"/>
    <w:rsid w:val="001359E0"/>
    <w:rsid w:val="00135BDC"/>
    <w:rsid w:val="00135E8C"/>
    <w:rsid w:val="00135EFD"/>
    <w:rsid w:val="00135FF8"/>
    <w:rsid w:val="00136044"/>
    <w:rsid w:val="00136070"/>
    <w:rsid w:val="001361A7"/>
    <w:rsid w:val="001361F2"/>
    <w:rsid w:val="00136214"/>
    <w:rsid w:val="0013627D"/>
    <w:rsid w:val="001363A3"/>
    <w:rsid w:val="00136927"/>
    <w:rsid w:val="0013696D"/>
    <w:rsid w:val="00136A2C"/>
    <w:rsid w:val="00136B07"/>
    <w:rsid w:val="00136B1C"/>
    <w:rsid w:val="00136C22"/>
    <w:rsid w:val="00136C99"/>
    <w:rsid w:val="00136CD5"/>
    <w:rsid w:val="00136DF7"/>
    <w:rsid w:val="00136E6D"/>
    <w:rsid w:val="00136F04"/>
    <w:rsid w:val="00136F84"/>
    <w:rsid w:val="0013704B"/>
    <w:rsid w:val="0013707F"/>
    <w:rsid w:val="001370F7"/>
    <w:rsid w:val="0013712E"/>
    <w:rsid w:val="001371FD"/>
    <w:rsid w:val="00137234"/>
    <w:rsid w:val="001373F8"/>
    <w:rsid w:val="0013775B"/>
    <w:rsid w:val="001378C0"/>
    <w:rsid w:val="001379C4"/>
    <w:rsid w:val="00137AE8"/>
    <w:rsid w:val="00137BE6"/>
    <w:rsid w:val="00137C6C"/>
    <w:rsid w:val="00137D00"/>
    <w:rsid w:val="00137DC9"/>
    <w:rsid w:val="00137DD2"/>
    <w:rsid w:val="00137E28"/>
    <w:rsid w:val="00137EA9"/>
    <w:rsid w:val="00140086"/>
    <w:rsid w:val="001400BF"/>
    <w:rsid w:val="00140160"/>
    <w:rsid w:val="001401DB"/>
    <w:rsid w:val="001401DF"/>
    <w:rsid w:val="001402C1"/>
    <w:rsid w:val="001403C6"/>
    <w:rsid w:val="001403DC"/>
    <w:rsid w:val="001404ED"/>
    <w:rsid w:val="00140534"/>
    <w:rsid w:val="001405A2"/>
    <w:rsid w:val="00140654"/>
    <w:rsid w:val="0014069D"/>
    <w:rsid w:val="0014072F"/>
    <w:rsid w:val="0014073A"/>
    <w:rsid w:val="00140799"/>
    <w:rsid w:val="00140913"/>
    <w:rsid w:val="00140954"/>
    <w:rsid w:val="001409BD"/>
    <w:rsid w:val="00140AAC"/>
    <w:rsid w:val="00140AC9"/>
    <w:rsid w:val="00140B1C"/>
    <w:rsid w:val="00140CBC"/>
    <w:rsid w:val="00140CE5"/>
    <w:rsid w:val="00140E38"/>
    <w:rsid w:val="00140E72"/>
    <w:rsid w:val="00140FC8"/>
    <w:rsid w:val="00140FF8"/>
    <w:rsid w:val="00141447"/>
    <w:rsid w:val="001416DE"/>
    <w:rsid w:val="00141842"/>
    <w:rsid w:val="001418C6"/>
    <w:rsid w:val="001418E7"/>
    <w:rsid w:val="00141A46"/>
    <w:rsid w:val="00141C78"/>
    <w:rsid w:val="00141CB7"/>
    <w:rsid w:val="00141E39"/>
    <w:rsid w:val="00141E56"/>
    <w:rsid w:val="00141ED4"/>
    <w:rsid w:val="00141FC7"/>
    <w:rsid w:val="0014205A"/>
    <w:rsid w:val="0014205D"/>
    <w:rsid w:val="001421BF"/>
    <w:rsid w:val="00142271"/>
    <w:rsid w:val="0014232B"/>
    <w:rsid w:val="001423F5"/>
    <w:rsid w:val="00142495"/>
    <w:rsid w:val="001424F7"/>
    <w:rsid w:val="0014262E"/>
    <w:rsid w:val="00142669"/>
    <w:rsid w:val="001427DF"/>
    <w:rsid w:val="00142845"/>
    <w:rsid w:val="00142883"/>
    <w:rsid w:val="00142A82"/>
    <w:rsid w:val="00142BAE"/>
    <w:rsid w:val="00143029"/>
    <w:rsid w:val="0014308C"/>
    <w:rsid w:val="0014309A"/>
    <w:rsid w:val="001430C6"/>
    <w:rsid w:val="0014316F"/>
    <w:rsid w:val="001431DA"/>
    <w:rsid w:val="00143280"/>
    <w:rsid w:val="0014345B"/>
    <w:rsid w:val="0014348E"/>
    <w:rsid w:val="001434FF"/>
    <w:rsid w:val="001435AD"/>
    <w:rsid w:val="00143871"/>
    <w:rsid w:val="001438CB"/>
    <w:rsid w:val="0014396A"/>
    <w:rsid w:val="00143A37"/>
    <w:rsid w:val="00143B95"/>
    <w:rsid w:val="00143CA4"/>
    <w:rsid w:val="00143D8A"/>
    <w:rsid w:val="00143EC5"/>
    <w:rsid w:val="00144039"/>
    <w:rsid w:val="00144195"/>
    <w:rsid w:val="001441AD"/>
    <w:rsid w:val="00144586"/>
    <w:rsid w:val="0014464C"/>
    <w:rsid w:val="001447FB"/>
    <w:rsid w:val="0014490C"/>
    <w:rsid w:val="0014496C"/>
    <w:rsid w:val="00144A40"/>
    <w:rsid w:val="00144AD0"/>
    <w:rsid w:val="00144B2A"/>
    <w:rsid w:val="00144B71"/>
    <w:rsid w:val="00144C8F"/>
    <w:rsid w:val="00144CBA"/>
    <w:rsid w:val="00144D5E"/>
    <w:rsid w:val="00144E74"/>
    <w:rsid w:val="00144F02"/>
    <w:rsid w:val="00144FD3"/>
    <w:rsid w:val="00145010"/>
    <w:rsid w:val="0014503F"/>
    <w:rsid w:val="0014519B"/>
    <w:rsid w:val="001451A3"/>
    <w:rsid w:val="00145498"/>
    <w:rsid w:val="00145620"/>
    <w:rsid w:val="001456D7"/>
    <w:rsid w:val="00145779"/>
    <w:rsid w:val="001457DA"/>
    <w:rsid w:val="001457E3"/>
    <w:rsid w:val="001458FB"/>
    <w:rsid w:val="0014594A"/>
    <w:rsid w:val="00145951"/>
    <w:rsid w:val="00145BB6"/>
    <w:rsid w:val="00145D17"/>
    <w:rsid w:val="00145EC2"/>
    <w:rsid w:val="00145F03"/>
    <w:rsid w:val="00145FC0"/>
    <w:rsid w:val="001460FE"/>
    <w:rsid w:val="001461A3"/>
    <w:rsid w:val="001461CB"/>
    <w:rsid w:val="0014651B"/>
    <w:rsid w:val="0014652F"/>
    <w:rsid w:val="00146564"/>
    <w:rsid w:val="00146640"/>
    <w:rsid w:val="00146650"/>
    <w:rsid w:val="001466E3"/>
    <w:rsid w:val="00146840"/>
    <w:rsid w:val="00146897"/>
    <w:rsid w:val="00146960"/>
    <w:rsid w:val="00146997"/>
    <w:rsid w:val="00146B00"/>
    <w:rsid w:val="00146BA6"/>
    <w:rsid w:val="00146BDF"/>
    <w:rsid w:val="00146E32"/>
    <w:rsid w:val="00147036"/>
    <w:rsid w:val="00147384"/>
    <w:rsid w:val="001473E3"/>
    <w:rsid w:val="00147420"/>
    <w:rsid w:val="001474A3"/>
    <w:rsid w:val="001474BF"/>
    <w:rsid w:val="00147554"/>
    <w:rsid w:val="001478A4"/>
    <w:rsid w:val="001478BB"/>
    <w:rsid w:val="001479EE"/>
    <w:rsid w:val="00147A37"/>
    <w:rsid w:val="00147AA3"/>
    <w:rsid w:val="00147AAE"/>
    <w:rsid w:val="00147B33"/>
    <w:rsid w:val="00147BB6"/>
    <w:rsid w:val="00147BF0"/>
    <w:rsid w:val="00147C91"/>
    <w:rsid w:val="00147D88"/>
    <w:rsid w:val="00147F8A"/>
    <w:rsid w:val="0015003A"/>
    <w:rsid w:val="0015006E"/>
    <w:rsid w:val="001501F2"/>
    <w:rsid w:val="001501F4"/>
    <w:rsid w:val="0015037D"/>
    <w:rsid w:val="00150447"/>
    <w:rsid w:val="00150499"/>
    <w:rsid w:val="00150526"/>
    <w:rsid w:val="00150539"/>
    <w:rsid w:val="001505BE"/>
    <w:rsid w:val="00150675"/>
    <w:rsid w:val="00150677"/>
    <w:rsid w:val="0015085E"/>
    <w:rsid w:val="001508A5"/>
    <w:rsid w:val="001508C1"/>
    <w:rsid w:val="001508F8"/>
    <w:rsid w:val="00150962"/>
    <w:rsid w:val="00150A1B"/>
    <w:rsid w:val="00150BC8"/>
    <w:rsid w:val="00150C0C"/>
    <w:rsid w:val="0015101F"/>
    <w:rsid w:val="00151054"/>
    <w:rsid w:val="001510C9"/>
    <w:rsid w:val="00151187"/>
    <w:rsid w:val="001511C5"/>
    <w:rsid w:val="0015123B"/>
    <w:rsid w:val="00151387"/>
    <w:rsid w:val="00151543"/>
    <w:rsid w:val="00151659"/>
    <w:rsid w:val="00151694"/>
    <w:rsid w:val="00151730"/>
    <w:rsid w:val="00151796"/>
    <w:rsid w:val="00151860"/>
    <w:rsid w:val="001518CF"/>
    <w:rsid w:val="0015196F"/>
    <w:rsid w:val="00151D7A"/>
    <w:rsid w:val="00151DAC"/>
    <w:rsid w:val="00151E32"/>
    <w:rsid w:val="00151E50"/>
    <w:rsid w:val="00151E5A"/>
    <w:rsid w:val="00151F72"/>
    <w:rsid w:val="00151FF4"/>
    <w:rsid w:val="00152050"/>
    <w:rsid w:val="00152108"/>
    <w:rsid w:val="001521EE"/>
    <w:rsid w:val="001522DE"/>
    <w:rsid w:val="00152424"/>
    <w:rsid w:val="00152449"/>
    <w:rsid w:val="001526B9"/>
    <w:rsid w:val="001526D7"/>
    <w:rsid w:val="00152762"/>
    <w:rsid w:val="00152903"/>
    <w:rsid w:val="00152944"/>
    <w:rsid w:val="00152967"/>
    <w:rsid w:val="00152A94"/>
    <w:rsid w:val="00152B04"/>
    <w:rsid w:val="00152B8A"/>
    <w:rsid w:val="00152C08"/>
    <w:rsid w:val="00152F4C"/>
    <w:rsid w:val="00152F93"/>
    <w:rsid w:val="00153021"/>
    <w:rsid w:val="0015304B"/>
    <w:rsid w:val="00153083"/>
    <w:rsid w:val="001530B3"/>
    <w:rsid w:val="001530D1"/>
    <w:rsid w:val="00153150"/>
    <w:rsid w:val="00153191"/>
    <w:rsid w:val="001531A2"/>
    <w:rsid w:val="001534DF"/>
    <w:rsid w:val="00153567"/>
    <w:rsid w:val="00153665"/>
    <w:rsid w:val="0015376C"/>
    <w:rsid w:val="00153882"/>
    <w:rsid w:val="0015391F"/>
    <w:rsid w:val="00153999"/>
    <w:rsid w:val="001539FD"/>
    <w:rsid w:val="00153A67"/>
    <w:rsid w:val="00153AAB"/>
    <w:rsid w:val="00153CAA"/>
    <w:rsid w:val="00153DD8"/>
    <w:rsid w:val="00153FEA"/>
    <w:rsid w:val="0015420E"/>
    <w:rsid w:val="0015422D"/>
    <w:rsid w:val="001542F1"/>
    <w:rsid w:val="00154315"/>
    <w:rsid w:val="0015432D"/>
    <w:rsid w:val="001545B0"/>
    <w:rsid w:val="0015481B"/>
    <w:rsid w:val="001548E8"/>
    <w:rsid w:val="00154961"/>
    <w:rsid w:val="001549F6"/>
    <w:rsid w:val="00154A17"/>
    <w:rsid w:val="00154AF2"/>
    <w:rsid w:val="00154B31"/>
    <w:rsid w:val="00154D36"/>
    <w:rsid w:val="00154ED4"/>
    <w:rsid w:val="00154EE6"/>
    <w:rsid w:val="00155083"/>
    <w:rsid w:val="001550C8"/>
    <w:rsid w:val="0015520E"/>
    <w:rsid w:val="0015537D"/>
    <w:rsid w:val="00155380"/>
    <w:rsid w:val="0015541E"/>
    <w:rsid w:val="00155482"/>
    <w:rsid w:val="001554F9"/>
    <w:rsid w:val="00155616"/>
    <w:rsid w:val="001556DC"/>
    <w:rsid w:val="00155715"/>
    <w:rsid w:val="0015587E"/>
    <w:rsid w:val="001558FD"/>
    <w:rsid w:val="00155952"/>
    <w:rsid w:val="0015599B"/>
    <w:rsid w:val="001559D8"/>
    <w:rsid w:val="001559F9"/>
    <w:rsid w:val="00155B37"/>
    <w:rsid w:val="00155C17"/>
    <w:rsid w:val="00155D20"/>
    <w:rsid w:val="00155E64"/>
    <w:rsid w:val="00155FD3"/>
    <w:rsid w:val="00155FE5"/>
    <w:rsid w:val="001560CF"/>
    <w:rsid w:val="00156575"/>
    <w:rsid w:val="00156757"/>
    <w:rsid w:val="00156826"/>
    <w:rsid w:val="00156A9A"/>
    <w:rsid w:val="00156B34"/>
    <w:rsid w:val="00156CE7"/>
    <w:rsid w:val="00156DCE"/>
    <w:rsid w:val="00156EDD"/>
    <w:rsid w:val="001570A1"/>
    <w:rsid w:val="001570A6"/>
    <w:rsid w:val="00157120"/>
    <w:rsid w:val="001571FE"/>
    <w:rsid w:val="00157267"/>
    <w:rsid w:val="0015733F"/>
    <w:rsid w:val="00157701"/>
    <w:rsid w:val="00157B37"/>
    <w:rsid w:val="00157C61"/>
    <w:rsid w:val="00157C64"/>
    <w:rsid w:val="00157CBA"/>
    <w:rsid w:val="00157D3D"/>
    <w:rsid w:val="00157DD3"/>
    <w:rsid w:val="00160013"/>
    <w:rsid w:val="00160121"/>
    <w:rsid w:val="0016014F"/>
    <w:rsid w:val="00160176"/>
    <w:rsid w:val="00160177"/>
    <w:rsid w:val="00160318"/>
    <w:rsid w:val="00160341"/>
    <w:rsid w:val="0016050B"/>
    <w:rsid w:val="0016085C"/>
    <w:rsid w:val="001608C1"/>
    <w:rsid w:val="00160911"/>
    <w:rsid w:val="001609FB"/>
    <w:rsid w:val="00160ACE"/>
    <w:rsid w:val="00160C68"/>
    <w:rsid w:val="0016116B"/>
    <w:rsid w:val="001611D9"/>
    <w:rsid w:val="00161398"/>
    <w:rsid w:val="001614F7"/>
    <w:rsid w:val="001615F8"/>
    <w:rsid w:val="00161606"/>
    <w:rsid w:val="0016167E"/>
    <w:rsid w:val="00161737"/>
    <w:rsid w:val="00161A95"/>
    <w:rsid w:val="00161BD4"/>
    <w:rsid w:val="00161BF7"/>
    <w:rsid w:val="00161DAE"/>
    <w:rsid w:val="00161EF6"/>
    <w:rsid w:val="00161F2E"/>
    <w:rsid w:val="00161F7B"/>
    <w:rsid w:val="00161FB3"/>
    <w:rsid w:val="0016203F"/>
    <w:rsid w:val="001620A4"/>
    <w:rsid w:val="0016214A"/>
    <w:rsid w:val="00162194"/>
    <w:rsid w:val="0016219B"/>
    <w:rsid w:val="001625F9"/>
    <w:rsid w:val="001628FB"/>
    <w:rsid w:val="00162C70"/>
    <w:rsid w:val="00162DFE"/>
    <w:rsid w:val="00162F40"/>
    <w:rsid w:val="00163015"/>
    <w:rsid w:val="00163029"/>
    <w:rsid w:val="001632B3"/>
    <w:rsid w:val="0016354D"/>
    <w:rsid w:val="00163583"/>
    <w:rsid w:val="0016358E"/>
    <w:rsid w:val="001635AC"/>
    <w:rsid w:val="00163712"/>
    <w:rsid w:val="001637F2"/>
    <w:rsid w:val="001637FE"/>
    <w:rsid w:val="001638C4"/>
    <w:rsid w:val="00163937"/>
    <w:rsid w:val="00163B44"/>
    <w:rsid w:val="00163B80"/>
    <w:rsid w:val="00163D11"/>
    <w:rsid w:val="00163D21"/>
    <w:rsid w:val="00163D3E"/>
    <w:rsid w:val="00163DE4"/>
    <w:rsid w:val="00163E9A"/>
    <w:rsid w:val="00163F22"/>
    <w:rsid w:val="00163F33"/>
    <w:rsid w:val="001640FD"/>
    <w:rsid w:val="00164230"/>
    <w:rsid w:val="00164486"/>
    <w:rsid w:val="001645DB"/>
    <w:rsid w:val="001645F3"/>
    <w:rsid w:val="00164685"/>
    <w:rsid w:val="001647F8"/>
    <w:rsid w:val="001649F1"/>
    <w:rsid w:val="001649F7"/>
    <w:rsid w:val="00164A1F"/>
    <w:rsid w:val="00164A29"/>
    <w:rsid w:val="00164A84"/>
    <w:rsid w:val="00164AF9"/>
    <w:rsid w:val="00164B4D"/>
    <w:rsid w:val="00164BA1"/>
    <w:rsid w:val="00164C1D"/>
    <w:rsid w:val="00164C26"/>
    <w:rsid w:val="00164CED"/>
    <w:rsid w:val="00164D1D"/>
    <w:rsid w:val="00164D84"/>
    <w:rsid w:val="00164D8A"/>
    <w:rsid w:val="00164E96"/>
    <w:rsid w:val="00164EFD"/>
    <w:rsid w:val="0016500A"/>
    <w:rsid w:val="0016501C"/>
    <w:rsid w:val="00165048"/>
    <w:rsid w:val="00165083"/>
    <w:rsid w:val="0016530B"/>
    <w:rsid w:val="001654D7"/>
    <w:rsid w:val="00165575"/>
    <w:rsid w:val="0016582B"/>
    <w:rsid w:val="00165848"/>
    <w:rsid w:val="00165871"/>
    <w:rsid w:val="0016588E"/>
    <w:rsid w:val="00165893"/>
    <w:rsid w:val="001658ED"/>
    <w:rsid w:val="001659C3"/>
    <w:rsid w:val="00165C03"/>
    <w:rsid w:val="00165C4D"/>
    <w:rsid w:val="00165CD9"/>
    <w:rsid w:val="00165D3C"/>
    <w:rsid w:val="00165EBB"/>
    <w:rsid w:val="00165EC1"/>
    <w:rsid w:val="00165F34"/>
    <w:rsid w:val="00165F60"/>
    <w:rsid w:val="00166020"/>
    <w:rsid w:val="001660A5"/>
    <w:rsid w:val="00166126"/>
    <w:rsid w:val="00166459"/>
    <w:rsid w:val="0016646F"/>
    <w:rsid w:val="001664A0"/>
    <w:rsid w:val="0016650E"/>
    <w:rsid w:val="0016653C"/>
    <w:rsid w:val="00166565"/>
    <w:rsid w:val="0016659A"/>
    <w:rsid w:val="001665D4"/>
    <w:rsid w:val="0016676B"/>
    <w:rsid w:val="0016687B"/>
    <w:rsid w:val="00166934"/>
    <w:rsid w:val="00166A5A"/>
    <w:rsid w:val="00166A67"/>
    <w:rsid w:val="00166CFD"/>
    <w:rsid w:val="00166D15"/>
    <w:rsid w:val="00166D37"/>
    <w:rsid w:val="00166E69"/>
    <w:rsid w:val="00166FD3"/>
    <w:rsid w:val="00167177"/>
    <w:rsid w:val="00167319"/>
    <w:rsid w:val="00167339"/>
    <w:rsid w:val="00167343"/>
    <w:rsid w:val="00167350"/>
    <w:rsid w:val="00167360"/>
    <w:rsid w:val="0016772F"/>
    <w:rsid w:val="00167889"/>
    <w:rsid w:val="00167902"/>
    <w:rsid w:val="00167A27"/>
    <w:rsid w:val="00167A72"/>
    <w:rsid w:val="001700BE"/>
    <w:rsid w:val="00170214"/>
    <w:rsid w:val="001702C4"/>
    <w:rsid w:val="0017031E"/>
    <w:rsid w:val="001703FA"/>
    <w:rsid w:val="0017044F"/>
    <w:rsid w:val="0017053C"/>
    <w:rsid w:val="0017056B"/>
    <w:rsid w:val="001705AD"/>
    <w:rsid w:val="001707C6"/>
    <w:rsid w:val="001709D9"/>
    <w:rsid w:val="00170B9C"/>
    <w:rsid w:val="00170FDC"/>
    <w:rsid w:val="0017105C"/>
    <w:rsid w:val="00171270"/>
    <w:rsid w:val="001713C0"/>
    <w:rsid w:val="0017142B"/>
    <w:rsid w:val="0017152C"/>
    <w:rsid w:val="001716A2"/>
    <w:rsid w:val="00171781"/>
    <w:rsid w:val="001717C9"/>
    <w:rsid w:val="00171880"/>
    <w:rsid w:val="001718A0"/>
    <w:rsid w:val="00171978"/>
    <w:rsid w:val="00171ADE"/>
    <w:rsid w:val="00171BB7"/>
    <w:rsid w:val="00171C23"/>
    <w:rsid w:val="00171CBE"/>
    <w:rsid w:val="00171CDA"/>
    <w:rsid w:val="00171DA0"/>
    <w:rsid w:val="00171E56"/>
    <w:rsid w:val="00171EF6"/>
    <w:rsid w:val="00171EFB"/>
    <w:rsid w:val="00171FAC"/>
    <w:rsid w:val="0017223A"/>
    <w:rsid w:val="001722CA"/>
    <w:rsid w:val="001722D2"/>
    <w:rsid w:val="001723BE"/>
    <w:rsid w:val="0017250A"/>
    <w:rsid w:val="00172695"/>
    <w:rsid w:val="001727A8"/>
    <w:rsid w:val="00172960"/>
    <w:rsid w:val="00172A07"/>
    <w:rsid w:val="00172B67"/>
    <w:rsid w:val="00172BC4"/>
    <w:rsid w:val="00172D32"/>
    <w:rsid w:val="00172E41"/>
    <w:rsid w:val="00173074"/>
    <w:rsid w:val="001731C2"/>
    <w:rsid w:val="0017322E"/>
    <w:rsid w:val="00173288"/>
    <w:rsid w:val="001732A0"/>
    <w:rsid w:val="001732A7"/>
    <w:rsid w:val="00173378"/>
    <w:rsid w:val="0017345B"/>
    <w:rsid w:val="00173528"/>
    <w:rsid w:val="00173660"/>
    <w:rsid w:val="00173839"/>
    <w:rsid w:val="00173A49"/>
    <w:rsid w:val="00173B5C"/>
    <w:rsid w:val="00173BCB"/>
    <w:rsid w:val="00173BD1"/>
    <w:rsid w:val="00173EAE"/>
    <w:rsid w:val="00173EDF"/>
    <w:rsid w:val="00173F4D"/>
    <w:rsid w:val="00174027"/>
    <w:rsid w:val="0017405B"/>
    <w:rsid w:val="0017406D"/>
    <w:rsid w:val="001740F3"/>
    <w:rsid w:val="00174159"/>
    <w:rsid w:val="0017418B"/>
    <w:rsid w:val="001741BE"/>
    <w:rsid w:val="0017429D"/>
    <w:rsid w:val="001745B2"/>
    <w:rsid w:val="001745CD"/>
    <w:rsid w:val="00174721"/>
    <w:rsid w:val="00174865"/>
    <w:rsid w:val="0017487A"/>
    <w:rsid w:val="001749AF"/>
    <w:rsid w:val="001749B6"/>
    <w:rsid w:val="00174A45"/>
    <w:rsid w:val="00174AF6"/>
    <w:rsid w:val="00174BB3"/>
    <w:rsid w:val="00174BEB"/>
    <w:rsid w:val="00175046"/>
    <w:rsid w:val="0017507C"/>
    <w:rsid w:val="0017517C"/>
    <w:rsid w:val="00175352"/>
    <w:rsid w:val="001754D3"/>
    <w:rsid w:val="001754D8"/>
    <w:rsid w:val="001757AE"/>
    <w:rsid w:val="0017582A"/>
    <w:rsid w:val="001758EE"/>
    <w:rsid w:val="001758FD"/>
    <w:rsid w:val="001759CE"/>
    <w:rsid w:val="00175A83"/>
    <w:rsid w:val="00175BCC"/>
    <w:rsid w:val="00175CC9"/>
    <w:rsid w:val="00175CEE"/>
    <w:rsid w:val="00175D5F"/>
    <w:rsid w:val="00175DC3"/>
    <w:rsid w:val="00175E9D"/>
    <w:rsid w:val="00175F01"/>
    <w:rsid w:val="00176031"/>
    <w:rsid w:val="0017641D"/>
    <w:rsid w:val="001764E9"/>
    <w:rsid w:val="001765A8"/>
    <w:rsid w:val="0017674C"/>
    <w:rsid w:val="001768CD"/>
    <w:rsid w:val="00176D22"/>
    <w:rsid w:val="00176D67"/>
    <w:rsid w:val="00176E33"/>
    <w:rsid w:val="001770D3"/>
    <w:rsid w:val="001771F7"/>
    <w:rsid w:val="00177373"/>
    <w:rsid w:val="00177387"/>
    <w:rsid w:val="001773A8"/>
    <w:rsid w:val="0017749E"/>
    <w:rsid w:val="00177619"/>
    <w:rsid w:val="001776F6"/>
    <w:rsid w:val="001777FF"/>
    <w:rsid w:val="00177B22"/>
    <w:rsid w:val="00177B7A"/>
    <w:rsid w:val="00177F8C"/>
    <w:rsid w:val="00180153"/>
    <w:rsid w:val="001801CB"/>
    <w:rsid w:val="00180365"/>
    <w:rsid w:val="001804B8"/>
    <w:rsid w:val="00180509"/>
    <w:rsid w:val="001805F4"/>
    <w:rsid w:val="00180697"/>
    <w:rsid w:val="00180AD6"/>
    <w:rsid w:val="00180B5F"/>
    <w:rsid w:val="00180B93"/>
    <w:rsid w:val="00180D52"/>
    <w:rsid w:val="00180EBA"/>
    <w:rsid w:val="00181092"/>
    <w:rsid w:val="00181174"/>
    <w:rsid w:val="0018128F"/>
    <w:rsid w:val="001812CE"/>
    <w:rsid w:val="0018136C"/>
    <w:rsid w:val="00181495"/>
    <w:rsid w:val="00181582"/>
    <w:rsid w:val="00181585"/>
    <w:rsid w:val="0018170B"/>
    <w:rsid w:val="001817DC"/>
    <w:rsid w:val="0018184D"/>
    <w:rsid w:val="00181992"/>
    <w:rsid w:val="00181A38"/>
    <w:rsid w:val="00181AA8"/>
    <w:rsid w:val="00181B3E"/>
    <w:rsid w:val="00181BC0"/>
    <w:rsid w:val="00181C81"/>
    <w:rsid w:val="00181CCD"/>
    <w:rsid w:val="00181D30"/>
    <w:rsid w:val="00181D3F"/>
    <w:rsid w:val="00181D99"/>
    <w:rsid w:val="00181F06"/>
    <w:rsid w:val="00181F78"/>
    <w:rsid w:val="00182024"/>
    <w:rsid w:val="001820F0"/>
    <w:rsid w:val="00182126"/>
    <w:rsid w:val="001824B8"/>
    <w:rsid w:val="0018261E"/>
    <w:rsid w:val="00182649"/>
    <w:rsid w:val="00182670"/>
    <w:rsid w:val="001827E7"/>
    <w:rsid w:val="0018281E"/>
    <w:rsid w:val="00182865"/>
    <w:rsid w:val="001828C2"/>
    <w:rsid w:val="00182913"/>
    <w:rsid w:val="001829E8"/>
    <w:rsid w:val="00182A1D"/>
    <w:rsid w:val="00182A35"/>
    <w:rsid w:val="00182B8E"/>
    <w:rsid w:val="00182C34"/>
    <w:rsid w:val="00182CAC"/>
    <w:rsid w:val="00182CE0"/>
    <w:rsid w:val="00182E4A"/>
    <w:rsid w:val="00182E86"/>
    <w:rsid w:val="00182F08"/>
    <w:rsid w:val="00182F12"/>
    <w:rsid w:val="00182FF8"/>
    <w:rsid w:val="00183013"/>
    <w:rsid w:val="001831C0"/>
    <w:rsid w:val="00183217"/>
    <w:rsid w:val="0018345C"/>
    <w:rsid w:val="001834BE"/>
    <w:rsid w:val="00183774"/>
    <w:rsid w:val="00183778"/>
    <w:rsid w:val="00183811"/>
    <w:rsid w:val="00183930"/>
    <w:rsid w:val="00183D09"/>
    <w:rsid w:val="00183D66"/>
    <w:rsid w:val="00183DC0"/>
    <w:rsid w:val="001842F1"/>
    <w:rsid w:val="00184339"/>
    <w:rsid w:val="0018444B"/>
    <w:rsid w:val="0018446A"/>
    <w:rsid w:val="0018454B"/>
    <w:rsid w:val="0018458E"/>
    <w:rsid w:val="001847D3"/>
    <w:rsid w:val="0018486A"/>
    <w:rsid w:val="00184A26"/>
    <w:rsid w:val="00184A38"/>
    <w:rsid w:val="00184AB8"/>
    <w:rsid w:val="00184C26"/>
    <w:rsid w:val="00184CF3"/>
    <w:rsid w:val="00184D7D"/>
    <w:rsid w:val="00184EA6"/>
    <w:rsid w:val="00184F0A"/>
    <w:rsid w:val="00184FB7"/>
    <w:rsid w:val="00185097"/>
    <w:rsid w:val="00185174"/>
    <w:rsid w:val="0018527C"/>
    <w:rsid w:val="001852C4"/>
    <w:rsid w:val="0018537E"/>
    <w:rsid w:val="00185437"/>
    <w:rsid w:val="00185478"/>
    <w:rsid w:val="0018561F"/>
    <w:rsid w:val="001856A0"/>
    <w:rsid w:val="0018571C"/>
    <w:rsid w:val="00185818"/>
    <w:rsid w:val="0018591E"/>
    <w:rsid w:val="0018599A"/>
    <w:rsid w:val="00185A5C"/>
    <w:rsid w:val="00185A8F"/>
    <w:rsid w:val="00185AE6"/>
    <w:rsid w:val="00185B21"/>
    <w:rsid w:val="00185C26"/>
    <w:rsid w:val="00185C39"/>
    <w:rsid w:val="00185C98"/>
    <w:rsid w:val="00185D97"/>
    <w:rsid w:val="00185DC9"/>
    <w:rsid w:val="001862BD"/>
    <w:rsid w:val="001862FA"/>
    <w:rsid w:val="001863B8"/>
    <w:rsid w:val="00186441"/>
    <w:rsid w:val="001864AD"/>
    <w:rsid w:val="001864ED"/>
    <w:rsid w:val="00186565"/>
    <w:rsid w:val="001865A6"/>
    <w:rsid w:val="00186A26"/>
    <w:rsid w:val="00186D31"/>
    <w:rsid w:val="00186D5A"/>
    <w:rsid w:val="00186D7A"/>
    <w:rsid w:val="00186DC8"/>
    <w:rsid w:val="00186FA0"/>
    <w:rsid w:val="00186FBB"/>
    <w:rsid w:val="001873E5"/>
    <w:rsid w:val="00187979"/>
    <w:rsid w:val="00187985"/>
    <w:rsid w:val="0018799E"/>
    <w:rsid w:val="001879D0"/>
    <w:rsid w:val="001879D3"/>
    <w:rsid w:val="001879F8"/>
    <w:rsid w:val="00187B4A"/>
    <w:rsid w:val="00187E26"/>
    <w:rsid w:val="00187FBF"/>
    <w:rsid w:val="001900A1"/>
    <w:rsid w:val="001900C0"/>
    <w:rsid w:val="0019015E"/>
    <w:rsid w:val="00190259"/>
    <w:rsid w:val="001902AA"/>
    <w:rsid w:val="001902D4"/>
    <w:rsid w:val="0019049F"/>
    <w:rsid w:val="001905DC"/>
    <w:rsid w:val="001905E1"/>
    <w:rsid w:val="001906C6"/>
    <w:rsid w:val="00190799"/>
    <w:rsid w:val="00190839"/>
    <w:rsid w:val="00190900"/>
    <w:rsid w:val="00190A15"/>
    <w:rsid w:val="00190B1E"/>
    <w:rsid w:val="00190C29"/>
    <w:rsid w:val="00190DAA"/>
    <w:rsid w:val="001910E4"/>
    <w:rsid w:val="001911D8"/>
    <w:rsid w:val="001914E3"/>
    <w:rsid w:val="00191524"/>
    <w:rsid w:val="001915B6"/>
    <w:rsid w:val="00191743"/>
    <w:rsid w:val="001917B2"/>
    <w:rsid w:val="0019192A"/>
    <w:rsid w:val="001919DB"/>
    <w:rsid w:val="00191C25"/>
    <w:rsid w:val="00191C75"/>
    <w:rsid w:val="00191FE5"/>
    <w:rsid w:val="001921F1"/>
    <w:rsid w:val="00192281"/>
    <w:rsid w:val="00192331"/>
    <w:rsid w:val="00192384"/>
    <w:rsid w:val="00192438"/>
    <w:rsid w:val="001924B1"/>
    <w:rsid w:val="001925A4"/>
    <w:rsid w:val="0019263C"/>
    <w:rsid w:val="00192750"/>
    <w:rsid w:val="00192777"/>
    <w:rsid w:val="001929AC"/>
    <w:rsid w:val="001929BB"/>
    <w:rsid w:val="00192A26"/>
    <w:rsid w:val="00192B0D"/>
    <w:rsid w:val="00192C7E"/>
    <w:rsid w:val="00192FA1"/>
    <w:rsid w:val="00193408"/>
    <w:rsid w:val="00193426"/>
    <w:rsid w:val="00193439"/>
    <w:rsid w:val="001934E2"/>
    <w:rsid w:val="0019356A"/>
    <w:rsid w:val="00193589"/>
    <w:rsid w:val="00193632"/>
    <w:rsid w:val="0019375C"/>
    <w:rsid w:val="001937DA"/>
    <w:rsid w:val="0019386C"/>
    <w:rsid w:val="00193B60"/>
    <w:rsid w:val="00193BCB"/>
    <w:rsid w:val="00193E79"/>
    <w:rsid w:val="00193FEC"/>
    <w:rsid w:val="001940D6"/>
    <w:rsid w:val="001941FB"/>
    <w:rsid w:val="00194215"/>
    <w:rsid w:val="001942E9"/>
    <w:rsid w:val="00194370"/>
    <w:rsid w:val="0019442E"/>
    <w:rsid w:val="001945E0"/>
    <w:rsid w:val="00194632"/>
    <w:rsid w:val="001946BF"/>
    <w:rsid w:val="001946C9"/>
    <w:rsid w:val="0019476A"/>
    <w:rsid w:val="0019476F"/>
    <w:rsid w:val="00194914"/>
    <w:rsid w:val="001949D8"/>
    <w:rsid w:val="00194C67"/>
    <w:rsid w:val="00194CB2"/>
    <w:rsid w:val="00194DF6"/>
    <w:rsid w:val="00194E7D"/>
    <w:rsid w:val="00194F4D"/>
    <w:rsid w:val="00194F5E"/>
    <w:rsid w:val="00194FFB"/>
    <w:rsid w:val="00195089"/>
    <w:rsid w:val="0019509F"/>
    <w:rsid w:val="00195146"/>
    <w:rsid w:val="0019522A"/>
    <w:rsid w:val="001953C2"/>
    <w:rsid w:val="001953FF"/>
    <w:rsid w:val="001954D1"/>
    <w:rsid w:val="0019565E"/>
    <w:rsid w:val="001956B2"/>
    <w:rsid w:val="001957D3"/>
    <w:rsid w:val="00195A85"/>
    <w:rsid w:val="00195AFA"/>
    <w:rsid w:val="00195B0A"/>
    <w:rsid w:val="00195ED0"/>
    <w:rsid w:val="00195F3B"/>
    <w:rsid w:val="00195FBB"/>
    <w:rsid w:val="0019607C"/>
    <w:rsid w:val="001961CA"/>
    <w:rsid w:val="001961EC"/>
    <w:rsid w:val="00196263"/>
    <w:rsid w:val="001962AD"/>
    <w:rsid w:val="00196333"/>
    <w:rsid w:val="001964AB"/>
    <w:rsid w:val="001964D1"/>
    <w:rsid w:val="0019673E"/>
    <w:rsid w:val="001967DD"/>
    <w:rsid w:val="001967DE"/>
    <w:rsid w:val="001967E9"/>
    <w:rsid w:val="00196886"/>
    <w:rsid w:val="00196B94"/>
    <w:rsid w:val="00196C0A"/>
    <w:rsid w:val="00196CD4"/>
    <w:rsid w:val="00196E28"/>
    <w:rsid w:val="00196E3C"/>
    <w:rsid w:val="00196E55"/>
    <w:rsid w:val="00196E78"/>
    <w:rsid w:val="00196F28"/>
    <w:rsid w:val="00196FAD"/>
    <w:rsid w:val="00196FB7"/>
    <w:rsid w:val="001970E5"/>
    <w:rsid w:val="00197147"/>
    <w:rsid w:val="00197188"/>
    <w:rsid w:val="001971FC"/>
    <w:rsid w:val="00197240"/>
    <w:rsid w:val="001972B6"/>
    <w:rsid w:val="001973B0"/>
    <w:rsid w:val="001973F2"/>
    <w:rsid w:val="00197400"/>
    <w:rsid w:val="001974A3"/>
    <w:rsid w:val="001974B7"/>
    <w:rsid w:val="001976F7"/>
    <w:rsid w:val="0019774D"/>
    <w:rsid w:val="00197830"/>
    <w:rsid w:val="0019793F"/>
    <w:rsid w:val="00197CAD"/>
    <w:rsid w:val="00197D72"/>
    <w:rsid w:val="00197E22"/>
    <w:rsid w:val="00197F02"/>
    <w:rsid w:val="001A010C"/>
    <w:rsid w:val="001A0119"/>
    <w:rsid w:val="001A01BD"/>
    <w:rsid w:val="001A020F"/>
    <w:rsid w:val="001A0262"/>
    <w:rsid w:val="001A02AE"/>
    <w:rsid w:val="001A02FF"/>
    <w:rsid w:val="001A0320"/>
    <w:rsid w:val="001A0531"/>
    <w:rsid w:val="001A0566"/>
    <w:rsid w:val="001A0612"/>
    <w:rsid w:val="001A0696"/>
    <w:rsid w:val="001A09EA"/>
    <w:rsid w:val="001A0B13"/>
    <w:rsid w:val="001A0CE9"/>
    <w:rsid w:val="001A0D1F"/>
    <w:rsid w:val="001A0E01"/>
    <w:rsid w:val="001A0EC2"/>
    <w:rsid w:val="001A0F45"/>
    <w:rsid w:val="001A0F97"/>
    <w:rsid w:val="001A0FA6"/>
    <w:rsid w:val="001A11B2"/>
    <w:rsid w:val="001A11FF"/>
    <w:rsid w:val="001A1237"/>
    <w:rsid w:val="001A126B"/>
    <w:rsid w:val="001A1518"/>
    <w:rsid w:val="001A15C8"/>
    <w:rsid w:val="001A16D4"/>
    <w:rsid w:val="001A16EE"/>
    <w:rsid w:val="001A1813"/>
    <w:rsid w:val="001A185D"/>
    <w:rsid w:val="001A185F"/>
    <w:rsid w:val="001A19B9"/>
    <w:rsid w:val="001A19F8"/>
    <w:rsid w:val="001A1AD8"/>
    <w:rsid w:val="001A1B21"/>
    <w:rsid w:val="001A1C38"/>
    <w:rsid w:val="001A1DF5"/>
    <w:rsid w:val="001A1E56"/>
    <w:rsid w:val="001A1F67"/>
    <w:rsid w:val="001A1F78"/>
    <w:rsid w:val="001A1FF3"/>
    <w:rsid w:val="001A20B6"/>
    <w:rsid w:val="001A2187"/>
    <w:rsid w:val="001A2189"/>
    <w:rsid w:val="001A2292"/>
    <w:rsid w:val="001A2301"/>
    <w:rsid w:val="001A231B"/>
    <w:rsid w:val="001A2601"/>
    <w:rsid w:val="001A260D"/>
    <w:rsid w:val="001A2666"/>
    <w:rsid w:val="001A2697"/>
    <w:rsid w:val="001A26E8"/>
    <w:rsid w:val="001A2736"/>
    <w:rsid w:val="001A2748"/>
    <w:rsid w:val="001A2A7A"/>
    <w:rsid w:val="001A2AFF"/>
    <w:rsid w:val="001A2FC1"/>
    <w:rsid w:val="001A3041"/>
    <w:rsid w:val="001A305A"/>
    <w:rsid w:val="001A30F5"/>
    <w:rsid w:val="001A315D"/>
    <w:rsid w:val="001A3229"/>
    <w:rsid w:val="001A34B1"/>
    <w:rsid w:val="001A3793"/>
    <w:rsid w:val="001A37AC"/>
    <w:rsid w:val="001A3884"/>
    <w:rsid w:val="001A39DB"/>
    <w:rsid w:val="001A3AED"/>
    <w:rsid w:val="001A3E55"/>
    <w:rsid w:val="001A3E6E"/>
    <w:rsid w:val="001A4087"/>
    <w:rsid w:val="001A4092"/>
    <w:rsid w:val="001A420F"/>
    <w:rsid w:val="001A43C5"/>
    <w:rsid w:val="001A43D9"/>
    <w:rsid w:val="001A44DD"/>
    <w:rsid w:val="001A458F"/>
    <w:rsid w:val="001A459F"/>
    <w:rsid w:val="001A45E3"/>
    <w:rsid w:val="001A4642"/>
    <w:rsid w:val="001A4645"/>
    <w:rsid w:val="001A464B"/>
    <w:rsid w:val="001A46BC"/>
    <w:rsid w:val="001A4873"/>
    <w:rsid w:val="001A48E7"/>
    <w:rsid w:val="001A48F9"/>
    <w:rsid w:val="001A49A0"/>
    <w:rsid w:val="001A49AF"/>
    <w:rsid w:val="001A4A88"/>
    <w:rsid w:val="001A4CCA"/>
    <w:rsid w:val="001A4E24"/>
    <w:rsid w:val="001A4E77"/>
    <w:rsid w:val="001A4ECD"/>
    <w:rsid w:val="001A500D"/>
    <w:rsid w:val="001A509E"/>
    <w:rsid w:val="001A51BA"/>
    <w:rsid w:val="001A5252"/>
    <w:rsid w:val="001A5253"/>
    <w:rsid w:val="001A53A1"/>
    <w:rsid w:val="001A5492"/>
    <w:rsid w:val="001A550F"/>
    <w:rsid w:val="001A56AE"/>
    <w:rsid w:val="001A56BE"/>
    <w:rsid w:val="001A57D7"/>
    <w:rsid w:val="001A5996"/>
    <w:rsid w:val="001A5A2D"/>
    <w:rsid w:val="001A5B57"/>
    <w:rsid w:val="001A5C21"/>
    <w:rsid w:val="001A5C3B"/>
    <w:rsid w:val="001A5D07"/>
    <w:rsid w:val="001A5F97"/>
    <w:rsid w:val="001A5FC5"/>
    <w:rsid w:val="001A6039"/>
    <w:rsid w:val="001A616D"/>
    <w:rsid w:val="001A6192"/>
    <w:rsid w:val="001A6241"/>
    <w:rsid w:val="001A6277"/>
    <w:rsid w:val="001A6392"/>
    <w:rsid w:val="001A641F"/>
    <w:rsid w:val="001A6532"/>
    <w:rsid w:val="001A6555"/>
    <w:rsid w:val="001A6671"/>
    <w:rsid w:val="001A66DD"/>
    <w:rsid w:val="001A66EE"/>
    <w:rsid w:val="001A6786"/>
    <w:rsid w:val="001A6788"/>
    <w:rsid w:val="001A6874"/>
    <w:rsid w:val="001A694B"/>
    <w:rsid w:val="001A6AFF"/>
    <w:rsid w:val="001A6F9C"/>
    <w:rsid w:val="001A70E2"/>
    <w:rsid w:val="001A7177"/>
    <w:rsid w:val="001A71D6"/>
    <w:rsid w:val="001A7277"/>
    <w:rsid w:val="001A733C"/>
    <w:rsid w:val="001A7358"/>
    <w:rsid w:val="001A73FC"/>
    <w:rsid w:val="001A7543"/>
    <w:rsid w:val="001A7789"/>
    <w:rsid w:val="001A7849"/>
    <w:rsid w:val="001A7A56"/>
    <w:rsid w:val="001A7AD9"/>
    <w:rsid w:val="001A7B1A"/>
    <w:rsid w:val="001A7BDA"/>
    <w:rsid w:val="001A7CCA"/>
    <w:rsid w:val="001A7D65"/>
    <w:rsid w:val="001A7D8F"/>
    <w:rsid w:val="001A7E02"/>
    <w:rsid w:val="001A7E19"/>
    <w:rsid w:val="001A7F01"/>
    <w:rsid w:val="001A7F70"/>
    <w:rsid w:val="001B009E"/>
    <w:rsid w:val="001B014B"/>
    <w:rsid w:val="001B018D"/>
    <w:rsid w:val="001B0234"/>
    <w:rsid w:val="001B0385"/>
    <w:rsid w:val="001B0571"/>
    <w:rsid w:val="001B057C"/>
    <w:rsid w:val="001B077C"/>
    <w:rsid w:val="001B0A2F"/>
    <w:rsid w:val="001B1122"/>
    <w:rsid w:val="001B130A"/>
    <w:rsid w:val="001B1364"/>
    <w:rsid w:val="001B13E9"/>
    <w:rsid w:val="001B13F9"/>
    <w:rsid w:val="001B1467"/>
    <w:rsid w:val="001B1501"/>
    <w:rsid w:val="001B16C6"/>
    <w:rsid w:val="001B1721"/>
    <w:rsid w:val="001B173C"/>
    <w:rsid w:val="001B1994"/>
    <w:rsid w:val="001B1B19"/>
    <w:rsid w:val="001B1BC3"/>
    <w:rsid w:val="001B1BF7"/>
    <w:rsid w:val="001B1CA8"/>
    <w:rsid w:val="001B1CC8"/>
    <w:rsid w:val="001B1D71"/>
    <w:rsid w:val="001B1D91"/>
    <w:rsid w:val="001B1DD8"/>
    <w:rsid w:val="001B1DF9"/>
    <w:rsid w:val="001B1E0C"/>
    <w:rsid w:val="001B1ED2"/>
    <w:rsid w:val="001B1FE4"/>
    <w:rsid w:val="001B2085"/>
    <w:rsid w:val="001B2253"/>
    <w:rsid w:val="001B22DD"/>
    <w:rsid w:val="001B2338"/>
    <w:rsid w:val="001B2530"/>
    <w:rsid w:val="001B255D"/>
    <w:rsid w:val="001B25C7"/>
    <w:rsid w:val="001B26B0"/>
    <w:rsid w:val="001B279F"/>
    <w:rsid w:val="001B2815"/>
    <w:rsid w:val="001B2845"/>
    <w:rsid w:val="001B28AD"/>
    <w:rsid w:val="001B29FD"/>
    <w:rsid w:val="001B2A26"/>
    <w:rsid w:val="001B2BF0"/>
    <w:rsid w:val="001B2C19"/>
    <w:rsid w:val="001B2CA2"/>
    <w:rsid w:val="001B2CEB"/>
    <w:rsid w:val="001B2D49"/>
    <w:rsid w:val="001B2ED9"/>
    <w:rsid w:val="001B3014"/>
    <w:rsid w:val="001B3234"/>
    <w:rsid w:val="001B34B1"/>
    <w:rsid w:val="001B3696"/>
    <w:rsid w:val="001B374B"/>
    <w:rsid w:val="001B37D8"/>
    <w:rsid w:val="001B3811"/>
    <w:rsid w:val="001B3826"/>
    <w:rsid w:val="001B38AC"/>
    <w:rsid w:val="001B3A45"/>
    <w:rsid w:val="001B3BA6"/>
    <w:rsid w:val="001B3CF9"/>
    <w:rsid w:val="001B3D94"/>
    <w:rsid w:val="001B3F27"/>
    <w:rsid w:val="001B3FC0"/>
    <w:rsid w:val="001B43B1"/>
    <w:rsid w:val="001B43D1"/>
    <w:rsid w:val="001B4538"/>
    <w:rsid w:val="001B4635"/>
    <w:rsid w:val="001B468C"/>
    <w:rsid w:val="001B46B0"/>
    <w:rsid w:val="001B46E8"/>
    <w:rsid w:val="001B47EE"/>
    <w:rsid w:val="001B48C2"/>
    <w:rsid w:val="001B48CE"/>
    <w:rsid w:val="001B48D1"/>
    <w:rsid w:val="001B4933"/>
    <w:rsid w:val="001B4961"/>
    <w:rsid w:val="001B49A4"/>
    <w:rsid w:val="001B49CA"/>
    <w:rsid w:val="001B4B3C"/>
    <w:rsid w:val="001B4C04"/>
    <w:rsid w:val="001B4C48"/>
    <w:rsid w:val="001B4D36"/>
    <w:rsid w:val="001B4DE4"/>
    <w:rsid w:val="001B4E4F"/>
    <w:rsid w:val="001B4EE2"/>
    <w:rsid w:val="001B4F01"/>
    <w:rsid w:val="001B5061"/>
    <w:rsid w:val="001B514F"/>
    <w:rsid w:val="001B51D7"/>
    <w:rsid w:val="001B5216"/>
    <w:rsid w:val="001B52D2"/>
    <w:rsid w:val="001B539C"/>
    <w:rsid w:val="001B5527"/>
    <w:rsid w:val="001B552A"/>
    <w:rsid w:val="001B5533"/>
    <w:rsid w:val="001B55B1"/>
    <w:rsid w:val="001B56AF"/>
    <w:rsid w:val="001B5919"/>
    <w:rsid w:val="001B59DE"/>
    <w:rsid w:val="001B5B34"/>
    <w:rsid w:val="001B5B49"/>
    <w:rsid w:val="001B5D0C"/>
    <w:rsid w:val="001B5D92"/>
    <w:rsid w:val="001B5F65"/>
    <w:rsid w:val="001B5FAA"/>
    <w:rsid w:val="001B6091"/>
    <w:rsid w:val="001B60F4"/>
    <w:rsid w:val="001B6230"/>
    <w:rsid w:val="001B6405"/>
    <w:rsid w:val="001B6490"/>
    <w:rsid w:val="001B64F7"/>
    <w:rsid w:val="001B65C9"/>
    <w:rsid w:val="001B6734"/>
    <w:rsid w:val="001B68CD"/>
    <w:rsid w:val="001B693E"/>
    <w:rsid w:val="001B6ABD"/>
    <w:rsid w:val="001B6B98"/>
    <w:rsid w:val="001B6C01"/>
    <w:rsid w:val="001B6D2B"/>
    <w:rsid w:val="001B6E1F"/>
    <w:rsid w:val="001B6EE3"/>
    <w:rsid w:val="001B6F39"/>
    <w:rsid w:val="001B6F84"/>
    <w:rsid w:val="001B6F90"/>
    <w:rsid w:val="001B7251"/>
    <w:rsid w:val="001B7305"/>
    <w:rsid w:val="001B734E"/>
    <w:rsid w:val="001B73C7"/>
    <w:rsid w:val="001B73F1"/>
    <w:rsid w:val="001B750D"/>
    <w:rsid w:val="001B752C"/>
    <w:rsid w:val="001B7537"/>
    <w:rsid w:val="001B7572"/>
    <w:rsid w:val="001B75E1"/>
    <w:rsid w:val="001B7935"/>
    <w:rsid w:val="001B79EA"/>
    <w:rsid w:val="001B7A24"/>
    <w:rsid w:val="001B7E8F"/>
    <w:rsid w:val="001C001B"/>
    <w:rsid w:val="001C00F4"/>
    <w:rsid w:val="001C00FE"/>
    <w:rsid w:val="001C01FC"/>
    <w:rsid w:val="001C02B8"/>
    <w:rsid w:val="001C03F5"/>
    <w:rsid w:val="001C05EC"/>
    <w:rsid w:val="001C061B"/>
    <w:rsid w:val="001C068F"/>
    <w:rsid w:val="001C06FF"/>
    <w:rsid w:val="001C0725"/>
    <w:rsid w:val="001C080A"/>
    <w:rsid w:val="001C0869"/>
    <w:rsid w:val="001C089B"/>
    <w:rsid w:val="001C08D1"/>
    <w:rsid w:val="001C08D6"/>
    <w:rsid w:val="001C096B"/>
    <w:rsid w:val="001C0A96"/>
    <w:rsid w:val="001C0DA2"/>
    <w:rsid w:val="001C0E5D"/>
    <w:rsid w:val="001C0E89"/>
    <w:rsid w:val="001C0EAA"/>
    <w:rsid w:val="001C0FE2"/>
    <w:rsid w:val="001C11EE"/>
    <w:rsid w:val="001C12CF"/>
    <w:rsid w:val="001C143D"/>
    <w:rsid w:val="001C1478"/>
    <w:rsid w:val="001C15A2"/>
    <w:rsid w:val="001C15C1"/>
    <w:rsid w:val="001C1641"/>
    <w:rsid w:val="001C16C6"/>
    <w:rsid w:val="001C17A0"/>
    <w:rsid w:val="001C17DD"/>
    <w:rsid w:val="001C180B"/>
    <w:rsid w:val="001C18AC"/>
    <w:rsid w:val="001C19E3"/>
    <w:rsid w:val="001C1AC4"/>
    <w:rsid w:val="001C1B2E"/>
    <w:rsid w:val="001C1B65"/>
    <w:rsid w:val="001C1BEC"/>
    <w:rsid w:val="001C1BEE"/>
    <w:rsid w:val="001C1C16"/>
    <w:rsid w:val="001C1CC9"/>
    <w:rsid w:val="001C1DA4"/>
    <w:rsid w:val="001C2166"/>
    <w:rsid w:val="001C2343"/>
    <w:rsid w:val="001C2470"/>
    <w:rsid w:val="001C2503"/>
    <w:rsid w:val="001C259F"/>
    <w:rsid w:val="001C27B5"/>
    <w:rsid w:val="001C298B"/>
    <w:rsid w:val="001C29D1"/>
    <w:rsid w:val="001C29F3"/>
    <w:rsid w:val="001C29F9"/>
    <w:rsid w:val="001C2AFF"/>
    <w:rsid w:val="001C2BC1"/>
    <w:rsid w:val="001C2D2A"/>
    <w:rsid w:val="001C2D37"/>
    <w:rsid w:val="001C2DC5"/>
    <w:rsid w:val="001C2EAF"/>
    <w:rsid w:val="001C2EE0"/>
    <w:rsid w:val="001C3045"/>
    <w:rsid w:val="001C30C8"/>
    <w:rsid w:val="001C310A"/>
    <w:rsid w:val="001C31BD"/>
    <w:rsid w:val="001C3253"/>
    <w:rsid w:val="001C326B"/>
    <w:rsid w:val="001C32CF"/>
    <w:rsid w:val="001C32DF"/>
    <w:rsid w:val="001C33D2"/>
    <w:rsid w:val="001C3566"/>
    <w:rsid w:val="001C3595"/>
    <w:rsid w:val="001C35CF"/>
    <w:rsid w:val="001C3707"/>
    <w:rsid w:val="001C386C"/>
    <w:rsid w:val="001C3905"/>
    <w:rsid w:val="001C3A32"/>
    <w:rsid w:val="001C3A60"/>
    <w:rsid w:val="001C3A94"/>
    <w:rsid w:val="001C3AE7"/>
    <w:rsid w:val="001C3AED"/>
    <w:rsid w:val="001C3B01"/>
    <w:rsid w:val="001C3B77"/>
    <w:rsid w:val="001C3BC1"/>
    <w:rsid w:val="001C3DAB"/>
    <w:rsid w:val="001C3EB9"/>
    <w:rsid w:val="001C3F55"/>
    <w:rsid w:val="001C42C9"/>
    <w:rsid w:val="001C44AE"/>
    <w:rsid w:val="001C4594"/>
    <w:rsid w:val="001C4697"/>
    <w:rsid w:val="001C4766"/>
    <w:rsid w:val="001C476E"/>
    <w:rsid w:val="001C4979"/>
    <w:rsid w:val="001C49B1"/>
    <w:rsid w:val="001C4AAD"/>
    <w:rsid w:val="001C4B3C"/>
    <w:rsid w:val="001C4CAF"/>
    <w:rsid w:val="001C4DAA"/>
    <w:rsid w:val="001C4DC0"/>
    <w:rsid w:val="001C4E42"/>
    <w:rsid w:val="001C4E45"/>
    <w:rsid w:val="001C4F27"/>
    <w:rsid w:val="001C5002"/>
    <w:rsid w:val="001C5100"/>
    <w:rsid w:val="001C5287"/>
    <w:rsid w:val="001C528A"/>
    <w:rsid w:val="001C55B5"/>
    <w:rsid w:val="001C56BC"/>
    <w:rsid w:val="001C56E0"/>
    <w:rsid w:val="001C591E"/>
    <w:rsid w:val="001C5A1D"/>
    <w:rsid w:val="001C5A37"/>
    <w:rsid w:val="001C5AA5"/>
    <w:rsid w:val="001C5AAD"/>
    <w:rsid w:val="001C5AF5"/>
    <w:rsid w:val="001C5D01"/>
    <w:rsid w:val="001C5F2A"/>
    <w:rsid w:val="001C624D"/>
    <w:rsid w:val="001C6312"/>
    <w:rsid w:val="001C686E"/>
    <w:rsid w:val="001C68BB"/>
    <w:rsid w:val="001C68CB"/>
    <w:rsid w:val="001C69B0"/>
    <w:rsid w:val="001C69BC"/>
    <w:rsid w:val="001C6A24"/>
    <w:rsid w:val="001C6A68"/>
    <w:rsid w:val="001C6A7F"/>
    <w:rsid w:val="001C6B7E"/>
    <w:rsid w:val="001C6BDC"/>
    <w:rsid w:val="001C6C58"/>
    <w:rsid w:val="001C6CF4"/>
    <w:rsid w:val="001C6DF2"/>
    <w:rsid w:val="001C6F89"/>
    <w:rsid w:val="001C6FD1"/>
    <w:rsid w:val="001C71BF"/>
    <w:rsid w:val="001C73A5"/>
    <w:rsid w:val="001C744C"/>
    <w:rsid w:val="001C74B8"/>
    <w:rsid w:val="001C74F2"/>
    <w:rsid w:val="001C7582"/>
    <w:rsid w:val="001C76E5"/>
    <w:rsid w:val="001C785D"/>
    <w:rsid w:val="001C78FA"/>
    <w:rsid w:val="001C792F"/>
    <w:rsid w:val="001C79E7"/>
    <w:rsid w:val="001C7AA0"/>
    <w:rsid w:val="001C7AA3"/>
    <w:rsid w:val="001C7C39"/>
    <w:rsid w:val="001C7C46"/>
    <w:rsid w:val="001C7DFB"/>
    <w:rsid w:val="001C7EB2"/>
    <w:rsid w:val="001D01A6"/>
    <w:rsid w:val="001D02F4"/>
    <w:rsid w:val="001D02F7"/>
    <w:rsid w:val="001D03D6"/>
    <w:rsid w:val="001D056C"/>
    <w:rsid w:val="001D063A"/>
    <w:rsid w:val="001D07B7"/>
    <w:rsid w:val="001D088F"/>
    <w:rsid w:val="001D0A74"/>
    <w:rsid w:val="001D0B10"/>
    <w:rsid w:val="001D0C42"/>
    <w:rsid w:val="001D0C97"/>
    <w:rsid w:val="001D0C99"/>
    <w:rsid w:val="001D0D77"/>
    <w:rsid w:val="001D0DB2"/>
    <w:rsid w:val="001D0F36"/>
    <w:rsid w:val="001D0F48"/>
    <w:rsid w:val="001D100F"/>
    <w:rsid w:val="001D1127"/>
    <w:rsid w:val="001D131A"/>
    <w:rsid w:val="001D13B3"/>
    <w:rsid w:val="001D13F6"/>
    <w:rsid w:val="001D14EA"/>
    <w:rsid w:val="001D1704"/>
    <w:rsid w:val="001D17A2"/>
    <w:rsid w:val="001D188B"/>
    <w:rsid w:val="001D1901"/>
    <w:rsid w:val="001D194B"/>
    <w:rsid w:val="001D1AE9"/>
    <w:rsid w:val="001D1BAC"/>
    <w:rsid w:val="001D21FB"/>
    <w:rsid w:val="001D229F"/>
    <w:rsid w:val="001D2437"/>
    <w:rsid w:val="001D2488"/>
    <w:rsid w:val="001D2581"/>
    <w:rsid w:val="001D259B"/>
    <w:rsid w:val="001D2610"/>
    <w:rsid w:val="001D2A3D"/>
    <w:rsid w:val="001D2BD9"/>
    <w:rsid w:val="001D2CE9"/>
    <w:rsid w:val="001D2D71"/>
    <w:rsid w:val="001D2DD5"/>
    <w:rsid w:val="001D2E94"/>
    <w:rsid w:val="001D2E9E"/>
    <w:rsid w:val="001D2F1A"/>
    <w:rsid w:val="001D31AC"/>
    <w:rsid w:val="001D31D6"/>
    <w:rsid w:val="001D3236"/>
    <w:rsid w:val="001D324D"/>
    <w:rsid w:val="001D32DA"/>
    <w:rsid w:val="001D3399"/>
    <w:rsid w:val="001D3537"/>
    <w:rsid w:val="001D3596"/>
    <w:rsid w:val="001D359A"/>
    <w:rsid w:val="001D3604"/>
    <w:rsid w:val="001D398D"/>
    <w:rsid w:val="001D3A1A"/>
    <w:rsid w:val="001D3ACA"/>
    <w:rsid w:val="001D3C48"/>
    <w:rsid w:val="001D3C6C"/>
    <w:rsid w:val="001D3CB6"/>
    <w:rsid w:val="001D3DAB"/>
    <w:rsid w:val="001D3DCC"/>
    <w:rsid w:val="001D3E47"/>
    <w:rsid w:val="001D3E6F"/>
    <w:rsid w:val="001D3FE3"/>
    <w:rsid w:val="001D444D"/>
    <w:rsid w:val="001D444E"/>
    <w:rsid w:val="001D4668"/>
    <w:rsid w:val="001D477E"/>
    <w:rsid w:val="001D49AE"/>
    <w:rsid w:val="001D4A08"/>
    <w:rsid w:val="001D4A14"/>
    <w:rsid w:val="001D4A2F"/>
    <w:rsid w:val="001D4B49"/>
    <w:rsid w:val="001D4B82"/>
    <w:rsid w:val="001D4D30"/>
    <w:rsid w:val="001D5083"/>
    <w:rsid w:val="001D5208"/>
    <w:rsid w:val="001D52F5"/>
    <w:rsid w:val="001D52FA"/>
    <w:rsid w:val="001D534B"/>
    <w:rsid w:val="001D55D4"/>
    <w:rsid w:val="001D5600"/>
    <w:rsid w:val="001D5682"/>
    <w:rsid w:val="001D575D"/>
    <w:rsid w:val="001D576B"/>
    <w:rsid w:val="001D5990"/>
    <w:rsid w:val="001D59B4"/>
    <w:rsid w:val="001D5B38"/>
    <w:rsid w:val="001D5BCA"/>
    <w:rsid w:val="001D5CAF"/>
    <w:rsid w:val="001D5D13"/>
    <w:rsid w:val="001D5D89"/>
    <w:rsid w:val="001D5E62"/>
    <w:rsid w:val="001D5E89"/>
    <w:rsid w:val="001D5EB3"/>
    <w:rsid w:val="001D5F46"/>
    <w:rsid w:val="001D5FB5"/>
    <w:rsid w:val="001D5FF1"/>
    <w:rsid w:val="001D600B"/>
    <w:rsid w:val="001D61E5"/>
    <w:rsid w:val="001D62A5"/>
    <w:rsid w:val="001D6399"/>
    <w:rsid w:val="001D65F8"/>
    <w:rsid w:val="001D66A5"/>
    <w:rsid w:val="001D67B6"/>
    <w:rsid w:val="001D689F"/>
    <w:rsid w:val="001D68BD"/>
    <w:rsid w:val="001D68E4"/>
    <w:rsid w:val="001D6947"/>
    <w:rsid w:val="001D69BA"/>
    <w:rsid w:val="001D69F5"/>
    <w:rsid w:val="001D6AAC"/>
    <w:rsid w:val="001D6AF5"/>
    <w:rsid w:val="001D6B52"/>
    <w:rsid w:val="001D6E66"/>
    <w:rsid w:val="001D6EC8"/>
    <w:rsid w:val="001D70F1"/>
    <w:rsid w:val="001D731F"/>
    <w:rsid w:val="001D7362"/>
    <w:rsid w:val="001D7399"/>
    <w:rsid w:val="001D73BC"/>
    <w:rsid w:val="001D744A"/>
    <w:rsid w:val="001D7530"/>
    <w:rsid w:val="001D7608"/>
    <w:rsid w:val="001D78C9"/>
    <w:rsid w:val="001D79FE"/>
    <w:rsid w:val="001D7C92"/>
    <w:rsid w:val="001D7CE0"/>
    <w:rsid w:val="001D7E50"/>
    <w:rsid w:val="001E001F"/>
    <w:rsid w:val="001E0070"/>
    <w:rsid w:val="001E00D9"/>
    <w:rsid w:val="001E00E7"/>
    <w:rsid w:val="001E0110"/>
    <w:rsid w:val="001E0577"/>
    <w:rsid w:val="001E06C5"/>
    <w:rsid w:val="001E0742"/>
    <w:rsid w:val="001E0829"/>
    <w:rsid w:val="001E094A"/>
    <w:rsid w:val="001E0B44"/>
    <w:rsid w:val="001E0BB0"/>
    <w:rsid w:val="001E0C43"/>
    <w:rsid w:val="001E0D53"/>
    <w:rsid w:val="001E0DAD"/>
    <w:rsid w:val="001E0E7A"/>
    <w:rsid w:val="001E0F8E"/>
    <w:rsid w:val="001E1100"/>
    <w:rsid w:val="001E1143"/>
    <w:rsid w:val="001E128A"/>
    <w:rsid w:val="001E12CF"/>
    <w:rsid w:val="001E1317"/>
    <w:rsid w:val="001E1330"/>
    <w:rsid w:val="001E1631"/>
    <w:rsid w:val="001E175B"/>
    <w:rsid w:val="001E17D0"/>
    <w:rsid w:val="001E1BAD"/>
    <w:rsid w:val="001E1C98"/>
    <w:rsid w:val="001E1DCA"/>
    <w:rsid w:val="001E1E22"/>
    <w:rsid w:val="001E1F07"/>
    <w:rsid w:val="001E2302"/>
    <w:rsid w:val="001E242A"/>
    <w:rsid w:val="001E251D"/>
    <w:rsid w:val="001E25B4"/>
    <w:rsid w:val="001E265F"/>
    <w:rsid w:val="001E2690"/>
    <w:rsid w:val="001E27FA"/>
    <w:rsid w:val="001E282F"/>
    <w:rsid w:val="001E2862"/>
    <w:rsid w:val="001E28FE"/>
    <w:rsid w:val="001E29BD"/>
    <w:rsid w:val="001E29C5"/>
    <w:rsid w:val="001E2A5B"/>
    <w:rsid w:val="001E2AE2"/>
    <w:rsid w:val="001E2B1B"/>
    <w:rsid w:val="001E2BDA"/>
    <w:rsid w:val="001E2C2B"/>
    <w:rsid w:val="001E2D08"/>
    <w:rsid w:val="001E2EA8"/>
    <w:rsid w:val="001E2FBF"/>
    <w:rsid w:val="001E3024"/>
    <w:rsid w:val="001E30C2"/>
    <w:rsid w:val="001E32DD"/>
    <w:rsid w:val="001E32E5"/>
    <w:rsid w:val="001E3492"/>
    <w:rsid w:val="001E3525"/>
    <w:rsid w:val="001E361A"/>
    <w:rsid w:val="001E379D"/>
    <w:rsid w:val="001E37B8"/>
    <w:rsid w:val="001E3829"/>
    <w:rsid w:val="001E3973"/>
    <w:rsid w:val="001E3AD9"/>
    <w:rsid w:val="001E3B42"/>
    <w:rsid w:val="001E3BC7"/>
    <w:rsid w:val="001E3D68"/>
    <w:rsid w:val="001E3DB6"/>
    <w:rsid w:val="001E3F52"/>
    <w:rsid w:val="001E41B8"/>
    <w:rsid w:val="001E42AA"/>
    <w:rsid w:val="001E43AC"/>
    <w:rsid w:val="001E44A4"/>
    <w:rsid w:val="001E4514"/>
    <w:rsid w:val="001E4723"/>
    <w:rsid w:val="001E4756"/>
    <w:rsid w:val="001E4820"/>
    <w:rsid w:val="001E48B7"/>
    <w:rsid w:val="001E4AF4"/>
    <w:rsid w:val="001E4C97"/>
    <w:rsid w:val="001E4E55"/>
    <w:rsid w:val="001E4EC1"/>
    <w:rsid w:val="001E4F3C"/>
    <w:rsid w:val="001E4F59"/>
    <w:rsid w:val="001E4F73"/>
    <w:rsid w:val="001E4F89"/>
    <w:rsid w:val="001E4FD3"/>
    <w:rsid w:val="001E5198"/>
    <w:rsid w:val="001E5202"/>
    <w:rsid w:val="001E5299"/>
    <w:rsid w:val="001E52C3"/>
    <w:rsid w:val="001E53B2"/>
    <w:rsid w:val="001E54BB"/>
    <w:rsid w:val="001E54EE"/>
    <w:rsid w:val="001E55B9"/>
    <w:rsid w:val="001E55FE"/>
    <w:rsid w:val="001E56C2"/>
    <w:rsid w:val="001E58AB"/>
    <w:rsid w:val="001E5996"/>
    <w:rsid w:val="001E5BAD"/>
    <w:rsid w:val="001E5BFD"/>
    <w:rsid w:val="001E5CA5"/>
    <w:rsid w:val="001E5D8B"/>
    <w:rsid w:val="001E5EFD"/>
    <w:rsid w:val="001E5F05"/>
    <w:rsid w:val="001E6154"/>
    <w:rsid w:val="001E62E8"/>
    <w:rsid w:val="001E6304"/>
    <w:rsid w:val="001E636E"/>
    <w:rsid w:val="001E6399"/>
    <w:rsid w:val="001E640E"/>
    <w:rsid w:val="001E648D"/>
    <w:rsid w:val="001E68D0"/>
    <w:rsid w:val="001E696D"/>
    <w:rsid w:val="001E6992"/>
    <w:rsid w:val="001E6A75"/>
    <w:rsid w:val="001E6BAF"/>
    <w:rsid w:val="001E6C2F"/>
    <w:rsid w:val="001E6DF7"/>
    <w:rsid w:val="001E6EC1"/>
    <w:rsid w:val="001E6F63"/>
    <w:rsid w:val="001E70A0"/>
    <w:rsid w:val="001E70B9"/>
    <w:rsid w:val="001E71AA"/>
    <w:rsid w:val="001E720C"/>
    <w:rsid w:val="001E72CC"/>
    <w:rsid w:val="001E76DF"/>
    <w:rsid w:val="001E7714"/>
    <w:rsid w:val="001E777E"/>
    <w:rsid w:val="001E794B"/>
    <w:rsid w:val="001E79E7"/>
    <w:rsid w:val="001E7A25"/>
    <w:rsid w:val="001E7B5A"/>
    <w:rsid w:val="001E7C8D"/>
    <w:rsid w:val="001E7C90"/>
    <w:rsid w:val="001E7CB5"/>
    <w:rsid w:val="001E7D72"/>
    <w:rsid w:val="001E7D77"/>
    <w:rsid w:val="001E7DC4"/>
    <w:rsid w:val="001E7E1A"/>
    <w:rsid w:val="001E7E72"/>
    <w:rsid w:val="001E7ED0"/>
    <w:rsid w:val="001E7FE9"/>
    <w:rsid w:val="001E7FF1"/>
    <w:rsid w:val="001F0014"/>
    <w:rsid w:val="001F01C5"/>
    <w:rsid w:val="001F01D9"/>
    <w:rsid w:val="001F02B9"/>
    <w:rsid w:val="001F02BD"/>
    <w:rsid w:val="001F03E6"/>
    <w:rsid w:val="001F040A"/>
    <w:rsid w:val="001F0557"/>
    <w:rsid w:val="001F05F2"/>
    <w:rsid w:val="001F0716"/>
    <w:rsid w:val="001F083F"/>
    <w:rsid w:val="001F08A3"/>
    <w:rsid w:val="001F08A7"/>
    <w:rsid w:val="001F093B"/>
    <w:rsid w:val="001F0967"/>
    <w:rsid w:val="001F0999"/>
    <w:rsid w:val="001F0BB1"/>
    <w:rsid w:val="001F0BD7"/>
    <w:rsid w:val="001F0C88"/>
    <w:rsid w:val="001F0CAC"/>
    <w:rsid w:val="001F0D1E"/>
    <w:rsid w:val="001F0E9B"/>
    <w:rsid w:val="001F0F48"/>
    <w:rsid w:val="001F0FA7"/>
    <w:rsid w:val="001F1272"/>
    <w:rsid w:val="001F1398"/>
    <w:rsid w:val="001F14A1"/>
    <w:rsid w:val="001F15AD"/>
    <w:rsid w:val="001F15CA"/>
    <w:rsid w:val="001F17C9"/>
    <w:rsid w:val="001F180F"/>
    <w:rsid w:val="001F183E"/>
    <w:rsid w:val="001F189B"/>
    <w:rsid w:val="001F1915"/>
    <w:rsid w:val="001F1AF5"/>
    <w:rsid w:val="001F1CF7"/>
    <w:rsid w:val="001F1D60"/>
    <w:rsid w:val="001F1EA7"/>
    <w:rsid w:val="001F2124"/>
    <w:rsid w:val="001F22AB"/>
    <w:rsid w:val="001F236D"/>
    <w:rsid w:val="001F249D"/>
    <w:rsid w:val="001F24C9"/>
    <w:rsid w:val="001F24F7"/>
    <w:rsid w:val="001F260D"/>
    <w:rsid w:val="001F26C8"/>
    <w:rsid w:val="001F288D"/>
    <w:rsid w:val="001F2909"/>
    <w:rsid w:val="001F2935"/>
    <w:rsid w:val="001F29F7"/>
    <w:rsid w:val="001F2B68"/>
    <w:rsid w:val="001F2B74"/>
    <w:rsid w:val="001F2C29"/>
    <w:rsid w:val="001F2C74"/>
    <w:rsid w:val="001F2CE3"/>
    <w:rsid w:val="001F3136"/>
    <w:rsid w:val="001F3155"/>
    <w:rsid w:val="001F31FF"/>
    <w:rsid w:val="001F321B"/>
    <w:rsid w:val="001F32E9"/>
    <w:rsid w:val="001F32EC"/>
    <w:rsid w:val="001F330E"/>
    <w:rsid w:val="001F3400"/>
    <w:rsid w:val="001F354E"/>
    <w:rsid w:val="001F35B8"/>
    <w:rsid w:val="001F3777"/>
    <w:rsid w:val="001F3790"/>
    <w:rsid w:val="001F37BB"/>
    <w:rsid w:val="001F37F7"/>
    <w:rsid w:val="001F386B"/>
    <w:rsid w:val="001F388A"/>
    <w:rsid w:val="001F3902"/>
    <w:rsid w:val="001F39B5"/>
    <w:rsid w:val="001F39BE"/>
    <w:rsid w:val="001F39F1"/>
    <w:rsid w:val="001F3AC5"/>
    <w:rsid w:val="001F3B55"/>
    <w:rsid w:val="001F3CAC"/>
    <w:rsid w:val="001F3D0C"/>
    <w:rsid w:val="001F3E6A"/>
    <w:rsid w:val="001F3E6D"/>
    <w:rsid w:val="001F3E7E"/>
    <w:rsid w:val="001F3EE2"/>
    <w:rsid w:val="001F41F0"/>
    <w:rsid w:val="001F429B"/>
    <w:rsid w:val="001F4556"/>
    <w:rsid w:val="001F4606"/>
    <w:rsid w:val="001F4658"/>
    <w:rsid w:val="001F47F1"/>
    <w:rsid w:val="001F48FE"/>
    <w:rsid w:val="001F49BA"/>
    <w:rsid w:val="001F4A4A"/>
    <w:rsid w:val="001F4AF5"/>
    <w:rsid w:val="001F4C36"/>
    <w:rsid w:val="001F4C41"/>
    <w:rsid w:val="001F4C4C"/>
    <w:rsid w:val="001F4E76"/>
    <w:rsid w:val="001F4F5E"/>
    <w:rsid w:val="001F51E0"/>
    <w:rsid w:val="001F5413"/>
    <w:rsid w:val="001F548F"/>
    <w:rsid w:val="001F54FF"/>
    <w:rsid w:val="001F557D"/>
    <w:rsid w:val="001F55CA"/>
    <w:rsid w:val="001F567B"/>
    <w:rsid w:val="001F58D0"/>
    <w:rsid w:val="001F59BE"/>
    <w:rsid w:val="001F5B8D"/>
    <w:rsid w:val="001F5BB8"/>
    <w:rsid w:val="001F5BBA"/>
    <w:rsid w:val="001F5BD9"/>
    <w:rsid w:val="001F5CA6"/>
    <w:rsid w:val="001F5CA7"/>
    <w:rsid w:val="001F5CE8"/>
    <w:rsid w:val="001F5DB1"/>
    <w:rsid w:val="001F5DF6"/>
    <w:rsid w:val="001F5EBC"/>
    <w:rsid w:val="001F5FF5"/>
    <w:rsid w:val="001F5FFC"/>
    <w:rsid w:val="001F6044"/>
    <w:rsid w:val="001F60D1"/>
    <w:rsid w:val="001F61B3"/>
    <w:rsid w:val="001F6215"/>
    <w:rsid w:val="001F629F"/>
    <w:rsid w:val="001F642C"/>
    <w:rsid w:val="001F651F"/>
    <w:rsid w:val="001F65B9"/>
    <w:rsid w:val="001F65EF"/>
    <w:rsid w:val="001F6846"/>
    <w:rsid w:val="001F6916"/>
    <w:rsid w:val="001F6927"/>
    <w:rsid w:val="001F698C"/>
    <w:rsid w:val="001F6A28"/>
    <w:rsid w:val="001F6AEF"/>
    <w:rsid w:val="001F6B34"/>
    <w:rsid w:val="001F6B6F"/>
    <w:rsid w:val="001F6E8E"/>
    <w:rsid w:val="001F6EBC"/>
    <w:rsid w:val="001F704C"/>
    <w:rsid w:val="001F72CF"/>
    <w:rsid w:val="001F7300"/>
    <w:rsid w:val="001F7427"/>
    <w:rsid w:val="001F749A"/>
    <w:rsid w:val="001F74D0"/>
    <w:rsid w:val="001F774F"/>
    <w:rsid w:val="001F7798"/>
    <w:rsid w:val="001F77AF"/>
    <w:rsid w:val="001F7C4C"/>
    <w:rsid w:val="001F7CED"/>
    <w:rsid w:val="001F7D37"/>
    <w:rsid w:val="001F7D76"/>
    <w:rsid w:val="001F7DD9"/>
    <w:rsid w:val="001F7EE9"/>
    <w:rsid w:val="001F7EFC"/>
    <w:rsid w:val="001F7F68"/>
    <w:rsid w:val="001F7FBD"/>
    <w:rsid w:val="002000EB"/>
    <w:rsid w:val="002000F8"/>
    <w:rsid w:val="0020029F"/>
    <w:rsid w:val="002002A8"/>
    <w:rsid w:val="00200333"/>
    <w:rsid w:val="00200368"/>
    <w:rsid w:val="0020059E"/>
    <w:rsid w:val="002008E2"/>
    <w:rsid w:val="00200928"/>
    <w:rsid w:val="00200946"/>
    <w:rsid w:val="0020098D"/>
    <w:rsid w:val="00200B3D"/>
    <w:rsid w:val="00200BC5"/>
    <w:rsid w:val="00200BF5"/>
    <w:rsid w:val="00200C9F"/>
    <w:rsid w:val="00200D52"/>
    <w:rsid w:val="00200D92"/>
    <w:rsid w:val="00200E31"/>
    <w:rsid w:val="00200E47"/>
    <w:rsid w:val="00200EB1"/>
    <w:rsid w:val="00200F67"/>
    <w:rsid w:val="00201104"/>
    <w:rsid w:val="002011AB"/>
    <w:rsid w:val="002011D0"/>
    <w:rsid w:val="0020129E"/>
    <w:rsid w:val="002014F0"/>
    <w:rsid w:val="0020157F"/>
    <w:rsid w:val="0020161C"/>
    <w:rsid w:val="00201678"/>
    <w:rsid w:val="00201698"/>
    <w:rsid w:val="002016E7"/>
    <w:rsid w:val="0020172B"/>
    <w:rsid w:val="0020179C"/>
    <w:rsid w:val="002018D8"/>
    <w:rsid w:val="00201AB1"/>
    <w:rsid w:val="00201B3D"/>
    <w:rsid w:val="00201BA2"/>
    <w:rsid w:val="00201E51"/>
    <w:rsid w:val="00201EBB"/>
    <w:rsid w:val="00201EE3"/>
    <w:rsid w:val="00202050"/>
    <w:rsid w:val="00202098"/>
    <w:rsid w:val="002021FA"/>
    <w:rsid w:val="00202319"/>
    <w:rsid w:val="0020235C"/>
    <w:rsid w:val="00202380"/>
    <w:rsid w:val="00202389"/>
    <w:rsid w:val="002023A6"/>
    <w:rsid w:val="002023F9"/>
    <w:rsid w:val="00202509"/>
    <w:rsid w:val="00202540"/>
    <w:rsid w:val="002025CD"/>
    <w:rsid w:val="00202613"/>
    <w:rsid w:val="0020263E"/>
    <w:rsid w:val="002027F4"/>
    <w:rsid w:val="00202806"/>
    <w:rsid w:val="00202A07"/>
    <w:rsid w:val="00202BD7"/>
    <w:rsid w:val="00202D93"/>
    <w:rsid w:val="00202E64"/>
    <w:rsid w:val="00202EE9"/>
    <w:rsid w:val="00202F4E"/>
    <w:rsid w:val="00202F6E"/>
    <w:rsid w:val="0020320D"/>
    <w:rsid w:val="0020327C"/>
    <w:rsid w:val="002032EB"/>
    <w:rsid w:val="002033FB"/>
    <w:rsid w:val="00203449"/>
    <w:rsid w:val="00203500"/>
    <w:rsid w:val="00203572"/>
    <w:rsid w:val="0020364E"/>
    <w:rsid w:val="0020379E"/>
    <w:rsid w:val="00203B73"/>
    <w:rsid w:val="00203C9E"/>
    <w:rsid w:val="00203CF2"/>
    <w:rsid w:val="00203DED"/>
    <w:rsid w:val="00203EFA"/>
    <w:rsid w:val="00203F8D"/>
    <w:rsid w:val="00204020"/>
    <w:rsid w:val="0020403E"/>
    <w:rsid w:val="00204117"/>
    <w:rsid w:val="0020414F"/>
    <w:rsid w:val="002041C6"/>
    <w:rsid w:val="002043E7"/>
    <w:rsid w:val="002044F6"/>
    <w:rsid w:val="002048A8"/>
    <w:rsid w:val="002049EE"/>
    <w:rsid w:val="00204A45"/>
    <w:rsid w:val="00204A88"/>
    <w:rsid w:val="00204B1D"/>
    <w:rsid w:val="00204D0F"/>
    <w:rsid w:val="00204D20"/>
    <w:rsid w:val="00204FEC"/>
    <w:rsid w:val="00205007"/>
    <w:rsid w:val="00205059"/>
    <w:rsid w:val="002051A6"/>
    <w:rsid w:val="00205260"/>
    <w:rsid w:val="002052D8"/>
    <w:rsid w:val="002053D5"/>
    <w:rsid w:val="002055A9"/>
    <w:rsid w:val="002055B5"/>
    <w:rsid w:val="0020572E"/>
    <w:rsid w:val="00205834"/>
    <w:rsid w:val="00205909"/>
    <w:rsid w:val="00205A08"/>
    <w:rsid w:val="00205ABA"/>
    <w:rsid w:val="00205B2A"/>
    <w:rsid w:val="00205B3B"/>
    <w:rsid w:val="00205B70"/>
    <w:rsid w:val="00205BE4"/>
    <w:rsid w:val="00205C95"/>
    <w:rsid w:val="00205CD7"/>
    <w:rsid w:val="00205E05"/>
    <w:rsid w:val="00205E41"/>
    <w:rsid w:val="00205F40"/>
    <w:rsid w:val="0020602C"/>
    <w:rsid w:val="002061A7"/>
    <w:rsid w:val="002062C5"/>
    <w:rsid w:val="002063FF"/>
    <w:rsid w:val="0020644E"/>
    <w:rsid w:val="00206583"/>
    <w:rsid w:val="00206615"/>
    <w:rsid w:val="0020696E"/>
    <w:rsid w:val="00206ACA"/>
    <w:rsid w:val="00206BED"/>
    <w:rsid w:val="00206C85"/>
    <w:rsid w:val="00206D28"/>
    <w:rsid w:val="00206FDF"/>
    <w:rsid w:val="002070BE"/>
    <w:rsid w:val="002071D9"/>
    <w:rsid w:val="00207357"/>
    <w:rsid w:val="00207534"/>
    <w:rsid w:val="0020753F"/>
    <w:rsid w:val="002077A3"/>
    <w:rsid w:val="00207A31"/>
    <w:rsid w:val="00207A32"/>
    <w:rsid w:val="00207A33"/>
    <w:rsid w:val="00207A6F"/>
    <w:rsid w:val="00207B8E"/>
    <w:rsid w:val="00207BAD"/>
    <w:rsid w:val="00207E00"/>
    <w:rsid w:val="0021000B"/>
    <w:rsid w:val="0021010D"/>
    <w:rsid w:val="0021017B"/>
    <w:rsid w:val="0021027D"/>
    <w:rsid w:val="00210346"/>
    <w:rsid w:val="00210411"/>
    <w:rsid w:val="002105AB"/>
    <w:rsid w:val="00210771"/>
    <w:rsid w:val="00210828"/>
    <w:rsid w:val="002109AA"/>
    <w:rsid w:val="00210A02"/>
    <w:rsid w:val="00210A07"/>
    <w:rsid w:val="00210A89"/>
    <w:rsid w:val="00210C0F"/>
    <w:rsid w:val="00210CB3"/>
    <w:rsid w:val="00210D05"/>
    <w:rsid w:val="00210E23"/>
    <w:rsid w:val="00210E87"/>
    <w:rsid w:val="00210F2B"/>
    <w:rsid w:val="00210F48"/>
    <w:rsid w:val="00210FA1"/>
    <w:rsid w:val="00210FAC"/>
    <w:rsid w:val="00211093"/>
    <w:rsid w:val="0021110C"/>
    <w:rsid w:val="0021112A"/>
    <w:rsid w:val="0021120F"/>
    <w:rsid w:val="002112B1"/>
    <w:rsid w:val="00211377"/>
    <w:rsid w:val="002113FF"/>
    <w:rsid w:val="002115F5"/>
    <w:rsid w:val="00211723"/>
    <w:rsid w:val="002117AA"/>
    <w:rsid w:val="00211B72"/>
    <w:rsid w:val="00211C1F"/>
    <w:rsid w:val="00211CF5"/>
    <w:rsid w:val="00211D89"/>
    <w:rsid w:val="00211FA6"/>
    <w:rsid w:val="00212078"/>
    <w:rsid w:val="002121A5"/>
    <w:rsid w:val="00212242"/>
    <w:rsid w:val="0021274B"/>
    <w:rsid w:val="00212770"/>
    <w:rsid w:val="0021279A"/>
    <w:rsid w:val="002127B1"/>
    <w:rsid w:val="002129D1"/>
    <w:rsid w:val="00212AFC"/>
    <w:rsid w:val="00212B39"/>
    <w:rsid w:val="00212B78"/>
    <w:rsid w:val="00212BCA"/>
    <w:rsid w:val="00212DAF"/>
    <w:rsid w:val="00212DDB"/>
    <w:rsid w:val="00212ED0"/>
    <w:rsid w:val="002130E3"/>
    <w:rsid w:val="002130F1"/>
    <w:rsid w:val="002131DF"/>
    <w:rsid w:val="002132B0"/>
    <w:rsid w:val="002132DD"/>
    <w:rsid w:val="002133A8"/>
    <w:rsid w:val="002133EE"/>
    <w:rsid w:val="0021349E"/>
    <w:rsid w:val="002135C1"/>
    <w:rsid w:val="002136A7"/>
    <w:rsid w:val="00213796"/>
    <w:rsid w:val="002138B6"/>
    <w:rsid w:val="002138DB"/>
    <w:rsid w:val="00213A3B"/>
    <w:rsid w:val="00213B23"/>
    <w:rsid w:val="00213BB1"/>
    <w:rsid w:val="00213BDB"/>
    <w:rsid w:val="00213D73"/>
    <w:rsid w:val="00213F00"/>
    <w:rsid w:val="00213F28"/>
    <w:rsid w:val="00213FBF"/>
    <w:rsid w:val="00214114"/>
    <w:rsid w:val="00214145"/>
    <w:rsid w:val="00214209"/>
    <w:rsid w:val="00214215"/>
    <w:rsid w:val="00214392"/>
    <w:rsid w:val="00214455"/>
    <w:rsid w:val="002147D8"/>
    <w:rsid w:val="002147D9"/>
    <w:rsid w:val="00214804"/>
    <w:rsid w:val="00214975"/>
    <w:rsid w:val="00214976"/>
    <w:rsid w:val="00214B56"/>
    <w:rsid w:val="00214B5A"/>
    <w:rsid w:val="00214CA0"/>
    <w:rsid w:val="00214D2B"/>
    <w:rsid w:val="00214D7C"/>
    <w:rsid w:val="00214DC3"/>
    <w:rsid w:val="00215001"/>
    <w:rsid w:val="00215030"/>
    <w:rsid w:val="00215116"/>
    <w:rsid w:val="0021511C"/>
    <w:rsid w:val="002153E4"/>
    <w:rsid w:val="00215428"/>
    <w:rsid w:val="0021544D"/>
    <w:rsid w:val="0021549D"/>
    <w:rsid w:val="002154F3"/>
    <w:rsid w:val="002155A7"/>
    <w:rsid w:val="002157DC"/>
    <w:rsid w:val="00215820"/>
    <w:rsid w:val="002158D6"/>
    <w:rsid w:val="00215A15"/>
    <w:rsid w:val="00215AE1"/>
    <w:rsid w:val="00215AFC"/>
    <w:rsid w:val="00215BCC"/>
    <w:rsid w:val="00215C83"/>
    <w:rsid w:val="00215D3C"/>
    <w:rsid w:val="00215E56"/>
    <w:rsid w:val="00215ED2"/>
    <w:rsid w:val="00216060"/>
    <w:rsid w:val="0021606E"/>
    <w:rsid w:val="002160FF"/>
    <w:rsid w:val="00216134"/>
    <w:rsid w:val="0021614F"/>
    <w:rsid w:val="00216167"/>
    <w:rsid w:val="00216621"/>
    <w:rsid w:val="00216632"/>
    <w:rsid w:val="00216668"/>
    <w:rsid w:val="00216875"/>
    <w:rsid w:val="002168A6"/>
    <w:rsid w:val="002168FB"/>
    <w:rsid w:val="002169C6"/>
    <w:rsid w:val="00216A62"/>
    <w:rsid w:val="00216F0B"/>
    <w:rsid w:val="002170D9"/>
    <w:rsid w:val="0021717E"/>
    <w:rsid w:val="00217279"/>
    <w:rsid w:val="00217340"/>
    <w:rsid w:val="002173F1"/>
    <w:rsid w:val="0021779A"/>
    <w:rsid w:val="002177AC"/>
    <w:rsid w:val="002177B0"/>
    <w:rsid w:val="002177F0"/>
    <w:rsid w:val="00217843"/>
    <w:rsid w:val="00217861"/>
    <w:rsid w:val="0021791E"/>
    <w:rsid w:val="002179E9"/>
    <w:rsid w:val="00217AEF"/>
    <w:rsid w:val="0022008A"/>
    <w:rsid w:val="0022009C"/>
    <w:rsid w:val="002200CB"/>
    <w:rsid w:val="00220297"/>
    <w:rsid w:val="00220322"/>
    <w:rsid w:val="00220370"/>
    <w:rsid w:val="00220478"/>
    <w:rsid w:val="00220589"/>
    <w:rsid w:val="00220626"/>
    <w:rsid w:val="00220631"/>
    <w:rsid w:val="002207E0"/>
    <w:rsid w:val="00220987"/>
    <w:rsid w:val="00220B7D"/>
    <w:rsid w:val="00220D8B"/>
    <w:rsid w:val="00220E4C"/>
    <w:rsid w:val="00220E6C"/>
    <w:rsid w:val="00220FC1"/>
    <w:rsid w:val="0022118E"/>
    <w:rsid w:val="002214E6"/>
    <w:rsid w:val="002214F1"/>
    <w:rsid w:val="0022166F"/>
    <w:rsid w:val="002216AB"/>
    <w:rsid w:val="00221781"/>
    <w:rsid w:val="002217FA"/>
    <w:rsid w:val="00221951"/>
    <w:rsid w:val="00221AAD"/>
    <w:rsid w:val="00221C9D"/>
    <w:rsid w:val="00221E2E"/>
    <w:rsid w:val="00221E7B"/>
    <w:rsid w:val="00221F1E"/>
    <w:rsid w:val="0022204D"/>
    <w:rsid w:val="0022207F"/>
    <w:rsid w:val="00222239"/>
    <w:rsid w:val="002223A0"/>
    <w:rsid w:val="002223A9"/>
    <w:rsid w:val="002223E0"/>
    <w:rsid w:val="002225DB"/>
    <w:rsid w:val="002225F7"/>
    <w:rsid w:val="002225FC"/>
    <w:rsid w:val="00222704"/>
    <w:rsid w:val="00222825"/>
    <w:rsid w:val="002228EB"/>
    <w:rsid w:val="00222AC3"/>
    <w:rsid w:val="00222AD7"/>
    <w:rsid w:val="00222DB8"/>
    <w:rsid w:val="00222E3D"/>
    <w:rsid w:val="00222ED5"/>
    <w:rsid w:val="00222F6D"/>
    <w:rsid w:val="00223010"/>
    <w:rsid w:val="00223177"/>
    <w:rsid w:val="00223197"/>
    <w:rsid w:val="002231A0"/>
    <w:rsid w:val="00223282"/>
    <w:rsid w:val="002232C9"/>
    <w:rsid w:val="002233D6"/>
    <w:rsid w:val="00223486"/>
    <w:rsid w:val="002235BE"/>
    <w:rsid w:val="00223816"/>
    <w:rsid w:val="00223B77"/>
    <w:rsid w:val="00223BD4"/>
    <w:rsid w:val="00223C1D"/>
    <w:rsid w:val="00223C31"/>
    <w:rsid w:val="00223CC1"/>
    <w:rsid w:val="00223E05"/>
    <w:rsid w:val="00224118"/>
    <w:rsid w:val="00224202"/>
    <w:rsid w:val="00224260"/>
    <w:rsid w:val="002242F3"/>
    <w:rsid w:val="00224316"/>
    <w:rsid w:val="00224462"/>
    <w:rsid w:val="00224503"/>
    <w:rsid w:val="00224619"/>
    <w:rsid w:val="0022470A"/>
    <w:rsid w:val="0022486B"/>
    <w:rsid w:val="00224876"/>
    <w:rsid w:val="002248D1"/>
    <w:rsid w:val="0022491E"/>
    <w:rsid w:val="00224944"/>
    <w:rsid w:val="00224A3C"/>
    <w:rsid w:val="00224A61"/>
    <w:rsid w:val="00224B07"/>
    <w:rsid w:val="00224CA2"/>
    <w:rsid w:val="00224CB1"/>
    <w:rsid w:val="00224DCB"/>
    <w:rsid w:val="00224ECE"/>
    <w:rsid w:val="00224EE5"/>
    <w:rsid w:val="002250BC"/>
    <w:rsid w:val="00225100"/>
    <w:rsid w:val="00225153"/>
    <w:rsid w:val="00225169"/>
    <w:rsid w:val="002251BA"/>
    <w:rsid w:val="002251CC"/>
    <w:rsid w:val="00225226"/>
    <w:rsid w:val="0022525A"/>
    <w:rsid w:val="002252A5"/>
    <w:rsid w:val="0022531D"/>
    <w:rsid w:val="00225353"/>
    <w:rsid w:val="002254F1"/>
    <w:rsid w:val="0022560F"/>
    <w:rsid w:val="0022584D"/>
    <w:rsid w:val="00225886"/>
    <w:rsid w:val="0022605B"/>
    <w:rsid w:val="0022608B"/>
    <w:rsid w:val="002260A7"/>
    <w:rsid w:val="002260C2"/>
    <w:rsid w:val="002260C7"/>
    <w:rsid w:val="002260F4"/>
    <w:rsid w:val="00226161"/>
    <w:rsid w:val="0022624C"/>
    <w:rsid w:val="00226427"/>
    <w:rsid w:val="00226509"/>
    <w:rsid w:val="00226599"/>
    <w:rsid w:val="0022660B"/>
    <w:rsid w:val="00226640"/>
    <w:rsid w:val="0022674B"/>
    <w:rsid w:val="0022687E"/>
    <w:rsid w:val="0022693A"/>
    <w:rsid w:val="00226A04"/>
    <w:rsid w:val="00226AC5"/>
    <w:rsid w:val="00226D1A"/>
    <w:rsid w:val="00226DC1"/>
    <w:rsid w:val="00226E82"/>
    <w:rsid w:val="00226F9F"/>
    <w:rsid w:val="002270D1"/>
    <w:rsid w:val="002272D3"/>
    <w:rsid w:val="002273CB"/>
    <w:rsid w:val="00227405"/>
    <w:rsid w:val="0022744E"/>
    <w:rsid w:val="002275F8"/>
    <w:rsid w:val="00227673"/>
    <w:rsid w:val="00227706"/>
    <w:rsid w:val="0022791D"/>
    <w:rsid w:val="00227A1B"/>
    <w:rsid w:val="00227AC1"/>
    <w:rsid w:val="00227BE3"/>
    <w:rsid w:val="00227C37"/>
    <w:rsid w:val="00227C45"/>
    <w:rsid w:val="00227D23"/>
    <w:rsid w:val="00227DD8"/>
    <w:rsid w:val="00227EF1"/>
    <w:rsid w:val="00227F58"/>
    <w:rsid w:val="0023003D"/>
    <w:rsid w:val="00230050"/>
    <w:rsid w:val="00230094"/>
    <w:rsid w:val="002301A2"/>
    <w:rsid w:val="00230308"/>
    <w:rsid w:val="002303CA"/>
    <w:rsid w:val="002305BA"/>
    <w:rsid w:val="0023062B"/>
    <w:rsid w:val="002306CF"/>
    <w:rsid w:val="002307DB"/>
    <w:rsid w:val="00230904"/>
    <w:rsid w:val="00230AD5"/>
    <w:rsid w:val="00230B98"/>
    <w:rsid w:val="00230BA9"/>
    <w:rsid w:val="00230C0E"/>
    <w:rsid w:val="002310EC"/>
    <w:rsid w:val="002312F3"/>
    <w:rsid w:val="00231341"/>
    <w:rsid w:val="00231358"/>
    <w:rsid w:val="0023151C"/>
    <w:rsid w:val="0023162C"/>
    <w:rsid w:val="002316A9"/>
    <w:rsid w:val="002319E3"/>
    <w:rsid w:val="00231AB5"/>
    <w:rsid w:val="00231C94"/>
    <w:rsid w:val="00231CA5"/>
    <w:rsid w:val="00231D14"/>
    <w:rsid w:val="00231F14"/>
    <w:rsid w:val="00231F59"/>
    <w:rsid w:val="002320AC"/>
    <w:rsid w:val="00232184"/>
    <w:rsid w:val="002321E9"/>
    <w:rsid w:val="002321F5"/>
    <w:rsid w:val="002322ED"/>
    <w:rsid w:val="0023242E"/>
    <w:rsid w:val="0023251A"/>
    <w:rsid w:val="00232555"/>
    <w:rsid w:val="002325F7"/>
    <w:rsid w:val="00232A1B"/>
    <w:rsid w:val="00232B08"/>
    <w:rsid w:val="00232B9A"/>
    <w:rsid w:val="00232C31"/>
    <w:rsid w:val="00232CD6"/>
    <w:rsid w:val="00232E8E"/>
    <w:rsid w:val="00232F3E"/>
    <w:rsid w:val="00232F41"/>
    <w:rsid w:val="00232F65"/>
    <w:rsid w:val="00233116"/>
    <w:rsid w:val="0023311A"/>
    <w:rsid w:val="0023315F"/>
    <w:rsid w:val="0023322F"/>
    <w:rsid w:val="002333CE"/>
    <w:rsid w:val="00233524"/>
    <w:rsid w:val="00233566"/>
    <w:rsid w:val="002335AC"/>
    <w:rsid w:val="002336CA"/>
    <w:rsid w:val="002336EB"/>
    <w:rsid w:val="0023377D"/>
    <w:rsid w:val="0023390D"/>
    <w:rsid w:val="00233A5D"/>
    <w:rsid w:val="00233A73"/>
    <w:rsid w:val="00233AB5"/>
    <w:rsid w:val="00233AC4"/>
    <w:rsid w:val="00233ACC"/>
    <w:rsid w:val="00233B1E"/>
    <w:rsid w:val="00233C03"/>
    <w:rsid w:val="00233C0A"/>
    <w:rsid w:val="00233CEB"/>
    <w:rsid w:val="00233D60"/>
    <w:rsid w:val="0023412F"/>
    <w:rsid w:val="0023413B"/>
    <w:rsid w:val="00234198"/>
    <w:rsid w:val="002344C4"/>
    <w:rsid w:val="00234718"/>
    <w:rsid w:val="00234924"/>
    <w:rsid w:val="0023494D"/>
    <w:rsid w:val="00234A01"/>
    <w:rsid w:val="00234ACA"/>
    <w:rsid w:val="00234D1C"/>
    <w:rsid w:val="00234D6F"/>
    <w:rsid w:val="00234EFA"/>
    <w:rsid w:val="002350B2"/>
    <w:rsid w:val="00235188"/>
    <w:rsid w:val="002352CD"/>
    <w:rsid w:val="002352D2"/>
    <w:rsid w:val="002352F8"/>
    <w:rsid w:val="00235521"/>
    <w:rsid w:val="002355AE"/>
    <w:rsid w:val="002355EE"/>
    <w:rsid w:val="002355EF"/>
    <w:rsid w:val="002356C5"/>
    <w:rsid w:val="00235813"/>
    <w:rsid w:val="00235900"/>
    <w:rsid w:val="002359B3"/>
    <w:rsid w:val="00235AD0"/>
    <w:rsid w:val="00235B5E"/>
    <w:rsid w:val="00235B7B"/>
    <w:rsid w:val="00235CBF"/>
    <w:rsid w:val="00235D14"/>
    <w:rsid w:val="00235DC1"/>
    <w:rsid w:val="00235E02"/>
    <w:rsid w:val="00235E72"/>
    <w:rsid w:val="00235FDC"/>
    <w:rsid w:val="0023611F"/>
    <w:rsid w:val="0023612A"/>
    <w:rsid w:val="0023653E"/>
    <w:rsid w:val="0023656E"/>
    <w:rsid w:val="0023676A"/>
    <w:rsid w:val="00236812"/>
    <w:rsid w:val="002369EF"/>
    <w:rsid w:val="00236A2C"/>
    <w:rsid w:val="00236A78"/>
    <w:rsid w:val="00236BF3"/>
    <w:rsid w:val="00236C4F"/>
    <w:rsid w:val="00236C77"/>
    <w:rsid w:val="00236D27"/>
    <w:rsid w:val="00236E7B"/>
    <w:rsid w:val="00237022"/>
    <w:rsid w:val="0023712B"/>
    <w:rsid w:val="0023723B"/>
    <w:rsid w:val="0023733D"/>
    <w:rsid w:val="00237430"/>
    <w:rsid w:val="002375F8"/>
    <w:rsid w:val="00237669"/>
    <w:rsid w:val="002376E6"/>
    <w:rsid w:val="00237B76"/>
    <w:rsid w:val="00237C61"/>
    <w:rsid w:val="00237C6A"/>
    <w:rsid w:val="00237D0A"/>
    <w:rsid w:val="00237D25"/>
    <w:rsid w:val="00237DEF"/>
    <w:rsid w:val="00237E06"/>
    <w:rsid w:val="00237E7B"/>
    <w:rsid w:val="00240120"/>
    <w:rsid w:val="00240210"/>
    <w:rsid w:val="0024021A"/>
    <w:rsid w:val="00240285"/>
    <w:rsid w:val="002402A2"/>
    <w:rsid w:val="002402F1"/>
    <w:rsid w:val="002403C6"/>
    <w:rsid w:val="0024046C"/>
    <w:rsid w:val="002404BA"/>
    <w:rsid w:val="002405D3"/>
    <w:rsid w:val="002405E9"/>
    <w:rsid w:val="00240605"/>
    <w:rsid w:val="0024069E"/>
    <w:rsid w:val="00240702"/>
    <w:rsid w:val="0024071A"/>
    <w:rsid w:val="00240ACB"/>
    <w:rsid w:val="00240B8C"/>
    <w:rsid w:val="00240BB2"/>
    <w:rsid w:val="00240C84"/>
    <w:rsid w:val="00240D98"/>
    <w:rsid w:val="00240E4C"/>
    <w:rsid w:val="00240E6D"/>
    <w:rsid w:val="00240F3E"/>
    <w:rsid w:val="00240F42"/>
    <w:rsid w:val="00240FEF"/>
    <w:rsid w:val="0024107B"/>
    <w:rsid w:val="0024119D"/>
    <w:rsid w:val="0024142A"/>
    <w:rsid w:val="002414CA"/>
    <w:rsid w:val="00241698"/>
    <w:rsid w:val="00241790"/>
    <w:rsid w:val="0024191E"/>
    <w:rsid w:val="00241982"/>
    <w:rsid w:val="00241BE7"/>
    <w:rsid w:val="00241C3E"/>
    <w:rsid w:val="00241D3F"/>
    <w:rsid w:val="00241D8C"/>
    <w:rsid w:val="00241EBC"/>
    <w:rsid w:val="0024201D"/>
    <w:rsid w:val="00242058"/>
    <w:rsid w:val="002420C0"/>
    <w:rsid w:val="0024217F"/>
    <w:rsid w:val="002421E4"/>
    <w:rsid w:val="002421FE"/>
    <w:rsid w:val="00242228"/>
    <w:rsid w:val="00242282"/>
    <w:rsid w:val="00242457"/>
    <w:rsid w:val="002424AE"/>
    <w:rsid w:val="00242520"/>
    <w:rsid w:val="00242802"/>
    <w:rsid w:val="00242819"/>
    <w:rsid w:val="00242ACD"/>
    <w:rsid w:val="00242AFE"/>
    <w:rsid w:val="00242C07"/>
    <w:rsid w:val="00242CAE"/>
    <w:rsid w:val="00242D85"/>
    <w:rsid w:val="00242DA3"/>
    <w:rsid w:val="00242E96"/>
    <w:rsid w:val="00242F55"/>
    <w:rsid w:val="00243087"/>
    <w:rsid w:val="002430D1"/>
    <w:rsid w:val="00243331"/>
    <w:rsid w:val="0024336C"/>
    <w:rsid w:val="002433F7"/>
    <w:rsid w:val="002434EE"/>
    <w:rsid w:val="0024359C"/>
    <w:rsid w:val="002435C0"/>
    <w:rsid w:val="00243647"/>
    <w:rsid w:val="00243669"/>
    <w:rsid w:val="00243782"/>
    <w:rsid w:val="002439DC"/>
    <w:rsid w:val="002439EA"/>
    <w:rsid w:val="00243B5F"/>
    <w:rsid w:val="00243C4F"/>
    <w:rsid w:val="00243C5E"/>
    <w:rsid w:val="00243D74"/>
    <w:rsid w:val="00243D97"/>
    <w:rsid w:val="00243EA4"/>
    <w:rsid w:val="00243F96"/>
    <w:rsid w:val="0024404B"/>
    <w:rsid w:val="002440C6"/>
    <w:rsid w:val="002442B3"/>
    <w:rsid w:val="002442E1"/>
    <w:rsid w:val="00244354"/>
    <w:rsid w:val="002444A5"/>
    <w:rsid w:val="002446B7"/>
    <w:rsid w:val="0024479C"/>
    <w:rsid w:val="0024485A"/>
    <w:rsid w:val="002448F4"/>
    <w:rsid w:val="00244AAC"/>
    <w:rsid w:val="00244BB7"/>
    <w:rsid w:val="00244BDB"/>
    <w:rsid w:val="00244CFB"/>
    <w:rsid w:val="00244D71"/>
    <w:rsid w:val="00244DAC"/>
    <w:rsid w:val="00244DCC"/>
    <w:rsid w:val="00244DDC"/>
    <w:rsid w:val="00244E15"/>
    <w:rsid w:val="00244E8A"/>
    <w:rsid w:val="0024501B"/>
    <w:rsid w:val="0024505E"/>
    <w:rsid w:val="00245153"/>
    <w:rsid w:val="002452D2"/>
    <w:rsid w:val="00245539"/>
    <w:rsid w:val="00245598"/>
    <w:rsid w:val="002455C4"/>
    <w:rsid w:val="002455E6"/>
    <w:rsid w:val="0024562F"/>
    <w:rsid w:val="0024584A"/>
    <w:rsid w:val="00245894"/>
    <w:rsid w:val="002458DF"/>
    <w:rsid w:val="00245932"/>
    <w:rsid w:val="0024596F"/>
    <w:rsid w:val="002459EF"/>
    <w:rsid w:val="00245A79"/>
    <w:rsid w:val="00245CF4"/>
    <w:rsid w:val="00245DCA"/>
    <w:rsid w:val="00245E1D"/>
    <w:rsid w:val="002460BA"/>
    <w:rsid w:val="002460FF"/>
    <w:rsid w:val="00246157"/>
    <w:rsid w:val="002461BE"/>
    <w:rsid w:val="00246306"/>
    <w:rsid w:val="00246377"/>
    <w:rsid w:val="002463BA"/>
    <w:rsid w:val="00246468"/>
    <w:rsid w:val="0024648B"/>
    <w:rsid w:val="002464CF"/>
    <w:rsid w:val="002464DB"/>
    <w:rsid w:val="002465EA"/>
    <w:rsid w:val="0024664A"/>
    <w:rsid w:val="0024669F"/>
    <w:rsid w:val="002466BC"/>
    <w:rsid w:val="00246744"/>
    <w:rsid w:val="0024681B"/>
    <w:rsid w:val="00246849"/>
    <w:rsid w:val="002468D6"/>
    <w:rsid w:val="0024691E"/>
    <w:rsid w:val="002469A0"/>
    <w:rsid w:val="00246A5C"/>
    <w:rsid w:val="00246A87"/>
    <w:rsid w:val="00246CC3"/>
    <w:rsid w:val="00246DE4"/>
    <w:rsid w:val="00246F50"/>
    <w:rsid w:val="00247058"/>
    <w:rsid w:val="002470D0"/>
    <w:rsid w:val="002470F8"/>
    <w:rsid w:val="0024715A"/>
    <w:rsid w:val="00247239"/>
    <w:rsid w:val="00247394"/>
    <w:rsid w:val="00247483"/>
    <w:rsid w:val="0024767F"/>
    <w:rsid w:val="002476E5"/>
    <w:rsid w:val="00247708"/>
    <w:rsid w:val="00247760"/>
    <w:rsid w:val="002477C0"/>
    <w:rsid w:val="002477FC"/>
    <w:rsid w:val="0024785B"/>
    <w:rsid w:val="0024785E"/>
    <w:rsid w:val="00247873"/>
    <w:rsid w:val="0024787E"/>
    <w:rsid w:val="00247B3E"/>
    <w:rsid w:val="00247BB1"/>
    <w:rsid w:val="00247C0B"/>
    <w:rsid w:val="00247C76"/>
    <w:rsid w:val="00247E15"/>
    <w:rsid w:val="00247F61"/>
    <w:rsid w:val="00247FC3"/>
    <w:rsid w:val="0025009B"/>
    <w:rsid w:val="002500FA"/>
    <w:rsid w:val="0025015A"/>
    <w:rsid w:val="00250201"/>
    <w:rsid w:val="002502EE"/>
    <w:rsid w:val="002503FA"/>
    <w:rsid w:val="00250697"/>
    <w:rsid w:val="002506E6"/>
    <w:rsid w:val="00250758"/>
    <w:rsid w:val="00250769"/>
    <w:rsid w:val="002507CF"/>
    <w:rsid w:val="002507EE"/>
    <w:rsid w:val="0025089E"/>
    <w:rsid w:val="00250932"/>
    <w:rsid w:val="00250A24"/>
    <w:rsid w:val="00250C22"/>
    <w:rsid w:val="00250C82"/>
    <w:rsid w:val="00250DB5"/>
    <w:rsid w:val="00250DCC"/>
    <w:rsid w:val="00250DE8"/>
    <w:rsid w:val="00250E74"/>
    <w:rsid w:val="00250E90"/>
    <w:rsid w:val="00250E95"/>
    <w:rsid w:val="00250F22"/>
    <w:rsid w:val="0025104C"/>
    <w:rsid w:val="00251225"/>
    <w:rsid w:val="00251466"/>
    <w:rsid w:val="00251476"/>
    <w:rsid w:val="002514EF"/>
    <w:rsid w:val="002514FB"/>
    <w:rsid w:val="0025150C"/>
    <w:rsid w:val="00251579"/>
    <w:rsid w:val="002515AC"/>
    <w:rsid w:val="002515E3"/>
    <w:rsid w:val="0025169C"/>
    <w:rsid w:val="00251778"/>
    <w:rsid w:val="002517E1"/>
    <w:rsid w:val="0025184E"/>
    <w:rsid w:val="002518E3"/>
    <w:rsid w:val="00251970"/>
    <w:rsid w:val="00251A9B"/>
    <w:rsid w:val="00251BEB"/>
    <w:rsid w:val="00251CC9"/>
    <w:rsid w:val="00251D17"/>
    <w:rsid w:val="00251DE0"/>
    <w:rsid w:val="00251F40"/>
    <w:rsid w:val="00251FAB"/>
    <w:rsid w:val="00252104"/>
    <w:rsid w:val="0025211B"/>
    <w:rsid w:val="0025216A"/>
    <w:rsid w:val="0025234D"/>
    <w:rsid w:val="00252536"/>
    <w:rsid w:val="0025253E"/>
    <w:rsid w:val="00252850"/>
    <w:rsid w:val="002528FF"/>
    <w:rsid w:val="002529A7"/>
    <w:rsid w:val="00252AAB"/>
    <w:rsid w:val="00252AEA"/>
    <w:rsid w:val="00252B98"/>
    <w:rsid w:val="00252B9E"/>
    <w:rsid w:val="00252BB4"/>
    <w:rsid w:val="00252BC9"/>
    <w:rsid w:val="00253112"/>
    <w:rsid w:val="00253145"/>
    <w:rsid w:val="002532E6"/>
    <w:rsid w:val="00253309"/>
    <w:rsid w:val="00253311"/>
    <w:rsid w:val="00253426"/>
    <w:rsid w:val="00253553"/>
    <w:rsid w:val="002536AF"/>
    <w:rsid w:val="00253771"/>
    <w:rsid w:val="002537EC"/>
    <w:rsid w:val="00253857"/>
    <w:rsid w:val="0025389D"/>
    <w:rsid w:val="002538A6"/>
    <w:rsid w:val="002538A9"/>
    <w:rsid w:val="00253980"/>
    <w:rsid w:val="00253A61"/>
    <w:rsid w:val="00253A7E"/>
    <w:rsid w:val="00253AAE"/>
    <w:rsid w:val="00253AB3"/>
    <w:rsid w:val="00253BF7"/>
    <w:rsid w:val="00253CFB"/>
    <w:rsid w:val="00253DE3"/>
    <w:rsid w:val="00253E80"/>
    <w:rsid w:val="00253EF9"/>
    <w:rsid w:val="00253F25"/>
    <w:rsid w:val="00253F7A"/>
    <w:rsid w:val="00253FBF"/>
    <w:rsid w:val="00254092"/>
    <w:rsid w:val="00254155"/>
    <w:rsid w:val="0025419D"/>
    <w:rsid w:val="002541F1"/>
    <w:rsid w:val="00254279"/>
    <w:rsid w:val="002542D0"/>
    <w:rsid w:val="0025435E"/>
    <w:rsid w:val="0025450C"/>
    <w:rsid w:val="00254556"/>
    <w:rsid w:val="0025463A"/>
    <w:rsid w:val="00254668"/>
    <w:rsid w:val="0025471E"/>
    <w:rsid w:val="002547CD"/>
    <w:rsid w:val="00254813"/>
    <w:rsid w:val="00254885"/>
    <w:rsid w:val="002548DF"/>
    <w:rsid w:val="002548FD"/>
    <w:rsid w:val="00254B5E"/>
    <w:rsid w:val="00254B9B"/>
    <w:rsid w:val="00254C6B"/>
    <w:rsid w:val="00254D06"/>
    <w:rsid w:val="00254D2D"/>
    <w:rsid w:val="00254E46"/>
    <w:rsid w:val="00254EF3"/>
    <w:rsid w:val="00254F33"/>
    <w:rsid w:val="00254F38"/>
    <w:rsid w:val="00255113"/>
    <w:rsid w:val="00255181"/>
    <w:rsid w:val="002551A9"/>
    <w:rsid w:val="002552D8"/>
    <w:rsid w:val="002552FA"/>
    <w:rsid w:val="0025545C"/>
    <w:rsid w:val="002554DC"/>
    <w:rsid w:val="002557F0"/>
    <w:rsid w:val="002558AC"/>
    <w:rsid w:val="002558CB"/>
    <w:rsid w:val="002558E6"/>
    <w:rsid w:val="00255953"/>
    <w:rsid w:val="0025599D"/>
    <w:rsid w:val="00255C1B"/>
    <w:rsid w:val="00255D75"/>
    <w:rsid w:val="00255ED5"/>
    <w:rsid w:val="002561AE"/>
    <w:rsid w:val="00256212"/>
    <w:rsid w:val="00256260"/>
    <w:rsid w:val="002562C0"/>
    <w:rsid w:val="0025637A"/>
    <w:rsid w:val="00256432"/>
    <w:rsid w:val="002564A8"/>
    <w:rsid w:val="00256537"/>
    <w:rsid w:val="002565A4"/>
    <w:rsid w:val="002565CB"/>
    <w:rsid w:val="002565CE"/>
    <w:rsid w:val="00256660"/>
    <w:rsid w:val="00256733"/>
    <w:rsid w:val="0025679B"/>
    <w:rsid w:val="0025689E"/>
    <w:rsid w:val="00256CB6"/>
    <w:rsid w:val="00256CD6"/>
    <w:rsid w:val="00256CEE"/>
    <w:rsid w:val="00256DEB"/>
    <w:rsid w:val="00256DFE"/>
    <w:rsid w:val="00256EBA"/>
    <w:rsid w:val="00256FB5"/>
    <w:rsid w:val="00257139"/>
    <w:rsid w:val="0025714B"/>
    <w:rsid w:val="00257460"/>
    <w:rsid w:val="0025748D"/>
    <w:rsid w:val="0025753F"/>
    <w:rsid w:val="0025759B"/>
    <w:rsid w:val="00257647"/>
    <w:rsid w:val="00257822"/>
    <w:rsid w:val="002578C5"/>
    <w:rsid w:val="00257A68"/>
    <w:rsid w:val="00257B3C"/>
    <w:rsid w:val="00257C2D"/>
    <w:rsid w:val="00257C4A"/>
    <w:rsid w:val="00257C67"/>
    <w:rsid w:val="00257D18"/>
    <w:rsid w:val="00257D62"/>
    <w:rsid w:val="00257F47"/>
    <w:rsid w:val="00260128"/>
    <w:rsid w:val="00260158"/>
    <w:rsid w:val="00260174"/>
    <w:rsid w:val="00260186"/>
    <w:rsid w:val="002601BE"/>
    <w:rsid w:val="00260297"/>
    <w:rsid w:val="002602C4"/>
    <w:rsid w:val="002602D2"/>
    <w:rsid w:val="0026036E"/>
    <w:rsid w:val="0026038D"/>
    <w:rsid w:val="002603AA"/>
    <w:rsid w:val="0026042D"/>
    <w:rsid w:val="002604F4"/>
    <w:rsid w:val="002605B6"/>
    <w:rsid w:val="002605DE"/>
    <w:rsid w:val="002606A6"/>
    <w:rsid w:val="00260751"/>
    <w:rsid w:val="00260AE1"/>
    <w:rsid w:val="00260B4F"/>
    <w:rsid w:val="00260CEB"/>
    <w:rsid w:val="00260EFD"/>
    <w:rsid w:val="00260F4E"/>
    <w:rsid w:val="00261071"/>
    <w:rsid w:val="0026108E"/>
    <w:rsid w:val="0026109F"/>
    <w:rsid w:val="00261363"/>
    <w:rsid w:val="00261422"/>
    <w:rsid w:val="00261667"/>
    <w:rsid w:val="002616E1"/>
    <w:rsid w:val="002616F1"/>
    <w:rsid w:val="0026170F"/>
    <w:rsid w:val="0026197D"/>
    <w:rsid w:val="0026199B"/>
    <w:rsid w:val="00261A34"/>
    <w:rsid w:val="00261B3D"/>
    <w:rsid w:val="00261B80"/>
    <w:rsid w:val="00261C36"/>
    <w:rsid w:val="00261D6D"/>
    <w:rsid w:val="00261DD8"/>
    <w:rsid w:val="00261DD9"/>
    <w:rsid w:val="00261E34"/>
    <w:rsid w:val="00261F29"/>
    <w:rsid w:val="00261FC2"/>
    <w:rsid w:val="002621B9"/>
    <w:rsid w:val="002622D0"/>
    <w:rsid w:val="002623EE"/>
    <w:rsid w:val="00262414"/>
    <w:rsid w:val="00262426"/>
    <w:rsid w:val="00262427"/>
    <w:rsid w:val="00262432"/>
    <w:rsid w:val="00262549"/>
    <w:rsid w:val="00262579"/>
    <w:rsid w:val="002625DA"/>
    <w:rsid w:val="0026289C"/>
    <w:rsid w:val="00262983"/>
    <w:rsid w:val="00262AED"/>
    <w:rsid w:val="00262B7A"/>
    <w:rsid w:val="00262C36"/>
    <w:rsid w:val="00262D1D"/>
    <w:rsid w:val="0026307C"/>
    <w:rsid w:val="0026313B"/>
    <w:rsid w:val="00263189"/>
    <w:rsid w:val="002631B4"/>
    <w:rsid w:val="00263334"/>
    <w:rsid w:val="0026343D"/>
    <w:rsid w:val="002634E7"/>
    <w:rsid w:val="00263596"/>
    <w:rsid w:val="002635CD"/>
    <w:rsid w:val="0026371D"/>
    <w:rsid w:val="002638A8"/>
    <w:rsid w:val="002638BE"/>
    <w:rsid w:val="002638C4"/>
    <w:rsid w:val="0026393C"/>
    <w:rsid w:val="00263975"/>
    <w:rsid w:val="00263A3D"/>
    <w:rsid w:val="00263A81"/>
    <w:rsid w:val="00263D50"/>
    <w:rsid w:val="00263DB7"/>
    <w:rsid w:val="00263DFA"/>
    <w:rsid w:val="00263F59"/>
    <w:rsid w:val="00263FAE"/>
    <w:rsid w:val="00264217"/>
    <w:rsid w:val="00264360"/>
    <w:rsid w:val="002644C5"/>
    <w:rsid w:val="002644E9"/>
    <w:rsid w:val="002646EF"/>
    <w:rsid w:val="00264AA3"/>
    <w:rsid w:val="00264B7F"/>
    <w:rsid w:val="00264BDA"/>
    <w:rsid w:val="00264D54"/>
    <w:rsid w:val="00264D83"/>
    <w:rsid w:val="00264DD3"/>
    <w:rsid w:val="00264EF9"/>
    <w:rsid w:val="00264F34"/>
    <w:rsid w:val="00265062"/>
    <w:rsid w:val="0026514C"/>
    <w:rsid w:val="0026517F"/>
    <w:rsid w:val="0026527A"/>
    <w:rsid w:val="002652AD"/>
    <w:rsid w:val="00265397"/>
    <w:rsid w:val="002653C6"/>
    <w:rsid w:val="002653EF"/>
    <w:rsid w:val="0026541B"/>
    <w:rsid w:val="0026548B"/>
    <w:rsid w:val="0026551E"/>
    <w:rsid w:val="0026557D"/>
    <w:rsid w:val="002655DD"/>
    <w:rsid w:val="00265600"/>
    <w:rsid w:val="002656F7"/>
    <w:rsid w:val="002657A5"/>
    <w:rsid w:val="002657AD"/>
    <w:rsid w:val="002657C5"/>
    <w:rsid w:val="00265886"/>
    <w:rsid w:val="002658E1"/>
    <w:rsid w:val="0026593C"/>
    <w:rsid w:val="002659D5"/>
    <w:rsid w:val="00265A77"/>
    <w:rsid w:val="00265B01"/>
    <w:rsid w:val="00265C19"/>
    <w:rsid w:val="00265C9B"/>
    <w:rsid w:val="00265CC3"/>
    <w:rsid w:val="00265D8A"/>
    <w:rsid w:val="0026600F"/>
    <w:rsid w:val="00266266"/>
    <w:rsid w:val="002662F3"/>
    <w:rsid w:val="00266329"/>
    <w:rsid w:val="002665E2"/>
    <w:rsid w:val="00266611"/>
    <w:rsid w:val="0026661D"/>
    <w:rsid w:val="00266866"/>
    <w:rsid w:val="00266983"/>
    <w:rsid w:val="00266A12"/>
    <w:rsid w:val="00266A5E"/>
    <w:rsid w:val="00266A63"/>
    <w:rsid w:val="00266AC8"/>
    <w:rsid w:val="00266BF2"/>
    <w:rsid w:val="00266CC8"/>
    <w:rsid w:val="00266D1C"/>
    <w:rsid w:val="00266D57"/>
    <w:rsid w:val="00266EAD"/>
    <w:rsid w:val="00266F5D"/>
    <w:rsid w:val="002670B0"/>
    <w:rsid w:val="00267208"/>
    <w:rsid w:val="0026720E"/>
    <w:rsid w:val="00267216"/>
    <w:rsid w:val="00267231"/>
    <w:rsid w:val="0026723A"/>
    <w:rsid w:val="002672A2"/>
    <w:rsid w:val="00267300"/>
    <w:rsid w:val="002674AE"/>
    <w:rsid w:val="00267602"/>
    <w:rsid w:val="00267746"/>
    <w:rsid w:val="00267779"/>
    <w:rsid w:val="002677ED"/>
    <w:rsid w:val="00267891"/>
    <w:rsid w:val="0026791C"/>
    <w:rsid w:val="00267985"/>
    <w:rsid w:val="00267C17"/>
    <w:rsid w:val="00267CC3"/>
    <w:rsid w:val="00267E66"/>
    <w:rsid w:val="00267E7F"/>
    <w:rsid w:val="00270015"/>
    <w:rsid w:val="00270041"/>
    <w:rsid w:val="00270127"/>
    <w:rsid w:val="0027016B"/>
    <w:rsid w:val="002701F7"/>
    <w:rsid w:val="00270232"/>
    <w:rsid w:val="00270253"/>
    <w:rsid w:val="0027031C"/>
    <w:rsid w:val="002703A4"/>
    <w:rsid w:val="002703E5"/>
    <w:rsid w:val="00270419"/>
    <w:rsid w:val="00270683"/>
    <w:rsid w:val="002707D0"/>
    <w:rsid w:val="002707FC"/>
    <w:rsid w:val="00270822"/>
    <w:rsid w:val="002708F0"/>
    <w:rsid w:val="00270900"/>
    <w:rsid w:val="00270982"/>
    <w:rsid w:val="002709D2"/>
    <w:rsid w:val="00270A48"/>
    <w:rsid w:val="00270A8D"/>
    <w:rsid w:val="00270BC3"/>
    <w:rsid w:val="00270BE8"/>
    <w:rsid w:val="00270D64"/>
    <w:rsid w:val="00270E0D"/>
    <w:rsid w:val="00270E26"/>
    <w:rsid w:val="00270E94"/>
    <w:rsid w:val="00270EF5"/>
    <w:rsid w:val="002711EB"/>
    <w:rsid w:val="00271238"/>
    <w:rsid w:val="002712C6"/>
    <w:rsid w:val="0027131C"/>
    <w:rsid w:val="00271359"/>
    <w:rsid w:val="002714F4"/>
    <w:rsid w:val="00271502"/>
    <w:rsid w:val="00271617"/>
    <w:rsid w:val="00271624"/>
    <w:rsid w:val="0027168E"/>
    <w:rsid w:val="002717FD"/>
    <w:rsid w:val="00271801"/>
    <w:rsid w:val="00271813"/>
    <w:rsid w:val="00271880"/>
    <w:rsid w:val="002718F4"/>
    <w:rsid w:val="0027190F"/>
    <w:rsid w:val="0027195A"/>
    <w:rsid w:val="00271A5E"/>
    <w:rsid w:val="00271AB8"/>
    <w:rsid w:val="00271B96"/>
    <w:rsid w:val="00271BFC"/>
    <w:rsid w:val="00271D21"/>
    <w:rsid w:val="00271F01"/>
    <w:rsid w:val="00271F72"/>
    <w:rsid w:val="00271FD5"/>
    <w:rsid w:val="0027211E"/>
    <w:rsid w:val="002722A2"/>
    <w:rsid w:val="00272432"/>
    <w:rsid w:val="0027249A"/>
    <w:rsid w:val="002725AD"/>
    <w:rsid w:val="00272636"/>
    <w:rsid w:val="00272798"/>
    <w:rsid w:val="002727C4"/>
    <w:rsid w:val="002728DD"/>
    <w:rsid w:val="00272EDD"/>
    <w:rsid w:val="00273021"/>
    <w:rsid w:val="0027309C"/>
    <w:rsid w:val="00273164"/>
    <w:rsid w:val="00273283"/>
    <w:rsid w:val="002732A3"/>
    <w:rsid w:val="002735B6"/>
    <w:rsid w:val="00273608"/>
    <w:rsid w:val="0027360B"/>
    <w:rsid w:val="002736EF"/>
    <w:rsid w:val="0027370D"/>
    <w:rsid w:val="00273728"/>
    <w:rsid w:val="002737FC"/>
    <w:rsid w:val="002738BD"/>
    <w:rsid w:val="002739DE"/>
    <w:rsid w:val="00273A0D"/>
    <w:rsid w:val="00273ABD"/>
    <w:rsid w:val="00273AF4"/>
    <w:rsid w:val="00273C6D"/>
    <w:rsid w:val="00273D29"/>
    <w:rsid w:val="00273D6A"/>
    <w:rsid w:val="00273E05"/>
    <w:rsid w:val="00273E83"/>
    <w:rsid w:val="00273F5C"/>
    <w:rsid w:val="00273FCF"/>
    <w:rsid w:val="002741C4"/>
    <w:rsid w:val="0027421A"/>
    <w:rsid w:val="00274314"/>
    <w:rsid w:val="0027431F"/>
    <w:rsid w:val="0027439C"/>
    <w:rsid w:val="0027443B"/>
    <w:rsid w:val="0027444F"/>
    <w:rsid w:val="00274505"/>
    <w:rsid w:val="00274522"/>
    <w:rsid w:val="0027458B"/>
    <w:rsid w:val="002746C6"/>
    <w:rsid w:val="002748DA"/>
    <w:rsid w:val="00274AA3"/>
    <w:rsid w:val="00274B2E"/>
    <w:rsid w:val="00274C6B"/>
    <w:rsid w:val="00274E45"/>
    <w:rsid w:val="002750EA"/>
    <w:rsid w:val="002752A7"/>
    <w:rsid w:val="002753B3"/>
    <w:rsid w:val="002753F2"/>
    <w:rsid w:val="00275507"/>
    <w:rsid w:val="0027564E"/>
    <w:rsid w:val="00275668"/>
    <w:rsid w:val="0027579E"/>
    <w:rsid w:val="00275ABE"/>
    <w:rsid w:val="00275B4C"/>
    <w:rsid w:val="00275BBA"/>
    <w:rsid w:val="00275BC3"/>
    <w:rsid w:val="00275DFC"/>
    <w:rsid w:val="00275E41"/>
    <w:rsid w:val="00275E75"/>
    <w:rsid w:val="00276047"/>
    <w:rsid w:val="002760DC"/>
    <w:rsid w:val="00276104"/>
    <w:rsid w:val="0027610F"/>
    <w:rsid w:val="0027621A"/>
    <w:rsid w:val="0027626E"/>
    <w:rsid w:val="002763A6"/>
    <w:rsid w:val="002765D9"/>
    <w:rsid w:val="00276736"/>
    <w:rsid w:val="002767D9"/>
    <w:rsid w:val="00276930"/>
    <w:rsid w:val="00276986"/>
    <w:rsid w:val="00276A9E"/>
    <w:rsid w:val="00276C55"/>
    <w:rsid w:val="00276CA8"/>
    <w:rsid w:val="00276D0A"/>
    <w:rsid w:val="00276D22"/>
    <w:rsid w:val="00276D5A"/>
    <w:rsid w:val="00276D77"/>
    <w:rsid w:val="00276D7D"/>
    <w:rsid w:val="00276D93"/>
    <w:rsid w:val="00276D94"/>
    <w:rsid w:val="00276E1A"/>
    <w:rsid w:val="00276E78"/>
    <w:rsid w:val="00276FDB"/>
    <w:rsid w:val="00277098"/>
    <w:rsid w:val="002770A5"/>
    <w:rsid w:val="0027713A"/>
    <w:rsid w:val="00277408"/>
    <w:rsid w:val="002774B9"/>
    <w:rsid w:val="002775EA"/>
    <w:rsid w:val="00277659"/>
    <w:rsid w:val="002776E7"/>
    <w:rsid w:val="00277747"/>
    <w:rsid w:val="00277852"/>
    <w:rsid w:val="00277968"/>
    <w:rsid w:val="00277AC0"/>
    <w:rsid w:val="00277BA9"/>
    <w:rsid w:val="00277BE1"/>
    <w:rsid w:val="00277C37"/>
    <w:rsid w:val="00277C62"/>
    <w:rsid w:val="00277CA5"/>
    <w:rsid w:val="00277D1E"/>
    <w:rsid w:val="00277D4E"/>
    <w:rsid w:val="00277D7B"/>
    <w:rsid w:val="00277DEB"/>
    <w:rsid w:val="00277E84"/>
    <w:rsid w:val="00277EDE"/>
    <w:rsid w:val="00277F0D"/>
    <w:rsid w:val="002800F4"/>
    <w:rsid w:val="002801E6"/>
    <w:rsid w:val="0028020D"/>
    <w:rsid w:val="0028022D"/>
    <w:rsid w:val="002803B7"/>
    <w:rsid w:val="002803C6"/>
    <w:rsid w:val="00280514"/>
    <w:rsid w:val="002805E1"/>
    <w:rsid w:val="00280613"/>
    <w:rsid w:val="002807F2"/>
    <w:rsid w:val="00280B55"/>
    <w:rsid w:val="00280CB1"/>
    <w:rsid w:val="00280E8A"/>
    <w:rsid w:val="00280EBE"/>
    <w:rsid w:val="00280F4A"/>
    <w:rsid w:val="0028124C"/>
    <w:rsid w:val="00281286"/>
    <w:rsid w:val="002812E2"/>
    <w:rsid w:val="00281492"/>
    <w:rsid w:val="0028151C"/>
    <w:rsid w:val="00281561"/>
    <w:rsid w:val="002815B6"/>
    <w:rsid w:val="00281771"/>
    <w:rsid w:val="0028183B"/>
    <w:rsid w:val="002818A9"/>
    <w:rsid w:val="002818E6"/>
    <w:rsid w:val="00281A8A"/>
    <w:rsid w:val="00281AE9"/>
    <w:rsid w:val="00281B35"/>
    <w:rsid w:val="00281C24"/>
    <w:rsid w:val="00281CA7"/>
    <w:rsid w:val="00281E86"/>
    <w:rsid w:val="00281E9B"/>
    <w:rsid w:val="00281EA5"/>
    <w:rsid w:val="00281EED"/>
    <w:rsid w:val="00281F06"/>
    <w:rsid w:val="00282047"/>
    <w:rsid w:val="00282122"/>
    <w:rsid w:val="002821EB"/>
    <w:rsid w:val="0028224E"/>
    <w:rsid w:val="002823E1"/>
    <w:rsid w:val="00282448"/>
    <w:rsid w:val="00282667"/>
    <w:rsid w:val="0028267B"/>
    <w:rsid w:val="002827FA"/>
    <w:rsid w:val="0028289F"/>
    <w:rsid w:val="00282A72"/>
    <w:rsid w:val="00282BB7"/>
    <w:rsid w:val="00282C75"/>
    <w:rsid w:val="00282D07"/>
    <w:rsid w:val="00282D19"/>
    <w:rsid w:val="00282F7A"/>
    <w:rsid w:val="002830B8"/>
    <w:rsid w:val="002831C7"/>
    <w:rsid w:val="002833F9"/>
    <w:rsid w:val="0028345C"/>
    <w:rsid w:val="00283498"/>
    <w:rsid w:val="002834D4"/>
    <w:rsid w:val="00283592"/>
    <w:rsid w:val="002836D9"/>
    <w:rsid w:val="002837F7"/>
    <w:rsid w:val="00283983"/>
    <w:rsid w:val="00283A5E"/>
    <w:rsid w:val="00283A6F"/>
    <w:rsid w:val="00283A78"/>
    <w:rsid w:val="00283B89"/>
    <w:rsid w:val="00283C2E"/>
    <w:rsid w:val="00283DB5"/>
    <w:rsid w:val="00283E42"/>
    <w:rsid w:val="00283FDA"/>
    <w:rsid w:val="00284216"/>
    <w:rsid w:val="00284367"/>
    <w:rsid w:val="00284411"/>
    <w:rsid w:val="00284454"/>
    <w:rsid w:val="00284629"/>
    <w:rsid w:val="00284896"/>
    <w:rsid w:val="002848D2"/>
    <w:rsid w:val="00284901"/>
    <w:rsid w:val="00284A4B"/>
    <w:rsid w:val="00284B2D"/>
    <w:rsid w:val="00284B56"/>
    <w:rsid w:val="0028500E"/>
    <w:rsid w:val="00285103"/>
    <w:rsid w:val="0028516E"/>
    <w:rsid w:val="002852A6"/>
    <w:rsid w:val="00285325"/>
    <w:rsid w:val="00285413"/>
    <w:rsid w:val="00285421"/>
    <w:rsid w:val="00285435"/>
    <w:rsid w:val="00285457"/>
    <w:rsid w:val="00285658"/>
    <w:rsid w:val="002856BD"/>
    <w:rsid w:val="002856EC"/>
    <w:rsid w:val="00285803"/>
    <w:rsid w:val="0028585D"/>
    <w:rsid w:val="002858A6"/>
    <w:rsid w:val="002858C3"/>
    <w:rsid w:val="002859E1"/>
    <w:rsid w:val="002859EF"/>
    <w:rsid w:val="00285B4C"/>
    <w:rsid w:val="00285C6A"/>
    <w:rsid w:val="00285D87"/>
    <w:rsid w:val="00285FA5"/>
    <w:rsid w:val="002860F7"/>
    <w:rsid w:val="0028636B"/>
    <w:rsid w:val="002864CB"/>
    <w:rsid w:val="002864D2"/>
    <w:rsid w:val="002864E0"/>
    <w:rsid w:val="00286638"/>
    <w:rsid w:val="002866EE"/>
    <w:rsid w:val="00286700"/>
    <w:rsid w:val="00286791"/>
    <w:rsid w:val="002867CB"/>
    <w:rsid w:val="002868CD"/>
    <w:rsid w:val="00286A16"/>
    <w:rsid w:val="00286B44"/>
    <w:rsid w:val="00286C8F"/>
    <w:rsid w:val="00286CB1"/>
    <w:rsid w:val="00286D3A"/>
    <w:rsid w:val="00286E23"/>
    <w:rsid w:val="00287073"/>
    <w:rsid w:val="00287186"/>
    <w:rsid w:val="002872CE"/>
    <w:rsid w:val="002873AB"/>
    <w:rsid w:val="002873BF"/>
    <w:rsid w:val="00287401"/>
    <w:rsid w:val="00287573"/>
    <w:rsid w:val="002875FA"/>
    <w:rsid w:val="00287A95"/>
    <w:rsid w:val="00287B12"/>
    <w:rsid w:val="00287B21"/>
    <w:rsid w:val="00287C6F"/>
    <w:rsid w:val="00287DF6"/>
    <w:rsid w:val="00287E35"/>
    <w:rsid w:val="00287E68"/>
    <w:rsid w:val="00287EB1"/>
    <w:rsid w:val="00290032"/>
    <w:rsid w:val="00290103"/>
    <w:rsid w:val="00290519"/>
    <w:rsid w:val="002905BE"/>
    <w:rsid w:val="0029067E"/>
    <w:rsid w:val="002906A5"/>
    <w:rsid w:val="002906B1"/>
    <w:rsid w:val="00290745"/>
    <w:rsid w:val="00290826"/>
    <w:rsid w:val="0029091C"/>
    <w:rsid w:val="0029093D"/>
    <w:rsid w:val="002909AA"/>
    <w:rsid w:val="00290A80"/>
    <w:rsid w:val="00290BB4"/>
    <w:rsid w:val="00290DD7"/>
    <w:rsid w:val="00290E3E"/>
    <w:rsid w:val="00290EE5"/>
    <w:rsid w:val="0029119E"/>
    <w:rsid w:val="002911A9"/>
    <w:rsid w:val="002912F6"/>
    <w:rsid w:val="002913F1"/>
    <w:rsid w:val="00291403"/>
    <w:rsid w:val="00291911"/>
    <w:rsid w:val="00291A8E"/>
    <w:rsid w:val="00291D34"/>
    <w:rsid w:val="00291F1A"/>
    <w:rsid w:val="00291FC0"/>
    <w:rsid w:val="002920E3"/>
    <w:rsid w:val="00292152"/>
    <w:rsid w:val="00292173"/>
    <w:rsid w:val="002921A7"/>
    <w:rsid w:val="002922B3"/>
    <w:rsid w:val="002922DB"/>
    <w:rsid w:val="0029246A"/>
    <w:rsid w:val="002927D3"/>
    <w:rsid w:val="002927F4"/>
    <w:rsid w:val="00292846"/>
    <w:rsid w:val="00292968"/>
    <w:rsid w:val="00292985"/>
    <w:rsid w:val="002929F7"/>
    <w:rsid w:val="00292A7E"/>
    <w:rsid w:val="00292B22"/>
    <w:rsid w:val="00292B34"/>
    <w:rsid w:val="00292BAB"/>
    <w:rsid w:val="00292C01"/>
    <w:rsid w:val="00292D60"/>
    <w:rsid w:val="00292D61"/>
    <w:rsid w:val="00292F1C"/>
    <w:rsid w:val="00293040"/>
    <w:rsid w:val="00293202"/>
    <w:rsid w:val="00293219"/>
    <w:rsid w:val="002933AC"/>
    <w:rsid w:val="002934FE"/>
    <w:rsid w:val="002935D5"/>
    <w:rsid w:val="00293797"/>
    <w:rsid w:val="00293805"/>
    <w:rsid w:val="00293923"/>
    <w:rsid w:val="002939B7"/>
    <w:rsid w:val="00293CF3"/>
    <w:rsid w:val="00293E21"/>
    <w:rsid w:val="00294119"/>
    <w:rsid w:val="0029440D"/>
    <w:rsid w:val="0029450F"/>
    <w:rsid w:val="002945AD"/>
    <w:rsid w:val="002945F5"/>
    <w:rsid w:val="002946D9"/>
    <w:rsid w:val="00294704"/>
    <w:rsid w:val="00294781"/>
    <w:rsid w:val="00294853"/>
    <w:rsid w:val="00294894"/>
    <w:rsid w:val="002948E1"/>
    <w:rsid w:val="00294AFB"/>
    <w:rsid w:val="00294C83"/>
    <w:rsid w:val="00294DBD"/>
    <w:rsid w:val="00294ECA"/>
    <w:rsid w:val="00294F22"/>
    <w:rsid w:val="00294F2E"/>
    <w:rsid w:val="00294F33"/>
    <w:rsid w:val="00294F5E"/>
    <w:rsid w:val="00294F85"/>
    <w:rsid w:val="00294FD5"/>
    <w:rsid w:val="002951E5"/>
    <w:rsid w:val="0029521B"/>
    <w:rsid w:val="00295294"/>
    <w:rsid w:val="002953F9"/>
    <w:rsid w:val="0029563F"/>
    <w:rsid w:val="00295868"/>
    <w:rsid w:val="00295906"/>
    <w:rsid w:val="002959CD"/>
    <w:rsid w:val="00295A3B"/>
    <w:rsid w:val="00295A88"/>
    <w:rsid w:val="00295AD7"/>
    <w:rsid w:val="00295B72"/>
    <w:rsid w:val="00295C71"/>
    <w:rsid w:val="00295CE6"/>
    <w:rsid w:val="00295EA9"/>
    <w:rsid w:val="00295F18"/>
    <w:rsid w:val="00295F55"/>
    <w:rsid w:val="002960BC"/>
    <w:rsid w:val="002960CD"/>
    <w:rsid w:val="00296118"/>
    <w:rsid w:val="00296209"/>
    <w:rsid w:val="0029625E"/>
    <w:rsid w:val="00296357"/>
    <w:rsid w:val="002964C7"/>
    <w:rsid w:val="002965DF"/>
    <w:rsid w:val="00296652"/>
    <w:rsid w:val="00296663"/>
    <w:rsid w:val="00296883"/>
    <w:rsid w:val="00296CF8"/>
    <w:rsid w:val="00296D12"/>
    <w:rsid w:val="00296E8F"/>
    <w:rsid w:val="00296FDB"/>
    <w:rsid w:val="0029700F"/>
    <w:rsid w:val="002970C3"/>
    <w:rsid w:val="00297172"/>
    <w:rsid w:val="002973E0"/>
    <w:rsid w:val="0029745F"/>
    <w:rsid w:val="00297481"/>
    <w:rsid w:val="00297617"/>
    <w:rsid w:val="00297665"/>
    <w:rsid w:val="00297667"/>
    <w:rsid w:val="0029773F"/>
    <w:rsid w:val="00297790"/>
    <w:rsid w:val="002977BC"/>
    <w:rsid w:val="00297871"/>
    <w:rsid w:val="00297A56"/>
    <w:rsid w:val="00297A8D"/>
    <w:rsid w:val="00297ABD"/>
    <w:rsid w:val="00297ACA"/>
    <w:rsid w:val="00297B90"/>
    <w:rsid w:val="00297BD0"/>
    <w:rsid w:val="00297C61"/>
    <w:rsid w:val="00297D2D"/>
    <w:rsid w:val="00297DC4"/>
    <w:rsid w:val="00297DE7"/>
    <w:rsid w:val="002A0083"/>
    <w:rsid w:val="002A026E"/>
    <w:rsid w:val="002A03A6"/>
    <w:rsid w:val="002A04BD"/>
    <w:rsid w:val="002A0663"/>
    <w:rsid w:val="002A0711"/>
    <w:rsid w:val="002A0713"/>
    <w:rsid w:val="002A0723"/>
    <w:rsid w:val="002A077B"/>
    <w:rsid w:val="002A08EC"/>
    <w:rsid w:val="002A091C"/>
    <w:rsid w:val="002A0A5C"/>
    <w:rsid w:val="002A0DED"/>
    <w:rsid w:val="002A0E65"/>
    <w:rsid w:val="002A0FB9"/>
    <w:rsid w:val="002A1225"/>
    <w:rsid w:val="002A1275"/>
    <w:rsid w:val="002A1440"/>
    <w:rsid w:val="002A14B5"/>
    <w:rsid w:val="002A14BF"/>
    <w:rsid w:val="002A1507"/>
    <w:rsid w:val="002A150A"/>
    <w:rsid w:val="002A1907"/>
    <w:rsid w:val="002A1995"/>
    <w:rsid w:val="002A1AA8"/>
    <w:rsid w:val="002A1B85"/>
    <w:rsid w:val="002A1BC9"/>
    <w:rsid w:val="002A1C0E"/>
    <w:rsid w:val="002A1C77"/>
    <w:rsid w:val="002A1CCB"/>
    <w:rsid w:val="002A1E9F"/>
    <w:rsid w:val="002A2125"/>
    <w:rsid w:val="002A2127"/>
    <w:rsid w:val="002A21AB"/>
    <w:rsid w:val="002A22F8"/>
    <w:rsid w:val="002A23B2"/>
    <w:rsid w:val="002A2449"/>
    <w:rsid w:val="002A25AD"/>
    <w:rsid w:val="002A270C"/>
    <w:rsid w:val="002A2847"/>
    <w:rsid w:val="002A29BA"/>
    <w:rsid w:val="002A2A94"/>
    <w:rsid w:val="002A2CA3"/>
    <w:rsid w:val="002A2D9D"/>
    <w:rsid w:val="002A2E0B"/>
    <w:rsid w:val="002A2E58"/>
    <w:rsid w:val="002A2F11"/>
    <w:rsid w:val="002A2F65"/>
    <w:rsid w:val="002A30F2"/>
    <w:rsid w:val="002A33A8"/>
    <w:rsid w:val="002A33D5"/>
    <w:rsid w:val="002A3590"/>
    <w:rsid w:val="002A368B"/>
    <w:rsid w:val="002A379B"/>
    <w:rsid w:val="002A3809"/>
    <w:rsid w:val="002A383F"/>
    <w:rsid w:val="002A3B1C"/>
    <w:rsid w:val="002A3B3F"/>
    <w:rsid w:val="002A3B68"/>
    <w:rsid w:val="002A3BE5"/>
    <w:rsid w:val="002A3BF9"/>
    <w:rsid w:val="002A3C8A"/>
    <w:rsid w:val="002A3CCF"/>
    <w:rsid w:val="002A3CF2"/>
    <w:rsid w:val="002A3D95"/>
    <w:rsid w:val="002A3EA3"/>
    <w:rsid w:val="002A4143"/>
    <w:rsid w:val="002A424C"/>
    <w:rsid w:val="002A4330"/>
    <w:rsid w:val="002A43B5"/>
    <w:rsid w:val="002A443F"/>
    <w:rsid w:val="002A4442"/>
    <w:rsid w:val="002A4481"/>
    <w:rsid w:val="002A4521"/>
    <w:rsid w:val="002A4556"/>
    <w:rsid w:val="002A45F7"/>
    <w:rsid w:val="002A4A50"/>
    <w:rsid w:val="002A4D68"/>
    <w:rsid w:val="002A4DB6"/>
    <w:rsid w:val="002A4E57"/>
    <w:rsid w:val="002A4F1D"/>
    <w:rsid w:val="002A4F3F"/>
    <w:rsid w:val="002A4F70"/>
    <w:rsid w:val="002A4F84"/>
    <w:rsid w:val="002A50DB"/>
    <w:rsid w:val="002A5274"/>
    <w:rsid w:val="002A534F"/>
    <w:rsid w:val="002A5353"/>
    <w:rsid w:val="002A539D"/>
    <w:rsid w:val="002A5441"/>
    <w:rsid w:val="002A5445"/>
    <w:rsid w:val="002A546A"/>
    <w:rsid w:val="002A55A2"/>
    <w:rsid w:val="002A570D"/>
    <w:rsid w:val="002A5710"/>
    <w:rsid w:val="002A5C07"/>
    <w:rsid w:val="002A5D17"/>
    <w:rsid w:val="002A5D78"/>
    <w:rsid w:val="002A5EB3"/>
    <w:rsid w:val="002A5EC1"/>
    <w:rsid w:val="002A60BF"/>
    <w:rsid w:val="002A6103"/>
    <w:rsid w:val="002A615A"/>
    <w:rsid w:val="002A6162"/>
    <w:rsid w:val="002A6401"/>
    <w:rsid w:val="002A653E"/>
    <w:rsid w:val="002A65D6"/>
    <w:rsid w:val="002A6613"/>
    <w:rsid w:val="002A66D3"/>
    <w:rsid w:val="002A66F6"/>
    <w:rsid w:val="002A6701"/>
    <w:rsid w:val="002A674F"/>
    <w:rsid w:val="002A6AA7"/>
    <w:rsid w:val="002A6ABA"/>
    <w:rsid w:val="002A6B17"/>
    <w:rsid w:val="002A6BC1"/>
    <w:rsid w:val="002A6BD9"/>
    <w:rsid w:val="002A6BFB"/>
    <w:rsid w:val="002A6C5F"/>
    <w:rsid w:val="002A6D18"/>
    <w:rsid w:val="002A6D42"/>
    <w:rsid w:val="002A6D65"/>
    <w:rsid w:val="002A6DC1"/>
    <w:rsid w:val="002A6FB3"/>
    <w:rsid w:val="002A7179"/>
    <w:rsid w:val="002A723E"/>
    <w:rsid w:val="002A72A8"/>
    <w:rsid w:val="002A74AD"/>
    <w:rsid w:val="002A74C2"/>
    <w:rsid w:val="002A7570"/>
    <w:rsid w:val="002A763C"/>
    <w:rsid w:val="002A7699"/>
    <w:rsid w:val="002A7710"/>
    <w:rsid w:val="002A7758"/>
    <w:rsid w:val="002A77A1"/>
    <w:rsid w:val="002A7880"/>
    <w:rsid w:val="002A7894"/>
    <w:rsid w:val="002A7900"/>
    <w:rsid w:val="002A7950"/>
    <w:rsid w:val="002A7A97"/>
    <w:rsid w:val="002A7C4F"/>
    <w:rsid w:val="002A7D4E"/>
    <w:rsid w:val="002A7D99"/>
    <w:rsid w:val="002A7D9D"/>
    <w:rsid w:val="002A7DCB"/>
    <w:rsid w:val="002A7E9A"/>
    <w:rsid w:val="002A7F90"/>
    <w:rsid w:val="002B0023"/>
    <w:rsid w:val="002B00AF"/>
    <w:rsid w:val="002B0162"/>
    <w:rsid w:val="002B01F6"/>
    <w:rsid w:val="002B0319"/>
    <w:rsid w:val="002B034E"/>
    <w:rsid w:val="002B04B9"/>
    <w:rsid w:val="002B0837"/>
    <w:rsid w:val="002B0916"/>
    <w:rsid w:val="002B09A4"/>
    <w:rsid w:val="002B09A5"/>
    <w:rsid w:val="002B09FB"/>
    <w:rsid w:val="002B0B3D"/>
    <w:rsid w:val="002B0C38"/>
    <w:rsid w:val="002B0FE9"/>
    <w:rsid w:val="002B10DD"/>
    <w:rsid w:val="002B1137"/>
    <w:rsid w:val="002B11B8"/>
    <w:rsid w:val="002B133E"/>
    <w:rsid w:val="002B1382"/>
    <w:rsid w:val="002B138A"/>
    <w:rsid w:val="002B1425"/>
    <w:rsid w:val="002B16E6"/>
    <w:rsid w:val="002B17C8"/>
    <w:rsid w:val="002B180B"/>
    <w:rsid w:val="002B18A1"/>
    <w:rsid w:val="002B18B6"/>
    <w:rsid w:val="002B1912"/>
    <w:rsid w:val="002B1AE1"/>
    <w:rsid w:val="002B1BC0"/>
    <w:rsid w:val="002B1C89"/>
    <w:rsid w:val="002B1D2F"/>
    <w:rsid w:val="002B1DA7"/>
    <w:rsid w:val="002B1DB7"/>
    <w:rsid w:val="002B1DCD"/>
    <w:rsid w:val="002B2082"/>
    <w:rsid w:val="002B22C8"/>
    <w:rsid w:val="002B23FD"/>
    <w:rsid w:val="002B2462"/>
    <w:rsid w:val="002B24FE"/>
    <w:rsid w:val="002B2559"/>
    <w:rsid w:val="002B26F4"/>
    <w:rsid w:val="002B27AD"/>
    <w:rsid w:val="002B282C"/>
    <w:rsid w:val="002B2860"/>
    <w:rsid w:val="002B28BE"/>
    <w:rsid w:val="002B2997"/>
    <w:rsid w:val="002B2A33"/>
    <w:rsid w:val="002B2B11"/>
    <w:rsid w:val="002B2B1C"/>
    <w:rsid w:val="002B2C08"/>
    <w:rsid w:val="002B2C49"/>
    <w:rsid w:val="002B2D9A"/>
    <w:rsid w:val="002B2E4B"/>
    <w:rsid w:val="002B2FA2"/>
    <w:rsid w:val="002B31B9"/>
    <w:rsid w:val="002B32CC"/>
    <w:rsid w:val="002B33B4"/>
    <w:rsid w:val="002B33B6"/>
    <w:rsid w:val="002B3451"/>
    <w:rsid w:val="002B357E"/>
    <w:rsid w:val="002B3699"/>
    <w:rsid w:val="002B36A7"/>
    <w:rsid w:val="002B3808"/>
    <w:rsid w:val="002B3848"/>
    <w:rsid w:val="002B3870"/>
    <w:rsid w:val="002B39B6"/>
    <w:rsid w:val="002B3A4A"/>
    <w:rsid w:val="002B3AC7"/>
    <w:rsid w:val="002B3AE5"/>
    <w:rsid w:val="002B3B92"/>
    <w:rsid w:val="002B3BCE"/>
    <w:rsid w:val="002B3C0F"/>
    <w:rsid w:val="002B3ED5"/>
    <w:rsid w:val="002B3F36"/>
    <w:rsid w:val="002B4274"/>
    <w:rsid w:val="002B42FA"/>
    <w:rsid w:val="002B43BD"/>
    <w:rsid w:val="002B45A4"/>
    <w:rsid w:val="002B45E4"/>
    <w:rsid w:val="002B475B"/>
    <w:rsid w:val="002B476D"/>
    <w:rsid w:val="002B4798"/>
    <w:rsid w:val="002B479B"/>
    <w:rsid w:val="002B484F"/>
    <w:rsid w:val="002B4871"/>
    <w:rsid w:val="002B4872"/>
    <w:rsid w:val="002B48FF"/>
    <w:rsid w:val="002B4AC8"/>
    <w:rsid w:val="002B4ACD"/>
    <w:rsid w:val="002B4B02"/>
    <w:rsid w:val="002B4BE5"/>
    <w:rsid w:val="002B4C80"/>
    <w:rsid w:val="002B4DBB"/>
    <w:rsid w:val="002B51DD"/>
    <w:rsid w:val="002B523F"/>
    <w:rsid w:val="002B52FA"/>
    <w:rsid w:val="002B53CD"/>
    <w:rsid w:val="002B5551"/>
    <w:rsid w:val="002B5660"/>
    <w:rsid w:val="002B5719"/>
    <w:rsid w:val="002B574F"/>
    <w:rsid w:val="002B5756"/>
    <w:rsid w:val="002B599E"/>
    <w:rsid w:val="002B5A82"/>
    <w:rsid w:val="002B5AA9"/>
    <w:rsid w:val="002B5AC4"/>
    <w:rsid w:val="002B5AEA"/>
    <w:rsid w:val="002B5B5C"/>
    <w:rsid w:val="002B5B95"/>
    <w:rsid w:val="002B5CDC"/>
    <w:rsid w:val="002B5D40"/>
    <w:rsid w:val="002B6050"/>
    <w:rsid w:val="002B6178"/>
    <w:rsid w:val="002B61A3"/>
    <w:rsid w:val="002B61D8"/>
    <w:rsid w:val="002B6224"/>
    <w:rsid w:val="002B6379"/>
    <w:rsid w:val="002B63F8"/>
    <w:rsid w:val="002B6673"/>
    <w:rsid w:val="002B6725"/>
    <w:rsid w:val="002B68A5"/>
    <w:rsid w:val="002B68C4"/>
    <w:rsid w:val="002B6CC8"/>
    <w:rsid w:val="002B6DA3"/>
    <w:rsid w:val="002B6DD4"/>
    <w:rsid w:val="002B6F2E"/>
    <w:rsid w:val="002B6FC7"/>
    <w:rsid w:val="002B700E"/>
    <w:rsid w:val="002B70EC"/>
    <w:rsid w:val="002B7170"/>
    <w:rsid w:val="002B720E"/>
    <w:rsid w:val="002B72A0"/>
    <w:rsid w:val="002B7381"/>
    <w:rsid w:val="002B7571"/>
    <w:rsid w:val="002B757A"/>
    <w:rsid w:val="002B75C0"/>
    <w:rsid w:val="002B7702"/>
    <w:rsid w:val="002B7867"/>
    <w:rsid w:val="002B7942"/>
    <w:rsid w:val="002B7A19"/>
    <w:rsid w:val="002B7A94"/>
    <w:rsid w:val="002B7ACE"/>
    <w:rsid w:val="002B7AED"/>
    <w:rsid w:val="002B7CC8"/>
    <w:rsid w:val="002B7DB5"/>
    <w:rsid w:val="002B7E35"/>
    <w:rsid w:val="002B7FB7"/>
    <w:rsid w:val="002C00A2"/>
    <w:rsid w:val="002C0248"/>
    <w:rsid w:val="002C03A3"/>
    <w:rsid w:val="002C04AB"/>
    <w:rsid w:val="002C04E5"/>
    <w:rsid w:val="002C057E"/>
    <w:rsid w:val="002C0602"/>
    <w:rsid w:val="002C061C"/>
    <w:rsid w:val="002C062C"/>
    <w:rsid w:val="002C062E"/>
    <w:rsid w:val="002C06E4"/>
    <w:rsid w:val="002C072E"/>
    <w:rsid w:val="002C085B"/>
    <w:rsid w:val="002C08C6"/>
    <w:rsid w:val="002C091A"/>
    <w:rsid w:val="002C0A49"/>
    <w:rsid w:val="002C0AA4"/>
    <w:rsid w:val="002C0E05"/>
    <w:rsid w:val="002C0E74"/>
    <w:rsid w:val="002C0FFC"/>
    <w:rsid w:val="002C10C1"/>
    <w:rsid w:val="002C1131"/>
    <w:rsid w:val="002C1161"/>
    <w:rsid w:val="002C1318"/>
    <w:rsid w:val="002C1382"/>
    <w:rsid w:val="002C1425"/>
    <w:rsid w:val="002C144B"/>
    <w:rsid w:val="002C14D8"/>
    <w:rsid w:val="002C157C"/>
    <w:rsid w:val="002C1596"/>
    <w:rsid w:val="002C1609"/>
    <w:rsid w:val="002C183C"/>
    <w:rsid w:val="002C1869"/>
    <w:rsid w:val="002C18FB"/>
    <w:rsid w:val="002C194C"/>
    <w:rsid w:val="002C195A"/>
    <w:rsid w:val="002C1A3B"/>
    <w:rsid w:val="002C1B44"/>
    <w:rsid w:val="002C1B60"/>
    <w:rsid w:val="002C1B6B"/>
    <w:rsid w:val="002C1E0C"/>
    <w:rsid w:val="002C1E16"/>
    <w:rsid w:val="002C1E6D"/>
    <w:rsid w:val="002C1ECF"/>
    <w:rsid w:val="002C219D"/>
    <w:rsid w:val="002C21EE"/>
    <w:rsid w:val="002C243F"/>
    <w:rsid w:val="002C248D"/>
    <w:rsid w:val="002C24B9"/>
    <w:rsid w:val="002C25EB"/>
    <w:rsid w:val="002C26DA"/>
    <w:rsid w:val="002C270F"/>
    <w:rsid w:val="002C28E3"/>
    <w:rsid w:val="002C2A03"/>
    <w:rsid w:val="002C2B62"/>
    <w:rsid w:val="002C2BE3"/>
    <w:rsid w:val="002C300C"/>
    <w:rsid w:val="002C3080"/>
    <w:rsid w:val="002C3088"/>
    <w:rsid w:val="002C3223"/>
    <w:rsid w:val="002C3501"/>
    <w:rsid w:val="002C3601"/>
    <w:rsid w:val="002C3712"/>
    <w:rsid w:val="002C37E0"/>
    <w:rsid w:val="002C3894"/>
    <w:rsid w:val="002C38AD"/>
    <w:rsid w:val="002C397C"/>
    <w:rsid w:val="002C39FA"/>
    <w:rsid w:val="002C3ADF"/>
    <w:rsid w:val="002C3C36"/>
    <w:rsid w:val="002C3C58"/>
    <w:rsid w:val="002C3D21"/>
    <w:rsid w:val="002C3D2C"/>
    <w:rsid w:val="002C3D42"/>
    <w:rsid w:val="002C3D6B"/>
    <w:rsid w:val="002C3EE2"/>
    <w:rsid w:val="002C3F3A"/>
    <w:rsid w:val="002C428F"/>
    <w:rsid w:val="002C43D7"/>
    <w:rsid w:val="002C4640"/>
    <w:rsid w:val="002C4646"/>
    <w:rsid w:val="002C46E4"/>
    <w:rsid w:val="002C4801"/>
    <w:rsid w:val="002C48D6"/>
    <w:rsid w:val="002C492A"/>
    <w:rsid w:val="002C49A8"/>
    <w:rsid w:val="002C49E2"/>
    <w:rsid w:val="002C4A84"/>
    <w:rsid w:val="002C4C4C"/>
    <w:rsid w:val="002C4C83"/>
    <w:rsid w:val="002C4CC2"/>
    <w:rsid w:val="002C4D85"/>
    <w:rsid w:val="002C4ECD"/>
    <w:rsid w:val="002C4EF4"/>
    <w:rsid w:val="002C4FDE"/>
    <w:rsid w:val="002C51F8"/>
    <w:rsid w:val="002C5380"/>
    <w:rsid w:val="002C54CD"/>
    <w:rsid w:val="002C5557"/>
    <w:rsid w:val="002C56D1"/>
    <w:rsid w:val="002C5778"/>
    <w:rsid w:val="002C58F7"/>
    <w:rsid w:val="002C5BB0"/>
    <w:rsid w:val="002C5CCD"/>
    <w:rsid w:val="002C5D59"/>
    <w:rsid w:val="002C5DDB"/>
    <w:rsid w:val="002C5E3F"/>
    <w:rsid w:val="002C5EED"/>
    <w:rsid w:val="002C5F4B"/>
    <w:rsid w:val="002C6023"/>
    <w:rsid w:val="002C60EF"/>
    <w:rsid w:val="002C61E6"/>
    <w:rsid w:val="002C621A"/>
    <w:rsid w:val="002C621F"/>
    <w:rsid w:val="002C638F"/>
    <w:rsid w:val="002C6428"/>
    <w:rsid w:val="002C649C"/>
    <w:rsid w:val="002C6548"/>
    <w:rsid w:val="002C65A0"/>
    <w:rsid w:val="002C69E1"/>
    <w:rsid w:val="002C6B21"/>
    <w:rsid w:val="002C6B35"/>
    <w:rsid w:val="002C6C1A"/>
    <w:rsid w:val="002C6C86"/>
    <w:rsid w:val="002C6D58"/>
    <w:rsid w:val="002C6E9C"/>
    <w:rsid w:val="002C6EA3"/>
    <w:rsid w:val="002C6FEC"/>
    <w:rsid w:val="002C7011"/>
    <w:rsid w:val="002C7034"/>
    <w:rsid w:val="002C706D"/>
    <w:rsid w:val="002C7090"/>
    <w:rsid w:val="002C7127"/>
    <w:rsid w:val="002C716D"/>
    <w:rsid w:val="002C7309"/>
    <w:rsid w:val="002C7657"/>
    <w:rsid w:val="002C768C"/>
    <w:rsid w:val="002C76A6"/>
    <w:rsid w:val="002C7BDF"/>
    <w:rsid w:val="002C7C12"/>
    <w:rsid w:val="002C7C3A"/>
    <w:rsid w:val="002C7C91"/>
    <w:rsid w:val="002C7C9F"/>
    <w:rsid w:val="002C7DE1"/>
    <w:rsid w:val="002C7E6B"/>
    <w:rsid w:val="002C7EF4"/>
    <w:rsid w:val="002C7F3F"/>
    <w:rsid w:val="002C7FA1"/>
    <w:rsid w:val="002C7FE4"/>
    <w:rsid w:val="002D00A2"/>
    <w:rsid w:val="002D0124"/>
    <w:rsid w:val="002D04A2"/>
    <w:rsid w:val="002D04F7"/>
    <w:rsid w:val="002D0570"/>
    <w:rsid w:val="002D05E2"/>
    <w:rsid w:val="002D0660"/>
    <w:rsid w:val="002D07BF"/>
    <w:rsid w:val="002D0938"/>
    <w:rsid w:val="002D0A2A"/>
    <w:rsid w:val="002D0A40"/>
    <w:rsid w:val="002D0AC4"/>
    <w:rsid w:val="002D0B1D"/>
    <w:rsid w:val="002D0B25"/>
    <w:rsid w:val="002D0CEB"/>
    <w:rsid w:val="002D0D58"/>
    <w:rsid w:val="002D0D63"/>
    <w:rsid w:val="002D0E79"/>
    <w:rsid w:val="002D0EA9"/>
    <w:rsid w:val="002D0EF9"/>
    <w:rsid w:val="002D105E"/>
    <w:rsid w:val="002D10D8"/>
    <w:rsid w:val="002D125A"/>
    <w:rsid w:val="002D13AF"/>
    <w:rsid w:val="002D13BC"/>
    <w:rsid w:val="002D1441"/>
    <w:rsid w:val="002D1452"/>
    <w:rsid w:val="002D148F"/>
    <w:rsid w:val="002D15E1"/>
    <w:rsid w:val="002D16AA"/>
    <w:rsid w:val="002D1857"/>
    <w:rsid w:val="002D18C9"/>
    <w:rsid w:val="002D18EF"/>
    <w:rsid w:val="002D1905"/>
    <w:rsid w:val="002D1A3B"/>
    <w:rsid w:val="002D1A57"/>
    <w:rsid w:val="002D1AAE"/>
    <w:rsid w:val="002D1AFD"/>
    <w:rsid w:val="002D1B75"/>
    <w:rsid w:val="002D1C5D"/>
    <w:rsid w:val="002D1E2A"/>
    <w:rsid w:val="002D1F86"/>
    <w:rsid w:val="002D1FAF"/>
    <w:rsid w:val="002D2001"/>
    <w:rsid w:val="002D2070"/>
    <w:rsid w:val="002D20D0"/>
    <w:rsid w:val="002D21F8"/>
    <w:rsid w:val="002D22C7"/>
    <w:rsid w:val="002D22F4"/>
    <w:rsid w:val="002D2362"/>
    <w:rsid w:val="002D24B1"/>
    <w:rsid w:val="002D24D6"/>
    <w:rsid w:val="002D26EE"/>
    <w:rsid w:val="002D2ABD"/>
    <w:rsid w:val="002D2BA7"/>
    <w:rsid w:val="002D2BE0"/>
    <w:rsid w:val="002D2C1D"/>
    <w:rsid w:val="002D2C24"/>
    <w:rsid w:val="002D2D68"/>
    <w:rsid w:val="002D2EB2"/>
    <w:rsid w:val="002D2F1C"/>
    <w:rsid w:val="002D31E4"/>
    <w:rsid w:val="002D33BF"/>
    <w:rsid w:val="002D3435"/>
    <w:rsid w:val="002D362C"/>
    <w:rsid w:val="002D38A8"/>
    <w:rsid w:val="002D38B4"/>
    <w:rsid w:val="002D38EB"/>
    <w:rsid w:val="002D3926"/>
    <w:rsid w:val="002D39C0"/>
    <w:rsid w:val="002D3BA6"/>
    <w:rsid w:val="002D3BDA"/>
    <w:rsid w:val="002D3C1D"/>
    <w:rsid w:val="002D3D44"/>
    <w:rsid w:val="002D3D9A"/>
    <w:rsid w:val="002D3E5E"/>
    <w:rsid w:val="002D3F65"/>
    <w:rsid w:val="002D3F73"/>
    <w:rsid w:val="002D40B6"/>
    <w:rsid w:val="002D414C"/>
    <w:rsid w:val="002D41B2"/>
    <w:rsid w:val="002D4230"/>
    <w:rsid w:val="002D4256"/>
    <w:rsid w:val="002D428B"/>
    <w:rsid w:val="002D428D"/>
    <w:rsid w:val="002D42F3"/>
    <w:rsid w:val="002D4388"/>
    <w:rsid w:val="002D45D1"/>
    <w:rsid w:val="002D465E"/>
    <w:rsid w:val="002D4668"/>
    <w:rsid w:val="002D4669"/>
    <w:rsid w:val="002D46D3"/>
    <w:rsid w:val="002D4873"/>
    <w:rsid w:val="002D48AB"/>
    <w:rsid w:val="002D49D4"/>
    <w:rsid w:val="002D4A32"/>
    <w:rsid w:val="002D4C29"/>
    <w:rsid w:val="002D4C97"/>
    <w:rsid w:val="002D4CE0"/>
    <w:rsid w:val="002D4D9B"/>
    <w:rsid w:val="002D4DC2"/>
    <w:rsid w:val="002D4E39"/>
    <w:rsid w:val="002D4F4A"/>
    <w:rsid w:val="002D5032"/>
    <w:rsid w:val="002D510A"/>
    <w:rsid w:val="002D5257"/>
    <w:rsid w:val="002D53F4"/>
    <w:rsid w:val="002D5438"/>
    <w:rsid w:val="002D55AC"/>
    <w:rsid w:val="002D56B0"/>
    <w:rsid w:val="002D57E6"/>
    <w:rsid w:val="002D5849"/>
    <w:rsid w:val="002D590D"/>
    <w:rsid w:val="002D593B"/>
    <w:rsid w:val="002D5A24"/>
    <w:rsid w:val="002D5B04"/>
    <w:rsid w:val="002D5B0E"/>
    <w:rsid w:val="002D5C18"/>
    <w:rsid w:val="002D5D75"/>
    <w:rsid w:val="002D5FE9"/>
    <w:rsid w:val="002D608F"/>
    <w:rsid w:val="002D60B8"/>
    <w:rsid w:val="002D61B5"/>
    <w:rsid w:val="002D6289"/>
    <w:rsid w:val="002D65E5"/>
    <w:rsid w:val="002D672D"/>
    <w:rsid w:val="002D6798"/>
    <w:rsid w:val="002D6879"/>
    <w:rsid w:val="002D68A0"/>
    <w:rsid w:val="002D6904"/>
    <w:rsid w:val="002D6A31"/>
    <w:rsid w:val="002D6A3D"/>
    <w:rsid w:val="002D6A73"/>
    <w:rsid w:val="002D6BA8"/>
    <w:rsid w:val="002D6C00"/>
    <w:rsid w:val="002D6C20"/>
    <w:rsid w:val="002D6C35"/>
    <w:rsid w:val="002D6C56"/>
    <w:rsid w:val="002D6C8F"/>
    <w:rsid w:val="002D6DB9"/>
    <w:rsid w:val="002D6E2B"/>
    <w:rsid w:val="002D6FA6"/>
    <w:rsid w:val="002D7063"/>
    <w:rsid w:val="002D70F6"/>
    <w:rsid w:val="002D716B"/>
    <w:rsid w:val="002D729C"/>
    <w:rsid w:val="002D7486"/>
    <w:rsid w:val="002D7499"/>
    <w:rsid w:val="002D74A3"/>
    <w:rsid w:val="002D7542"/>
    <w:rsid w:val="002D7550"/>
    <w:rsid w:val="002D76D8"/>
    <w:rsid w:val="002D7717"/>
    <w:rsid w:val="002D78A9"/>
    <w:rsid w:val="002D7ACD"/>
    <w:rsid w:val="002D7AEB"/>
    <w:rsid w:val="002D7CB9"/>
    <w:rsid w:val="002D7CE9"/>
    <w:rsid w:val="002E0161"/>
    <w:rsid w:val="002E0219"/>
    <w:rsid w:val="002E02B6"/>
    <w:rsid w:val="002E04EE"/>
    <w:rsid w:val="002E0504"/>
    <w:rsid w:val="002E05D7"/>
    <w:rsid w:val="002E079F"/>
    <w:rsid w:val="002E0850"/>
    <w:rsid w:val="002E0A75"/>
    <w:rsid w:val="002E0C9D"/>
    <w:rsid w:val="002E0D96"/>
    <w:rsid w:val="002E1008"/>
    <w:rsid w:val="002E1022"/>
    <w:rsid w:val="002E11D0"/>
    <w:rsid w:val="002E128E"/>
    <w:rsid w:val="002E12B1"/>
    <w:rsid w:val="002E1339"/>
    <w:rsid w:val="002E1341"/>
    <w:rsid w:val="002E1344"/>
    <w:rsid w:val="002E13DE"/>
    <w:rsid w:val="002E148F"/>
    <w:rsid w:val="002E1753"/>
    <w:rsid w:val="002E1970"/>
    <w:rsid w:val="002E1A02"/>
    <w:rsid w:val="002E1AED"/>
    <w:rsid w:val="002E1B26"/>
    <w:rsid w:val="002E1B2F"/>
    <w:rsid w:val="002E1DAA"/>
    <w:rsid w:val="002E1DFD"/>
    <w:rsid w:val="002E1E27"/>
    <w:rsid w:val="002E1FB9"/>
    <w:rsid w:val="002E2011"/>
    <w:rsid w:val="002E20C2"/>
    <w:rsid w:val="002E23FE"/>
    <w:rsid w:val="002E254F"/>
    <w:rsid w:val="002E265A"/>
    <w:rsid w:val="002E268C"/>
    <w:rsid w:val="002E26C7"/>
    <w:rsid w:val="002E26DF"/>
    <w:rsid w:val="002E278A"/>
    <w:rsid w:val="002E278C"/>
    <w:rsid w:val="002E29B5"/>
    <w:rsid w:val="002E2AE6"/>
    <w:rsid w:val="002E2B7A"/>
    <w:rsid w:val="002E2E48"/>
    <w:rsid w:val="002E2F18"/>
    <w:rsid w:val="002E2F55"/>
    <w:rsid w:val="002E30B7"/>
    <w:rsid w:val="002E30F2"/>
    <w:rsid w:val="002E319E"/>
    <w:rsid w:val="002E3350"/>
    <w:rsid w:val="002E337B"/>
    <w:rsid w:val="002E33E5"/>
    <w:rsid w:val="002E34DB"/>
    <w:rsid w:val="002E351E"/>
    <w:rsid w:val="002E366F"/>
    <w:rsid w:val="002E3731"/>
    <w:rsid w:val="002E38FE"/>
    <w:rsid w:val="002E3940"/>
    <w:rsid w:val="002E3A23"/>
    <w:rsid w:val="002E3AF1"/>
    <w:rsid w:val="002E3B1E"/>
    <w:rsid w:val="002E3C3B"/>
    <w:rsid w:val="002E3C9A"/>
    <w:rsid w:val="002E3CF7"/>
    <w:rsid w:val="002E3D34"/>
    <w:rsid w:val="002E3E13"/>
    <w:rsid w:val="002E3F8D"/>
    <w:rsid w:val="002E4115"/>
    <w:rsid w:val="002E4154"/>
    <w:rsid w:val="002E415C"/>
    <w:rsid w:val="002E41EA"/>
    <w:rsid w:val="002E42D9"/>
    <w:rsid w:val="002E43BB"/>
    <w:rsid w:val="002E4547"/>
    <w:rsid w:val="002E4560"/>
    <w:rsid w:val="002E474A"/>
    <w:rsid w:val="002E47A4"/>
    <w:rsid w:val="002E47B6"/>
    <w:rsid w:val="002E47CF"/>
    <w:rsid w:val="002E496F"/>
    <w:rsid w:val="002E49B0"/>
    <w:rsid w:val="002E4A07"/>
    <w:rsid w:val="002E4A92"/>
    <w:rsid w:val="002E4B40"/>
    <w:rsid w:val="002E4B76"/>
    <w:rsid w:val="002E4B95"/>
    <w:rsid w:val="002E4FEA"/>
    <w:rsid w:val="002E50AC"/>
    <w:rsid w:val="002E5291"/>
    <w:rsid w:val="002E52B4"/>
    <w:rsid w:val="002E53E0"/>
    <w:rsid w:val="002E54FB"/>
    <w:rsid w:val="002E557C"/>
    <w:rsid w:val="002E57A6"/>
    <w:rsid w:val="002E5881"/>
    <w:rsid w:val="002E58F7"/>
    <w:rsid w:val="002E5A17"/>
    <w:rsid w:val="002E5BD6"/>
    <w:rsid w:val="002E5C8B"/>
    <w:rsid w:val="002E5E9C"/>
    <w:rsid w:val="002E5FA9"/>
    <w:rsid w:val="002E6136"/>
    <w:rsid w:val="002E6286"/>
    <w:rsid w:val="002E62C9"/>
    <w:rsid w:val="002E63F2"/>
    <w:rsid w:val="002E6876"/>
    <w:rsid w:val="002E6B05"/>
    <w:rsid w:val="002E6BB1"/>
    <w:rsid w:val="002E6BC1"/>
    <w:rsid w:val="002E6BD7"/>
    <w:rsid w:val="002E6D35"/>
    <w:rsid w:val="002E6D4D"/>
    <w:rsid w:val="002E6D74"/>
    <w:rsid w:val="002E6DDF"/>
    <w:rsid w:val="002E6E69"/>
    <w:rsid w:val="002E6E70"/>
    <w:rsid w:val="002E717A"/>
    <w:rsid w:val="002E7195"/>
    <w:rsid w:val="002E71D8"/>
    <w:rsid w:val="002E7288"/>
    <w:rsid w:val="002E72B5"/>
    <w:rsid w:val="002E7366"/>
    <w:rsid w:val="002E7651"/>
    <w:rsid w:val="002E77DD"/>
    <w:rsid w:val="002E78A7"/>
    <w:rsid w:val="002E7918"/>
    <w:rsid w:val="002E7934"/>
    <w:rsid w:val="002E7AED"/>
    <w:rsid w:val="002E7CC8"/>
    <w:rsid w:val="002E7EDA"/>
    <w:rsid w:val="002E7FCB"/>
    <w:rsid w:val="002F0021"/>
    <w:rsid w:val="002F0062"/>
    <w:rsid w:val="002F009F"/>
    <w:rsid w:val="002F0116"/>
    <w:rsid w:val="002F04A0"/>
    <w:rsid w:val="002F05EA"/>
    <w:rsid w:val="002F0812"/>
    <w:rsid w:val="002F0D01"/>
    <w:rsid w:val="002F0E7A"/>
    <w:rsid w:val="002F1054"/>
    <w:rsid w:val="002F13C8"/>
    <w:rsid w:val="002F144A"/>
    <w:rsid w:val="002F155E"/>
    <w:rsid w:val="002F1658"/>
    <w:rsid w:val="002F19DB"/>
    <w:rsid w:val="002F1A7C"/>
    <w:rsid w:val="002F1BB0"/>
    <w:rsid w:val="002F1BBB"/>
    <w:rsid w:val="002F1BEC"/>
    <w:rsid w:val="002F1C9B"/>
    <w:rsid w:val="002F1DF2"/>
    <w:rsid w:val="002F1E0E"/>
    <w:rsid w:val="002F2070"/>
    <w:rsid w:val="002F2099"/>
    <w:rsid w:val="002F21B9"/>
    <w:rsid w:val="002F232B"/>
    <w:rsid w:val="002F236B"/>
    <w:rsid w:val="002F238F"/>
    <w:rsid w:val="002F2463"/>
    <w:rsid w:val="002F2572"/>
    <w:rsid w:val="002F25BF"/>
    <w:rsid w:val="002F2728"/>
    <w:rsid w:val="002F27BE"/>
    <w:rsid w:val="002F29A4"/>
    <w:rsid w:val="002F2BD6"/>
    <w:rsid w:val="002F2DCE"/>
    <w:rsid w:val="002F2F9F"/>
    <w:rsid w:val="002F310B"/>
    <w:rsid w:val="002F325E"/>
    <w:rsid w:val="002F3271"/>
    <w:rsid w:val="002F3301"/>
    <w:rsid w:val="002F3350"/>
    <w:rsid w:val="002F33A1"/>
    <w:rsid w:val="002F35CC"/>
    <w:rsid w:val="002F372D"/>
    <w:rsid w:val="002F379A"/>
    <w:rsid w:val="002F37CF"/>
    <w:rsid w:val="002F3B20"/>
    <w:rsid w:val="002F3BF7"/>
    <w:rsid w:val="002F3C3F"/>
    <w:rsid w:val="002F3C58"/>
    <w:rsid w:val="002F3E55"/>
    <w:rsid w:val="002F3E5A"/>
    <w:rsid w:val="002F3E6C"/>
    <w:rsid w:val="002F3F3B"/>
    <w:rsid w:val="002F3F8F"/>
    <w:rsid w:val="002F3F91"/>
    <w:rsid w:val="002F407A"/>
    <w:rsid w:val="002F40C0"/>
    <w:rsid w:val="002F41C0"/>
    <w:rsid w:val="002F43DA"/>
    <w:rsid w:val="002F4720"/>
    <w:rsid w:val="002F47C6"/>
    <w:rsid w:val="002F4995"/>
    <w:rsid w:val="002F4B42"/>
    <w:rsid w:val="002F4B6F"/>
    <w:rsid w:val="002F4B9C"/>
    <w:rsid w:val="002F4CD6"/>
    <w:rsid w:val="002F4DA6"/>
    <w:rsid w:val="002F4DCD"/>
    <w:rsid w:val="002F4E09"/>
    <w:rsid w:val="002F4E4E"/>
    <w:rsid w:val="002F4EE0"/>
    <w:rsid w:val="002F4F96"/>
    <w:rsid w:val="002F4FFF"/>
    <w:rsid w:val="002F5174"/>
    <w:rsid w:val="002F527E"/>
    <w:rsid w:val="002F5480"/>
    <w:rsid w:val="002F55EA"/>
    <w:rsid w:val="002F5677"/>
    <w:rsid w:val="002F5777"/>
    <w:rsid w:val="002F57B9"/>
    <w:rsid w:val="002F5AD2"/>
    <w:rsid w:val="002F5B22"/>
    <w:rsid w:val="002F5B7A"/>
    <w:rsid w:val="002F5CD9"/>
    <w:rsid w:val="002F5E78"/>
    <w:rsid w:val="002F5E92"/>
    <w:rsid w:val="002F5EE9"/>
    <w:rsid w:val="002F60A3"/>
    <w:rsid w:val="002F6110"/>
    <w:rsid w:val="002F6127"/>
    <w:rsid w:val="002F6183"/>
    <w:rsid w:val="002F61DD"/>
    <w:rsid w:val="002F62F7"/>
    <w:rsid w:val="002F6316"/>
    <w:rsid w:val="002F637C"/>
    <w:rsid w:val="002F63AC"/>
    <w:rsid w:val="002F63EA"/>
    <w:rsid w:val="002F6423"/>
    <w:rsid w:val="002F64BE"/>
    <w:rsid w:val="002F64EC"/>
    <w:rsid w:val="002F662F"/>
    <w:rsid w:val="002F6672"/>
    <w:rsid w:val="002F683F"/>
    <w:rsid w:val="002F6864"/>
    <w:rsid w:val="002F686A"/>
    <w:rsid w:val="002F68FB"/>
    <w:rsid w:val="002F6928"/>
    <w:rsid w:val="002F69C5"/>
    <w:rsid w:val="002F6B90"/>
    <w:rsid w:val="002F6B93"/>
    <w:rsid w:val="002F6D51"/>
    <w:rsid w:val="002F6E00"/>
    <w:rsid w:val="002F6E65"/>
    <w:rsid w:val="002F6FC6"/>
    <w:rsid w:val="002F6FD0"/>
    <w:rsid w:val="002F7146"/>
    <w:rsid w:val="002F7239"/>
    <w:rsid w:val="002F72C0"/>
    <w:rsid w:val="002F7320"/>
    <w:rsid w:val="002F765F"/>
    <w:rsid w:val="002F7706"/>
    <w:rsid w:val="002F7729"/>
    <w:rsid w:val="002F78A4"/>
    <w:rsid w:val="002F78C8"/>
    <w:rsid w:val="002F7998"/>
    <w:rsid w:val="002F79D2"/>
    <w:rsid w:val="002F7B3B"/>
    <w:rsid w:val="002F7C0D"/>
    <w:rsid w:val="002F7CBB"/>
    <w:rsid w:val="002F7DA3"/>
    <w:rsid w:val="002F7E3F"/>
    <w:rsid w:val="002F7F58"/>
    <w:rsid w:val="00300206"/>
    <w:rsid w:val="003002FC"/>
    <w:rsid w:val="00300334"/>
    <w:rsid w:val="003003BF"/>
    <w:rsid w:val="0030044C"/>
    <w:rsid w:val="003004E1"/>
    <w:rsid w:val="00300619"/>
    <w:rsid w:val="003006E9"/>
    <w:rsid w:val="00300748"/>
    <w:rsid w:val="0030079F"/>
    <w:rsid w:val="003008A2"/>
    <w:rsid w:val="003008D7"/>
    <w:rsid w:val="00300A46"/>
    <w:rsid w:val="00300B31"/>
    <w:rsid w:val="00300C64"/>
    <w:rsid w:val="00300C67"/>
    <w:rsid w:val="00300D0B"/>
    <w:rsid w:val="00300D27"/>
    <w:rsid w:val="00300E8D"/>
    <w:rsid w:val="003010C2"/>
    <w:rsid w:val="00301148"/>
    <w:rsid w:val="003011C8"/>
    <w:rsid w:val="00301255"/>
    <w:rsid w:val="00301392"/>
    <w:rsid w:val="00301539"/>
    <w:rsid w:val="00301559"/>
    <w:rsid w:val="003016F6"/>
    <w:rsid w:val="0030177A"/>
    <w:rsid w:val="00301788"/>
    <w:rsid w:val="0030182B"/>
    <w:rsid w:val="003019A7"/>
    <w:rsid w:val="00301B2B"/>
    <w:rsid w:val="00301B7E"/>
    <w:rsid w:val="00301C26"/>
    <w:rsid w:val="00301D32"/>
    <w:rsid w:val="00301DCE"/>
    <w:rsid w:val="00301DFF"/>
    <w:rsid w:val="0030206C"/>
    <w:rsid w:val="003020BF"/>
    <w:rsid w:val="0030212A"/>
    <w:rsid w:val="003021EE"/>
    <w:rsid w:val="0030226E"/>
    <w:rsid w:val="00302275"/>
    <w:rsid w:val="003022EC"/>
    <w:rsid w:val="00302401"/>
    <w:rsid w:val="0030276D"/>
    <w:rsid w:val="003027A8"/>
    <w:rsid w:val="003029D1"/>
    <w:rsid w:val="00302AAE"/>
    <w:rsid w:val="00302CAF"/>
    <w:rsid w:val="00302CD7"/>
    <w:rsid w:val="00302D06"/>
    <w:rsid w:val="00302DB5"/>
    <w:rsid w:val="00302E50"/>
    <w:rsid w:val="00303059"/>
    <w:rsid w:val="003030D9"/>
    <w:rsid w:val="003031A8"/>
    <w:rsid w:val="003031DA"/>
    <w:rsid w:val="00303279"/>
    <w:rsid w:val="00303359"/>
    <w:rsid w:val="0030348D"/>
    <w:rsid w:val="003034F8"/>
    <w:rsid w:val="0030366B"/>
    <w:rsid w:val="0030376B"/>
    <w:rsid w:val="0030378B"/>
    <w:rsid w:val="00303912"/>
    <w:rsid w:val="0030394D"/>
    <w:rsid w:val="00303DF5"/>
    <w:rsid w:val="00303E19"/>
    <w:rsid w:val="00303EFA"/>
    <w:rsid w:val="00303FA7"/>
    <w:rsid w:val="00303FBC"/>
    <w:rsid w:val="00303FF7"/>
    <w:rsid w:val="00304132"/>
    <w:rsid w:val="00304195"/>
    <w:rsid w:val="003041AF"/>
    <w:rsid w:val="003041CB"/>
    <w:rsid w:val="00304334"/>
    <w:rsid w:val="0030439E"/>
    <w:rsid w:val="00304400"/>
    <w:rsid w:val="00304428"/>
    <w:rsid w:val="0030454C"/>
    <w:rsid w:val="00304561"/>
    <w:rsid w:val="00304588"/>
    <w:rsid w:val="003045C2"/>
    <w:rsid w:val="003046C7"/>
    <w:rsid w:val="0030470E"/>
    <w:rsid w:val="0030484E"/>
    <w:rsid w:val="003048E7"/>
    <w:rsid w:val="00304981"/>
    <w:rsid w:val="00304A6F"/>
    <w:rsid w:val="00304B1F"/>
    <w:rsid w:val="00304B2B"/>
    <w:rsid w:val="00304B50"/>
    <w:rsid w:val="00304C2A"/>
    <w:rsid w:val="00304C8B"/>
    <w:rsid w:val="00304CB0"/>
    <w:rsid w:val="00304D95"/>
    <w:rsid w:val="00304E19"/>
    <w:rsid w:val="00304E99"/>
    <w:rsid w:val="00304F23"/>
    <w:rsid w:val="00304FE1"/>
    <w:rsid w:val="0030503F"/>
    <w:rsid w:val="003050AB"/>
    <w:rsid w:val="003051EB"/>
    <w:rsid w:val="003051EE"/>
    <w:rsid w:val="003052B7"/>
    <w:rsid w:val="003054D1"/>
    <w:rsid w:val="00305545"/>
    <w:rsid w:val="003055F2"/>
    <w:rsid w:val="003057C9"/>
    <w:rsid w:val="0030580D"/>
    <w:rsid w:val="00305BEC"/>
    <w:rsid w:val="00305DAE"/>
    <w:rsid w:val="00305E92"/>
    <w:rsid w:val="00305E98"/>
    <w:rsid w:val="00305EC2"/>
    <w:rsid w:val="00305F3F"/>
    <w:rsid w:val="00305FB4"/>
    <w:rsid w:val="0030611E"/>
    <w:rsid w:val="00306177"/>
    <w:rsid w:val="003062C9"/>
    <w:rsid w:val="003063A4"/>
    <w:rsid w:val="003064B2"/>
    <w:rsid w:val="00306519"/>
    <w:rsid w:val="003065DD"/>
    <w:rsid w:val="00306746"/>
    <w:rsid w:val="00306785"/>
    <w:rsid w:val="003067A9"/>
    <w:rsid w:val="00306881"/>
    <w:rsid w:val="00306892"/>
    <w:rsid w:val="003068C8"/>
    <w:rsid w:val="003068E8"/>
    <w:rsid w:val="003069C9"/>
    <w:rsid w:val="003069EC"/>
    <w:rsid w:val="00306A13"/>
    <w:rsid w:val="00306AEE"/>
    <w:rsid w:val="00306B7F"/>
    <w:rsid w:val="00306C3A"/>
    <w:rsid w:val="00306CE1"/>
    <w:rsid w:val="00306D6E"/>
    <w:rsid w:val="00306DF3"/>
    <w:rsid w:val="00306E7E"/>
    <w:rsid w:val="00306E91"/>
    <w:rsid w:val="00306FA1"/>
    <w:rsid w:val="00306FFC"/>
    <w:rsid w:val="00307032"/>
    <w:rsid w:val="00307058"/>
    <w:rsid w:val="0030706D"/>
    <w:rsid w:val="00307113"/>
    <w:rsid w:val="003071CA"/>
    <w:rsid w:val="00307324"/>
    <w:rsid w:val="003073FD"/>
    <w:rsid w:val="00307584"/>
    <w:rsid w:val="00307A2B"/>
    <w:rsid w:val="00307BBE"/>
    <w:rsid w:val="00307BC6"/>
    <w:rsid w:val="00307D10"/>
    <w:rsid w:val="00307D3B"/>
    <w:rsid w:val="00307ED9"/>
    <w:rsid w:val="00307FD5"/>
    <w:rsid w:val="00310034"/>
    <w:rsid w:val="003100A4"/>
    <w:rsid w:val="0031014E"/>
    <w:rsid w:val="00310169"/>
    <w:rsid w:val="00310269"/>
    <w:rsid w:val="00310299"/>
    <w:rsid w:val="00310346"/>
    <w:rsid w:val="00310352"/>
    <w:rsid w:val="003103B4"/>
    <w:rsid w:val="003103BC"/>
    <w:rsid w:val="003103ED"/>
    <w:rsid w:val="0031040F"/>
    <w:rsid w:val="00310496"/>
    <w:rsid w:val="003104BF"/>
    <w:rsid w:val="00310526"/>
    <w:rsid w:val="00310654"/>
    <w:rsid w:val="00310929"/>
    <w:rsid w:val="0031095B"/>
    <w:rsid w:val="0031095C"/>
    <w:rsid w:val="0031098F"/>
    <w:rsid w:val="003109F1"/>
    <w:rsid w:val="00310A35"/>
    <w:rsid w:val="00310A81"/>
    <w:rsid w:val="00310B9A"/>
    <w:rsid w:val="00310C4C"/>
    <w:rsid w:val="00310E03"/>
    <w:rsid w:val="003112F3"/>
    <w:rsid w:val="0031130A"/>
    <w:rsid w:val="003113B7"/>
    <w:rsid w:val="00311588"/>
    <w:rsid w:val="0031161D"/>
    <w:rsid w:val="003116D1"/>
    <w:rsid w:val="003116E1"/>
    <w:rsid w:val="00311797"/>
    <w:rsid w:val="00311828"/>
    <w:rsid w:val="0031182C"/>
    <w:rsid w:val="003118B4"/>
    <w:rsid w:val="00311950"/>
    <w:rsid w:val="0031196F"/>
    <w:rsid w:val="00311A3C"/>
    <w:rsid w:val="00311A70"/>
    <w:rsid w:val="00311AFF"/>
    <w:rsid w:val="00311B19"/>
    <w:rsid w:val="00311F57"/>
    <w:rsid w:val="003120B7"/>
    <w:rsid w:val="003120C1"/>
    <w:rsid w:val="0031219E"/>
    <w:rsid w:val="00312232"/>
    <w:rsid w:val="0031225A"/>
    <w:rsid w:val="003122ED"/>
    <w:rsid w:val="00312520"/>
    <w:rsid w:val="00312593"/>
    <w:rsid w:val="00312766"/>
    <w:rsid w:val="003127EF"/>
    <w:rsid w:val="003129CC"/>
    <w:rsid w:val="00312ACD"/>
    <w:rsid w:val="00312B98"/>
    <w:rsid w:val="00312C26"/>
    <w:rsid w:val="00312C33"/>
    <w:rsid w:val="00312D95"/>
    <w:rsid w:val="00312F58"/>
    <w:rsid w:val="00312FC7"/>
    <w:rsid w:val="00312FF7"/>
    <w:rsid w:val="0031302A"/>
    <w:rsid w:val="00313082"/>
    <w:rsid w:val="003130E7"/>
    <w:rsid w:val="00313123"/>
    <w:rsid w:val="003131B5"/>
    <w:rsid w:val="003132C3"/>
    <w:rsid w:val="003132D8"/>
    <w:rsid w:val="003132E5"/>
    <w:rsid w:val="003132EB"/>
    <w:rsid w:val="00313470"/>
    <w:rsid w:val="003134A0"/>
    <w:rsid w:val="00313583"/>
    <w:rsid w:val="00313752"/>
    <w:rsid w:val="00313CAC"/>
    <w:rsid w:val="0031419B"/>
    <w:rsid w:val="003142C7"/>
    <w:rsid w:val="003142F5"/>
    <w:rsid w:val="00314444"/>
    <w:rsid w:val="0031448E"/>
    <w:rsid w:val="003144FF"/>
    <w:rsid w:val="003147A7"/>
    <w:rsid w:val="003149BA"/>
    <w:rsid w:val="00314A43"/>
    <w:rsid w:val="00314A44"/>
    <w:rsid w:val="00314AA9"/>
    <w:rsid w:val="00314AFF"/>
    <w:rsid w:val="00314B1B"/>
    <w:rsid w:val="00314CDD"/>
    <w:rsid w:val="00314CFA"/>
    <w:rsid w:val="00314D8E"/>
    <w:rsid w:val="00314E92"/>
    <w:rsid w:val="00314FEF"/>
    <w:rsid w:val="0031515D"/>
    <w:rsid w:val="003151B5"/>
    <w:rsid w:val="0031528C"/>
    <w:rsid w:val="003152B1"/>
    <w:rsid w:val="003153FD"/>
    <w:rsid w:val="00315585"/>
    <w:rsid w:val="00315BA6"/>
    <w:rsid w:val="00315C2B"/>
    <w:rsid w:val="00315CE8"/>
    <w:rsid w:val="00315DA2"/>
    <w:rsid w:val="00315E87"/>
    <w:rsid w:val="003162AF"/>
    <w:rsid w:val="003163AC"/>
    <w:rsid w:val="003164AD"/>
    <w:rsid w:val="00316739"/>
    <w:rsid w:val="00316755"/>
    <w:rsid w:val="0031684D"/>
    <w:rsid w:val="00316892"/>
    <w:rsid w:val="00316B37"/>
    <w:rsid w:val="00316B3B"/>
    <w:rsid w:val="00316C3A"/>
    <w:rsid w:val="00316D35"/>
    <w:rsid w:val="00316E35"/>
    <w:rsid w:val="00316ED9"/>
    <w:rsid w:val="003170E0"/>
    <w:rsid w:val="003173F8"/>
    <w:rsid w:val="0031740F"/>
    <w:rsid w:val="00317574"/>
    <w:rsid w:val="003176C5"/>
    <w:rsid w:val="003176FC"/>
    <w:rsid w:val="00317797"/>
    <w:rsid w:val="00317974"/>
    <w:rsid w:val="00317995"/>
    <w:rsid w:val="003179AD"/>
    <w:rsid w:val="00317B78"/>
    <w:rsid w:val="00317BD0"/>
    <w:rsid w:val="00317C25"/>
    <w:rsid w:val="00317CA9"/>
    <w:rsid w:val="00317E18"/>
    <w:rsid w:val="00317F34"/>
    <w:rsid w:val="00320110"/>
    <w:rsid w:val="00320153"/>
    <w:rsid w:val="003201AE"/>
    <w:rsid w:val="003201E0"/>
    <w:rsid w:val="003201EA"/>
    <w:rsid w:val="003202E7"/>
    <w:rsid w:val="003202F8"/>
    <w:rsid w:val="0032044F"/>
    <w:rsid w:val="00320493"/>
    <w:rsid w:val="003204F6"/>
    <w:rsid w:val="003205CB"/>
    <w:rsid w:val="003205FC"/>
    <w:rsid w:val="00320637"/>
    <w:rsid w:val="003207BD"/>
    <w:rsid w:val="00320898"/>
    <w:rsid w:val="003208FE"/>
    <w:rsid w:val="00320A0D"/>
    <w:rsid w:val="00320A6A"/>
    <w:rsid w:val="00320BD7"/>
    <w:rsid w:val="00320C37"/>
    <w:rsid w:val="00320CF6"/>
    <w:rsid w:val="00320D06"/>
    <w:rsid w:val="00320DE6"/>
    <w:rsid w:val="00320E22"/>
    <w:rsid w:val="00320EA1"/>
    <w:rsid w:val="00320ED5"/>
    <w:rsid w:val="00320FA9"/>
    <w:rsid w:val="0032112C"/>
    <w:rsid w:val="003211F9"/>
    <w:rsid w:val="003213B0"/>
    <w:rsid w:val="00321530"/>
    <w:rsid w:val="003216BB"/>
    <w:rsid w:val="003216DF"/>
    <w:rsid w:val="0032170C"/>
    <w:rsid w:val="00321823"/>
    <w:rsid w:val="0032182C"/>
    <w:rsid w:val="003218A6"/>
    <w:rsid w:val="003218E7"/>
    <w:rsid w:val="0032192D"/>
    <w:rsid w:val="00321AB8"/>
    <w:rsid w:val="00321B12"/>
    <w:rsid w:val="00321BA4"/>
    <w:rsid w:val="00321C8D"/>
    <w:rsid w:val="00321CA6"/>
    <w:rsid w:val="00321F30"/>
    <w:rsid w:val="00321FEB"/>
    <w:rsid w:val="003220A8"/>
    <w:rsid w:val="00322128"/>
    <w:rsid w:val="00322143"/>
    <w:rsid w:val="00322262"/>
    <w:rsid w:val="003222C8"/>
    <w:rsid w:val="0032231B"/>
    <w:rsid w:val="00322454"/>
    <w:rsid w:val="00322489"/>
    <w:rsid w:val="003224CE"/>
    <w:rsid w:val="003227AC"/>
    <w:rsid w:val="00322844"/>
    <w:rsid w:val="00322958"/>
    <w:rsid w:val="0032296F"/>
    <w:rsid w:val="00322A24"/>
    <w:rsid w:val="00322A79"/>
    <w:rsid w:val="00322A92"/>
    <w:rsid w:val="00322AC5"/>
    <w:rsid w:val="00322BBF"/>
    <w:rsid w:val="00322C99"/>
    <w:rsid w:val="00322CBB"/>
    <w:rsid w:val="00322DF6"/>
    <w:rsid w:val="00322F6A"/>
    <w:rsid w:val="00322FE0"/>
    <w:rsid w:val="00323141"/>
    <w:rsid w:val="00323237"/>
    <w:rsid w:val="0032334A"/>
    <w:rsid w:val="00323464"/>
    <w:rsid w:val="00323515"/>
    <w:rsid w:val="0032379B"/>
    <w:rsid w:val="0032379F"/>
    <w:rsid w:val="00323E82"/>
    <w:rsid w:val="00323FF6"/>
    <w:rsid w:val="00324022"/>
    <w:rsid w:val="0032403B"/>
    <w:rsid w:val="00324152"/>
    <w:rsid w:val="0032419E"/>
    <w:rsid w:val="00324226"/>
    <w:rsid w:val="0032433A"/>
    <w:rsid w:val="003243CC"/>
    <w:rsid w:val="003243FE"/>
    <w:rsid w:val="00324462"/>
    <w:rsid w:val="003244E9"/>
    <w:rsid w:val="003244EE"/>
    <w:rsid w:val="0032475D"/>
    <w:rsid w:val="0032477E"/>
    <w:rsid w:val="0032499B"/>
    <w:rsid w:val="00324A09"/>
    <w:rsid w:val="00324B1E"/>
    <w:rsid w:val="00324B5A"/>
    <w:rsid w:val="00324C21"/>
    <w:rsid w:val="00324CC2"/>
    <w:rsid w:val="00324D80"/>
    <w:rsid w:val="00324DBF"/>
    <w:rsid w:val="003250F0"/>
    <w:rsid w:val="0032517E"/>
    <w:rsid w:val="0032538A"/>
    <w:rsid w:val="00325390"/>
    <w:rsid w:val="00325473"/>
    <w:rsid w:val="00325496"/>
    <w:rsid w:val="003255F1"/>
    <w:rsid w:val="00325790"/>
    <w:rsid w:val="003257B5"/>
    <w:rsid w:val="0032582B"/>
    <w:rsid w:val="00325894"/>
    <w:rsid w:val="00325A98"/>
    <w:rsid w:val="00325C4E"/>
    <w:rsid w:val="00325C83"/>
    <w:rsid w:val="00325D3F"/>
    <w:rsid w:val="00325DFD"/>
    <w:rsid w:val="00325EE9"/>
    <w:rsid w:val="00325F07"/>
    <w:rsid w:val="00325F21"/>
    <w:rsid w:val="00325F31"/>
    <w:rsid w:val="00326344"/>
    <w:rsid w:val="00326416"/>
    <w:rsid w:val="0032649D"/>
    <w:rsid w:val="0032657C"/>
    <w:rsid w:val="003266DA"/>
    <w:rsid w:val="003267CA"/>
    <w:rsid w:val="003268BB"/>
    <w:rsid w:val="00326A17"/>
    <w:rsid w:val="00326AD3"/>
    <w:rsid w:val="00326C42"/>
    <w:rsid w:val="00326CBA"/>
    <w:rsid w:val="00326D2C"/>
    <w:rsid w:val="00326D53"/>
    <w:rsid w:val="00326E13"/>
    <w:rsid w:val="00326F78"/>
    <w:rsid w:val="003272B4"/>
    <w:rsid w:val="00327336"/>
    <w:rsid w:val="003273D9"/>
    <w:rsid w:val="00327779"/>
    <w:rsid w:val="00327792"/>
    <w:rsid w:val="00327879"/>
    <w:rsid w:val="00327A0F"/>
    <w:rsid w:val="00327AC6"/>
    <w:rsid w:val="00327CDA"/>
    <w:rsid w:val="00327E7B"/>
    <w:rsid w:val="00330066"/>
    <w:rsid w:val="003300CF"/>
    <w:rsid w:val="0033014F"/>
    <w:rsid w:val="00330209"/>
    <w:rsid w:val="0033036B"/>
    <w:rsid w:val="00330627"/>
    <w:rsid w:val="003306AD"/>
    <w:rsid w:val="003308B5"/>
    <w:rsid w:val="003308E4"/>
    <w:rsid w:val="003309BF"/>
    <w:rsid w:val="00330ACC"/>
    <w:rsid w:val="00330B58"/>
    <w:rsid w:val="00330BF5"/>
    <w:rsid w:val="00330EC9"/>
    <w:rsid w:val="00330F12"/>
    <w:rsid w:val="003311E1"/>
    <w:rsid w:val="003312B6"/>
    <w:rsid w:val="00331359"/>
    <w:rsid w:val="003317EF"/>
    <w:rsid w:val="003317FC"/>
    <w:rsid w:val="003319A1"/>
    <w:rsid w:val="00331A01"/>
    <w:rsid w:val="00331A66"/>
    <w:rsid w:val="00331CCA"/>
    <w:rsid w:val="00331D5C"/>
    <w:rsid w:val="00331D9C"/>
    <w:rsid w:val="00331E69"/>
    <w:rsid w:val="00331EA6"/>
    <w:rsid w:val="00331F03"/>
    <w:rsid w:val="003321AC"/>
    <w:rsid w:val="003321EC"/>
    <w:rsid w:val="00332238"/>
    <w:rsid w:val="00332370"/>
    <w:rsid w:val="00332392"/>
    <w:rsid w:val="003323D8"/>
    <w:rsid w:val="00332499"/>
    <w:rsid w:val="003326A4"/>
    <w:rsid w:val="00332838"/>
    <w:rsid w:val="00332973"/>
    <w:rsid w:val="00332B89"/>
    <w:rsid w:val="00332D09"/>
    <w:rsid w:val="00332D2A"/>
    <w:rsid w:val="00332E0C"/>
    <w:rsid w:val="003330D7"/>
    <w:rsid w:val="003331D2"/>
    <w:rsid w:val="003334EF"/>
    <w:rsid w:val="003336DC"/>
    <w:rsid w:val="00333845"/>
    <w:rsid w:val="0033393A"/>
    <w:rsid w:val="003339A0"/>
    <w:rsid w:val="003339E7"/>
    <w:rsid w:val="00333BD4"/>
    <w:rsid w:val="00333D00"/>
    <w:rsid w:val="00333DE4"/>
    <w:rsid w:val="00333EC7"/>
    <w:rsid w:val="00334096"/>
    <w:rsid w:val="003340AF"/>
    <w:rsid w:val="003340D4"/>
    <w:rsid w:val="0033437D"/>
    <w:rsid w:val="003345AE"/>
    <w:rsid w:val="0033487B"/>
    <w:rsid w:val="003348EA"/>
    <w:rsid w:val="003349CD"/>
    <w:rsid w:val="00334A7E"/>
    <w:rsid w:val="00334A9B"/>
    <w:rsid w:val="00334B75"/>
    <w:rsid w:val="00334D2B"/>
    <w:rsid w:val="00334F6B"/>
    <w:rsid w:val="0033502A"/>
    <w:rsid w:val="00335040"/>
    <w:rsid w:val="003350B5"/>
    <w:rsid w:val="003350F1"/>
    <w:rsid w:val="0033514B"/>
    <w:rsid w:val="003351C1"/>
    <w:rsid w:val="003352FD"/>
    <w:rsid w:val="003353F9"/>
    <w:rsid w:val="00335780"/>
    <w:rsid w:val="003357EA"/>
    <w:rsid w:val="00335A50"/>
    <w:rsid w:val="00335A8C"/>
    <w:rsid w:val="00335AA7"/>
    <w:rsid w:val="00335AF1"/>
    <w:rsid w:val="00335B76"/>
    <w:rsid w:val="00335B92"/>
    <w:rsid w:val="00335CA8"/>
    <w:rsid w:val="00335D5C"/>
    <w:rsid w:val="00335E04"/>
    <w:rsid w:val="00335E31"/>
    <w:rsid w:val="00335E73"/>
    <w:rsid w:val="00335F40"/>
    <w:rsid w:val="00335F57"/>
    <w:rsid w:val="00336001"/>
    <w:rsid w:val="00336004"/>
    <w:rsid w:val="003361BC"/>
    <w:rsid w:val="00336323"/>
    <w:rsid w:val="003363FD"/>
    <w:rsid w:val="003364BA"/>
    <w:rsid w:val="003364C8"/>
    <w:rsid w:val="00336505"/>
    <w:rsid w:val="0033665E"/>
    <w:rsid w:val="00336661"/>
    <w:rsid w:val="00336859"/>
    <w:rsid w:val="003368BF"/>
    <w:rsid w:val="00336A64"/>
    <w:rsid w:val="00336A78"/>
    <w:rsid w:val="00336A90"/>
    <w:rsid w:val="00336BAE"/>
    <w:rsid w:val="00336C38"/>
    <w:rsid w:val="00336C74"/>
    <w:rsid w:val="00336CBD"/>
    <w:rsid w:val="00337005"/>
    <w:rsid w:val="00337042"/>
    <w:rsid w:val="0033713A"/>
    <w:rsid w:val="0033716D"/>
    <w:rsid w:val="00337278"/>
    <w:rsid w:val="003372DE"/>
    <w:rsid w:val="00337439"/>
    <w:rsid w:val="00337445"/>
    <w:rsid w:val="00337472"/>
    <w:rsid w:val="00337608"/>
    <w:rsid w:val="0033784F"/>
    <w:rsid w:val="0033788E"/>
    <w:rsid w:val="003378C2"/>
    <w:rsid w:val="0033799F"/>
    <w:rsid w:val="00337A3C"/>
    <w:rsid w:val="00337C10"/>
    <w:rsid w:val="00337CBD"/>
    <w:rsid w:val="00337D94"/>
    <w:rsid w:val="00337E82"/>
    <w:rsid w:val="00337FA0"/>
    <w:rsid w:val="0034001C"/>
    <w:rsid w:val="00340112"/>
    <w:rsid w:val="003401DE"/>
    <w:rsid w:val="003402A2"/>
    <w:rsid w:val="003402C1"/>
    <w:rsid w:val="00340383"/>
    <w:rsid w:val="003404FA"/>
    <w:rsid w:val="0034059F"/>
    <w:rsid w:val="0034060A"/>
    <w:rsid w:val="00340624"/>
    <w:rsid w:val="00340673"/>
    <w:rsid w:val="003407CE"/>
    <w:rsid w:val="00340A7C"/>
    <w:rsid w:val="00340ABD"/>
    <w:rsid w:val="00340AC5"/>
    <w:rsid w:val="00340B83"/>
    <w:rsid w:val="00340B99"/>
    <w:rsid w:val="00340C19"/>
    <w:rsid w:val="00340E5B"/>
    <w:rsid w:val="00340E7A"/>
    <w:rsid w:val="00340EC3"/>
    <w:rsid w:val="00340F0E"/>
    <w:rsid w:val="00341375"/>
    <w:rsid w:val="003413A7"/>
    <w:rsid w:val="003416A1"/>
    <w:rsid w:val="0034174C"/>
    <w:rsid w:val="003417D1"/>
    <w:rsid w:val="003418AC"/>
    <w:rsid w:val="003419C2"/>
    <w:rsid w:val="003419F8"/>
    <w:rsid w:val="00341A47"/>
    <w:rsid w:val="00341AAF"/>
    <w:rsid w:val="00341AB2"/>
    <w:rsid w:val="00341AB6"/>
    <w:rsid w:val="00341BB5"/>
    <w:rsid w:val="00341FBB"/>
    <w:rsid w:val="0034207B"/>
    <w:rsid w:val="003420A8"/>
    <w:rsid w:val="00342262"/>
    <w:rsid w:val="00342288"/>
    <w:rsid w:val="00342395"/>
    <w:rsid w:val="00342401"/>
    <w:rsid w:val="0034247B"/>
    <w:rsid w:val="0034267D"/>
    <w:rsid w:val="00342885"/>
    <w:rsid w:val="0034299C"/>
    <w:rsid w:val="003429EC"/>
    <w:rsid w:val="003429F0"/>
    <w:rsid w:val="00342A68"/>
    <w:rsid w:val="00342A7D"/>
    <w:rsid w:val="00342B63"/>
    <w:rsid w:val="00342C0F"/>
    <w:rsid w:val="00342C72"/>
    <w:rsid w:val="00342DD2"/>
    <w:rsid w:val="00342F0D"/>
    <w:rsid w:val="00342F41"/>
    <w:rsid w:val="003431C5"/>
    <w:rsid w:val="003432CC"/>
    <w:rsid w:val="00343657"/>
    <w:rsid w:val="0034379C"/>
    <w:rsid w:val="00343825"/>
    <w:rsid w:val="003438B9"/>
    <w:rsid w:val="003438D8"/>
    <w:rsid w:val="003438E0"/>
    <w:rsid w:val="00343909"/>
    <w:rsid w:val="00343994"/>
    <w:rsid w:val="00343B5F"/>
    <w:rsid w:val="00343C23"/>
    <w:rsid w:val="00343D65"/>
    <w:rsid w:val="00344180"/>
    <w:rsid w:val="00344322"/>
    <w:rsid w:val="003443CD"/>
    <w:rsid w:val="003445BF"/>
    <w:rsid w:val="003445E8"/>
    <w:rsid w:val="00344769"/>
    <w:rsid w:val="003447DB"/>
    <w:rsid w:val="0034489C"/>
    <w:rsid w:val="003448CD"/>
    <w:rsid w:val="003448D1"/>
    <w:rsid w:val="003448F2"/>
    <w:rsid w:val="0034499F"/>
    <w:rsid w:val="00344AA4"/>
    <w:rsid w:val="00344ADD"/>
    <w:rsid w:val="00344C72"/>
    <w:rsid w:val="00344CBF"/>
    <w:rsid w:val="00344D78"/>
    <w:rsid w:val="00344ED9"/>
    <w:rsid w:val="0034531A"/>
    <w:rsid w:val="00345349"/>
    <w:rsid w:val="00345398"/>
    <w:rsid w:val="003454AF"/>
    <w:rsid w:val="0034554D"/>
    <w:rsid w:val="003455C3"/>
    <w:rsid w:val="003458DC"/>
    <w:rsid w:val="003458E4"/>
    <w:rsid w:val="00345A31"/>
    <w:rsid w:val="00345AA3"/>
    <w:rsid w:val="00345B25"/>
    <w:rsid w:val="00345F36"/>
    <w:rsid w:val="00345F7C"/>
    <w:rsid w:val="0034601E"/>
    <w:rsid w:val="0034606D"/>
    <w:rsid w:val="00346094"/>
    <w:rsid w:val="00346101"/>
    <w:rsid w:val="00346179"/>
    <w:rsid w:val="00346292"/>
    <w:rsid w:val="0034652B"/>
    <w:rsid w:val="0034668B"/>
    <w:rsid w:val="003467E3"/>
    <w:rsid w:val="00346941"/>
    <w:rsid w:val="00346ACF"/>
    <w:rsid w:val="00346C7F"/>
    <w:rsid w:val="00346C8C"/>
    <w:rsid w:val="00346D9D"/>
    <w:rsid w:val="003470E6"/>
    <w:rsid w:val="00347175"/>
    <w:rsid w:val="003471DE"/>
    <w:rsid w:val="0034721B"/>
    <w:rsid w:val="0034721D"/>
    <w:rsid w:val="003472F1"/>
    <w:rsid w:val="003472FE"/>
    <w:rsid w:val="00347495"/>
    <w:rsid w:val="0034785D"/>
    <w:rsid w:val="0034790B"/>
    <w:rsid w:val="00347931"/>
    <w:rsid w:val="003479F6"/>
    <w:rsid w:val="00347AFD"/>
    <w:rsid w:val="00347B39"/>
    <w:rsid w:val="00347C1D"/>
    <w:rsid w:val="00347C50"/>
    <w:rsid w:val="00347CD6"/>
    <w:rsid w:val="00347E71"/>
    <w:rsid w:val="00347E94"/>
    <w:rsid w:val="00347F0A"/>
    <w:rsid w:val="00350033"/>
    <w:rsid w:val="0035006F"/>
    <w:rsid w:val="0035019F"/>
    <w:rsid w:val="003502B0"/>
    <w:rsid w:val="003503FF"/>
    <w:rsid w:val="00350443"/>
    <w:rsid w:val="003504AD"/>
    <w:rsid w:val="00350514"/>
    <w:rsid w:val="00350601"/>
    <w:rsid w:val="003506B7"/>
    <w:rsid w:val="003507F9"/>
    <w:rsid w:val="00350853"/>
    <w:rsid w:val="00350876"/>
    <w:rsid w:val="003508C6"/>
    <w:rsid w:val="003509A7"/>
    <w:rsid w:val="003509BA"/>
    <w:rsid w:val="00350B9D"/>
    <w:rsid w:val="00350C12"/>
    <w:rsid w:val="00350D97"/>
    <w:rsid w:val="00351036"/>
    <w:rsid w:val="00351045"/>
    <w:rsid w:val="00351155"/>
    <w:rsid w:val="003511CF"/>
    <w:rsid w:val="003511E3"/>
    <w:rsid w:val="00351405"/>
    <w:rsid w:val="0035157E"/>
    <w:rsid w:val="0035168D"/>
    <w:rsid w:val="003517DF"/>
    <w:rsid w:val="003517E7"/>
    <w:rsid w:val="0035184F"/>
    <w:rsid w:val="0035197C"/>
    <w:rsid w:val="00351B75"/>
    <w:rsid w:val="00351BC0"/>
    <w:rsid w:val="00351D69"/>
    <w:rsid w:val="00351DD6"/>
    <w:rsid w:val="00351E26"/>
    <w:rsid w:val="00351F86"/>
    <w:rsid w:val="00351FB1"/>
    <w:rsid w:val="00352178"/>
    <w:rsid w:val="003521B6"/>
    <w:rsid w:val="00352270"/>
    <w:rsid w:val="00352331"/>
    <w:rsid w:val="003523E6"/>
    <w:rsid w:val="00352455"/>
    <w:rsid w:val="003524CF"/>
    <w:rsid w:val="0035251E"/>
    <w:rsid w:val="0035255B"/>
    <w:rsid w:val="00352628"/>
    <w:rsid w:val="00352642"/>
    <w:rsid w:val="0035267C"/>
    <w:rsid w:val="00352770"/>
    <w:rsid w:val="00352CB5"/>
    <w:rsid w:val="00352D33"/>
    <w:rsid w:val="00352DEA"/>
    <w:rsid w:val="00352E6B"/>
    <w:rsid w:val="00352FB2"/>
    <w:rsid w:val="003530E6"/>
    <w:rsid w:val="00353153"/>
    <w:rsid w:val="0035324C"/>
    <w:rsid w:val="0035334D"/>
    <w:rsid w:val="003533C4"/>
    <w:rsid w:val="003533D3"/>
    <w:rsid w:val="00353470"/>
    <w:rsid w:val="003534F4"/>
    <w:rsid w:val="00353509"/>
    <w:rsid w:val="00353639"/>
    <w:rsid w:val="003536BC"/>
    <w:rsid w:val="0035372F"/>
    <w:rsid w:val="00353773"/>
    <w:rsid w:val="003537D7"/>
    <w:rsid w:val="003538EA"/>
    <w:rsid w:val="00353911"/>
    <w:rsid w:val="00353990"/>
    <w:rsid w:val="00353ACA"/>
    <w:rsid w:val="00353BB2"/>
    <w:rsid w:val="00353CF8"/>
    <w:rsid w:val="00353FA8"/>
    <w:rsid w:val="00354036"/>
    <w:rsid w:val="003540A2"/>
    <w:rsid w:val="003541E1"/>
    <w:rsid w:val="0035428E"/>
    <w:rsid w:val="003542E8"/>
    <w:rsid w:val="00354427"/>
    <w:rsid w:val="003544AF"/>
    <w:rsid w:val="003545A6"/>
    <w:rsid w:val="003545B0"/>
    <w:rsid w:val="00354655"/>
    <w:rsid w:val="00354696"/>
    <w:rsid w:val="003546F5"/>
    <w:rsid w:val="00354A5E"/>
    <w:rsid w:val="00354A6C"/>
    <w:rsid w:val="00354ACC"/>
    <w:rsid w:val="00354B3B"/>
    <w:rsid w:val="00354BC4"/>
    <w:rsid w:val="00354BF3"/>
    <w:rsid w:val="00354CC6"/>
    <w:rsid w:val="00354CCB"/>
    <w:rsid w:val="00354E91"/>
    <w:rsid w:val="00355039"/>
    <w:rsid w:val="0035506C"/>
    <w:rsid w:val="00355256"/>
    <w:rsid w:val="0035527D"/>
    <w:rsid w:val="0035527F"/>
    <w:rsid w:val="003552A9"/>
    <w:rsid w:val="003552BF"/>
    <w:rsid w:val="0035537B"/>
    <w:rsid w:val="00355442"/>
    <w:rsid w:val="00355577"/>
    <w:rsid w:val="0035558D"/>
    <w:rsid w:val="0035564C"/>
    <w:rsid w:val="00355691"/>
    <w:rsid w:val="0035579D"/>
    <w:rsid w:val="00355890"/>
    <w:rsid w:val="003558F1"/>
    <w:rsid w:val="0035598B"/>
    <w:rsid w:val="00355ADD"/>
    <w:rsid w:val="00355C01"/>
    <w:rsid w:val="00355DCE"/>
    <w:rsid w:val="00355DD6"/>
    <w:rsid w:val="00355DE8"/>
    <w:rsid w:val="00355E15"/>
    <w:rsid w:val="00355FA5"/>
    <w:rsid w:val="00356009"/>
    <w:rsid w:val="003560AE"/>
    <w:rsid w:val="003562B1"/>
    <w:rsid w:val="003562BF"/>
    <w:rsid w:val="003562DE"/>
    <w:rsid w:val="00356300"/>
    <w:rsid w:val="003564AC"/>
    <w:rsid w:val="00356700"/>
    <w:rsid w:val="00356734"/>
    <w:rsid w:val="00356985"/>
    <w:rsid w:val="00356A78"/>
    <w:rsid w:val="00356CEA"/>
    <w:rsid w:val="00356E24"/>
    <w:rsid w:val="00356E4B"/>
    <w:rsid w:val="00356F2A"/>
    <w:rsid w:val="00356F65"/>
    <w:rsid w:val="0035702E"/>
    <w:rsid w:val="003570C9"/>
    <w:rsid w:val="00357266"/>
    <w:rsid w:val="003572A3"/>
    <w:rsid w:val="003572EC"/>
    <w:rsid w:val="0035740E"/>
    <w:rsid w:val="00357472"/>
    <w:rsid w:val="003574A0"/>
    <w:rsid w:val="003574C3"/>
    <w:rsid w:val="003574CE"/>
    <w:rsid w:val="0035753F"/>
    <w:rsid w:val="00357587"/>
    <w:rsid w:val="00357595"/>
    <w:rsid w:val="003577A9"/>
    <w:rsid w:val="003578AA"/>
    <w:rsid w:val="003578CD"/>
    <w:rsid w:val="0035797E"/>
    <w:rsid w:val="00357CE2"/>
    <w:rsid w:val="00357EC1"/>
    <w:rsid w:val="0036021A"/>
    <w:rsid w:val="00360282"/>
    <w:rsid w:val="003602BD"/>
    <w:rsid w:val="003603D3"/>
    <w:rsid w:val="00360471"/>
    <w:rsid w:val="003604B2"/>
    <w:rsid w:val="0036065E"/>
    <w:rsid w:val="00360702"/>
    <w:rsid w:val="003607A4"/>
    <w:rsid w:val="00360B14"/>
    <w:rsid w:val="00360B28"/>
    <w:rsid w:val="00360B40"/>
    <w:rsid w:val="00360C3A"/>
    <w:rsid w:val="00360CD2"/>
    <w:rsid w:val="00360D12"/>
    <w:rsid w:val="00360D36"/>
    <w:rsid w:val="00360D6E"/>
    <w:rsid w:val="00360DDE"/>
    <w:rsid w:val="00360F75"/>
    <w:rsid w:val="003610A0"/>
    <w:rsid w:val="0036115E"/>
    <w:rsid w:val="00361315"/>
    <w:rsid w:val="0036138C"/>
    <w:rsid w:val="003613EC"/>
    <w:rsid w:val="003613ED"/>
    <w:rsid w:val="0036141C"/>
    <w:rsid w:val="003614A3"/>
    <w:rsid w:val="0036158E"/>
    <w:rsid w:val="003617F0"/>
    <w:rsid w:val="003618BD"/>
    <w:rsid w:val="003619CF"/>
    <w:rsid w:val="003619F8"/>
    <w:rsid w:val="00361A43"/>
    <w:rsid w:val="00361ACC"/>
    <w:rsid w:val="00361BC4"/>
    <w:rsid w:val="00361C4E"/>
    <w:rsid w:val="00361CF0"/>
    <w:rsid w:val="00361D4A"/>
    <w:rsid w:val="00361EFC"/>
    <w:rsid w:val="00362078"/>
    <w:rsid w:val="00362241"/>
    <w:rsid w:val="00362340"/>
    <w:rsid w:val="00362364"/>
    <w:rsid w:val="00362485"/>
    <w:rsid w:val="003624CF"/>
    <w:rsid w:val="00362646"/>
    <w:rsid w:val="003626A0"/>
    <w:rsid w:val="003628B6"/>
    <w:rsid w:val="003629FC"/>
    <w:rsid w:val="00362A68"/>
    <w:rsid w:val="00362BD4"/>
    <w:rsid w:val="00362CCD"/>
    <w:rsid w:val="00362D3D"/>
    <w:rsid w:val="00362F10"/>
    <w:rsid w:val="00363107"/>
    <w:rsid w:val="00363116"/>
    <w:rsid w:val="003631B8"/>
    <w:rsid w:val="003631E9"/>
    <w:rsid w:val="00363399"/>
    <w:rsid w:val="003633AD"/>
    <w:rsid w:val="003633FD"/>
    <w:rsid w:val="003634BC"/>
    <w:rsid w:val="00363563"/>
    <w:rsid w:val="003636DF"/>
    <w:rsid w:val="003637A2"/>
    <w:rsid w:val="003637BA"/>
    <w:rsid w:val="00363921"/>
    <w:rsid w:val="00363A44"/>
    <w:rsid w:val="00363B12"/>
    <w:rsid w:val="00363D19"/>
    <w:rsid w:val="00363DA4"/>
    <w:rsid w:val="00363E47"/>
    <w:rsid w:val="00363E5D"/>
    <w:rsid w:val="0036401F"/>
    <w:rsid w:val="003640E3"/>
    <w:rsid w:val="003642A1"/>
    <w:rsid w:val="0036440D"/>
    <w:rsid w:val="00364620"/>
    <w:rsid w:val="00364752"/>
    <w:rsid w:val="003648CC"/>
    <w:rsid w:val="003648F2"/>
    <w:rsid w:val="003649D2"/>
    <w:rsid w:val="003649EA"/>
    <w:rsid w:val="00364CC7"/>
    <w:rsid w:val="00364E32"/>
    <w:rsid w:val="00364F5E"/>
    <w:rsid w:val="00364FF5"/>
    <w:rsid w:val="00365391"/>
    <w:rsid w:val="00365455"/>
    <w:rsid w:val="0036554B"/>
    <w:rsid w:val="00365719"/>
    <w:rsid w:val="00365810"/>
    <w:rsid w:val="00365847"/>
    <w:rsid w:val="00365A1E"/>
    <w:rsid w:val="00365A66"/>
    <w:rsid w:val="00365BD3"/>
    <w:rsid w:val="00365CBF"/>
    <w:rsid w:val="00365D5B"/>
    <w:rsid w:val="00365DFB"/>
    <w:rsid w:val="00365E08"/>
    <w:rsid w:val="00365E64"/>
    <w:rsid w:val="00365F27"/>
    <w:rsid w:val="00366592"/>
    <w:rsid w:val="00366619"/>
    <w:rsid w:val="003666BE"/>
    <w:rsid w:val="00366701"/>
    <w:rsid w:val="0036674A"/>
    <w:rsid w:val="00366777"/>
    <w:rsid w:val="0036681A"/>
    <w:rsid w:val="00366890"/>
    <w:rsid w:val="003668C9"/>
    <w:rsid w:val="00366964"/>
    <w:rsid w:val="00366996"/>
    <w:rsid w:val="00366ACD"/>
    <w:rsid w:val="00366C9F"/>
    <w:rsid w:val="00366D98"/>
    <w:rsid w:val="00366F00"/>
    <w:rsid w:val="00366F8E"/>
    <w:rsid w:val="00366F93"/>
    <w:rsid w:val="003670E6"/>
    <w:rsid w:val="0036710E"/>
    <w:rsid w:val="00367115"/>
    <w:rsid w:val="003673A9"/>
    <w:rsid w:val="0036750C"/>
    <w:rsid w:val="00367512"/>
    <w:rsid w:val="0036766F"/>
    <w:rsid w:val="003678B9"/>
    <w:rsid w:val="00367919"/>
    <w:rsid w:val="003679CA"/>
    <w:rsid w:val="00367B6F"/>
    <w:rsid w:val="00367C82"/>
    <w:rsid w:val="00367CA5"/>
    <w:rsid w:val="00367CA9"/>
    <w:rsid w:val="00367FBF"/>
    <w:rsid w:val="0037018A"/>
    <w:rsid w:val="00370384"/>
    <w:rsid w:val="003703C5"/>
    <w:rsid w:val="0037043B"/>
    <w:rsid w:val="0037075A"/>
    <w:rsid w:val="00370897"/>
    <w:rsid w:val="003709DD"/>
    <w:rsid w:val="00370CB1"/>
    <w:rsid w:val="00370CFF"/>
    <w:rsid w:val="00370D79"/>
    <w:rsid w:val="00370DF8"/>
    <w:rsid w:val="00370F20"/>
    <w:rsid w:val="003710E7"/>
    <w:rsid w:val="003713E4"/>
    <w:rsid w:val="0037157D"/>
    <w:rsid w:val="003715B7"/>
    <w:rsid w:val="0037166E"/>
    <w:rsid w:val="003716CC"/>
    <w:rsid w:val="003717AA"/>
    <w:rsid w:val="00371D40"/>
    <w:rsid w:val="00371E30"/>
    <w:rsid w:val="00371E63"/>
    <w:rsid w:val="00371EFD"/>
    <w:rsid w:val="00372124"/>
    <w:rsid w:val="00372142"/>
    <w:rsid w:val="00372205"/>
    <w:rsid w:val="0037225B"/>
    <w:rsid w:val="00372304"/>
    <w:rsid w:val="00372398"/>
    <w:rsid w:val="00372494"/>
    <w:rsid w:val="003724E1"/>
    <w:rsid w:val="003725A6"/>
    <w:rsid w:val="0037262F"/>
    <w:rsid w:val="0037272B"/>
    <w:rsid w:val="00372779"/>
    <w:rsid w:val="0037283A"/>
    <w:rsid w:val="0037287E"/>
    <w:rsid w:val="00372A25"/>
    <w:rsid w:val="00372ACB"/>
    <w:rsid w:val="00372B4A"/>
    <w:rsid w:val="00372D3D"/>
    <w:rsid w:val="00372DDB"/>
    <w:rsid w:val="00372E94"/>
    <w:rsid w:val="003731A2"/>
    <w:rsid w:val="0037355E"/>
    <w:rsid w:val="00373563"/>
    <w:rsid w:val="00373663"/>
    <w:rsid w:val="00373886"/>
    <w:rsid w:val="0037394C"/>
    <w:rsid w:val="00373951"/>
    <w:rsid w:val="0037399F"/>
    <w:rsid w:val="00373A3C"/>
    <w:rsid w:val="00373A6B"/>
    <w:rsid w:val="00373A84"/>
    <w:rsid w:val="00373C92"/>
    <w:rsid w:val="00373CCE"/>
    <w:rsid w:val="00373DB5"/>
    <w:rsid w:val="00373EE5"/>
    <w:rsid w:val="00373EF1"/>
    <w:rsid w:val="00374174"/>
    <w:rsid w:val="00374177"/>
    <w:rsid w:val="0037422D"/>
    <w:rsid w:val="00374275"/>
    <w:rsid w:val="003743A7"/>
    <w:rsid w:val="0037449A"/>
    <w:rsid w:val="00374527"/>
    <w:rsid w:val="003745B3"/>
    <w:rsid w:val="003746F7"/>
    <w:rsid w:val="0037488E"/>
    <w:rsid w:val="00374A30"/>
    <w:rsid w:val="00374A55"/>
    <w:rsid w:val="00374AC9"/>
    <w:rsid w:val="00374AF2"/>
    <w:rsid w:val="00374CD9"/>
    <w:rsid w:val="00374F53"/>
    <w:rsid w:val="003750E8"/>
    <w:rsid w:val="00375115"/>
    <w:rsid w:val="0037515E"/>
    <w:rsid w:val="0037516B"/>
    <w:rsid w:val="0037518B"/>
    <w:rsid w:val="003751AE"/>
    <w:rsid w:val="003751B8"/>
    <w:rsid w:val="00375280"/>
    <w:rsid w:val="0037534D"/>
    <w:rsid w:val="00375373"/>
    <w:rsid w:val="003753DE"/>
    <w:rsid w:val="00375552"/>
    <w:rsid w:val="00375657"/>
    <w:rsid w:val="00375850"/>
    <w:rsid w:val="00375854"/>
    <w:rsid w:val="00375AA0"/>
    <w:rsid w:val="00375C81"/>
    <w:rsid w:val="00375D85"/>
    <w:rsid w:val="00375E7E"/>
    <w:rsid w:val="00375F8B"/>
    <w:rsid w:val="00376005"/>
    <w:rsid w:val="0037600E"/>
    <w:rsid w:val="00376018"/>
    <w:rsid w:val="0037602A"/>
    <w:rsid w:val="003760C7"/>
    <w:rsid w:val="00376193"/>
    <w:rsid w:val="003761BC"/>
    <w:rsid w:val="0037649E"/>
    <w:rsid w:val="003764C7"/>
    <w:rsid w:val="00376510"/>
    <w:rsid w:val="003766DA"/>
    <w:rsid w:val="00376777"/>
    <w:rsid w:val="00376877"/>
    <w:rsid w:val="00376A96"/>
    <w:rsid w:val="00376B9E"/>
    <w:rsid w:val="00376C71"/>
    <w:rsid w:val="00376C73"/>
    <w:rsid w:val="00376DD2"/>
    <w:rsid w:val="00376DE0"/>
    <w:rsid w:val="00376F85"/>
    <w:rsid w:val="00376FFF"/>
    <w:rsid w:val="003771E3"/>
    <w:rsid w:val="003771FA"/>
    <w:rsid w:val="00377341"/>
    <w:rsid w:val="0037736F"/>
    <w:rsid w:val="003773C2"/>
    <w:rsid w:val="003774EC"/>
    <w:rsid w:val="003775EC"/>
    <w:rsid w:val="0037796D"/>
    <w:rsid w:val="00377AA8"/>
    <w:rsid w:val="00377B4E"/>
    <w:rsid w:val="00377BC6"/>
    <w:rsid w:val="00377C17"/>
    <w:rsid w:val="00377C74"/>
    <w:rsid w:val="00377C82"/>
    <w:rsid w:val="00377D60"/>
    <w:rsid w:val="00377DC8"/>
    <w:rsid w:val="00377DFF"/>
    <w:rsid w:val="00377F06"/>
    <w:rsid w:val="00377FB5"/>
    <w:rsid w:val="00380079"/>
    <w:rsid w:val="00380180"/>
    <w:rsid w:val="00380190"/>
    <w:rsid w:val="003801D7"/>
    <w:rsid w:val="00380204"/>
    <w:rsid w:val="003802AC"/>
    <w:rsid w:val="003802F7"/>
    <w:rsid w:val="0038038B"/>
    <w:rsid w:val="00380474"/>
    <w:rsid w:val="003805B0"/>
    <w:rsid w:val="003806F8"/>
    <w:rsid w:val="00380C81"/>
    <w:rsid w:val="00380D78"/>
    <w:rsid w:val="00380E42"/>
    <w:rsid w:val="00380E5F"/>
    <w:rsid w:val="00380E60"/>
    <w:rsid w:val="00380F3D"/>
    <w:rsid w:val="00380FA2"/>
    <w:rsid w:val="003810FE"/>
    <w:rsid w:val="00381146"/>
    <w:rsid w:val="0038131C"/>
    <w:rsid w:val="00381332"/>
    <w:rsid w:val="00381516"/>
    <w:rsid w:val="003815A7"/>
    <w:rsid w:val="003815FC"/>
    <w:rsid w:val="00381641"/>
    <w:rsid w:val="0038168B"/>
    <w:rsid w:val="0038177A"/>
    <w:rsid w:val="00381859"/>
    <w:rsid w:val="0038186E"/>
    <w:rsid w:val="0038192C"/>
    <w:rsid w:val="00381A3A"/>
    <w:rsid w:val="00381D37"/>
    <w:rsid w:val="00381D56"/>
    <w:rsid w:val="00381EC9"/>
    <w:rsid w:val="00381F55"/>
    <w:rsid w:val="00381FAD"/>
    <w:rsid w:val="00382089"/>
    <w:rsid w:val="003821A2"/>
    <w:rsid w:val="00382296"/>
    <w:rsid w:val="0038231B"/>
    <w:rsid w:val="0038234B"/>
    <w:rsid w:val="003823F6"/>
    <w:rsid w:val="003826A9"/>
    <w:rsid w:val="00382769"/>
    <w:rsid w:val="00382C25"/>
    <w:rsid w:val="00382C99"/>
    <w:rsid w:val="00382E3B"/>
    <w:rsid w:val="00383027"/>
    <w:rsid w:val="003831C1"/>
    <w:rsid w:val="0038323B"/>
    <w:rsid w:val="00383314"/>
    <w:rsid w:val="00383340"/>
    <w:rsid w:val="00383365"/>
    <w:rsid w:val="003833B1"/>
    <w:rsid w:val="003834DA"/>
    <w:rsid w:val="00383505"/>
    <w:rsid w:val="00383529"/>
    <w:rsid w:val="0038385C"/>
    <w:rsid w:val="003838B0"/>
    <w:rsid w:val="0038390B"/>
    <w:rsid w:val="00383976"/>
    <w:rsid w:val="00383A52"/>
    <w:rsid w:val="00383C62"/>
    <w:rsid w:val="00383DB9"/>
    <w:rsid w:val="00383E07"/>
    <w:rsid w:val="00383F7C"/>
    <w:rsid w:val="00383F88"/>
    <w:rsid w:val="00384188"/>
    <w:rsid w:val="0038432E"/>
    <w:rsid w:val="00384355"/>
    <w:rsid w:val="00384363"/>
    <w:rsid w:val="003844E5"/>
    <w:rsid w:val="003846D6"/>
    <w:rsid w:val="0038475F"/>
    <w:rsid w:val="0038491A"/>
    <w:rsid w:val="0038498F"/>
    <w:rsid w:val="00384ABE"/>
    <w:rsid w:val="00384AFA"/>
    <w:rsid w:val="00384D40"/>
    <w:rsid w:val="00384DB4"/>
    <w:rsid w:val="00384E1D"/>
    <w:rsid w:val="00385011"/>
    <w:rsid w:val="0038508B"/>
    <w:rsid w:val="003851DD"/>
    <w:rsid w:val="003852D5"/>
    <w:rsid w:val="0038540C"/>
    <w:rsid w:val="0038549C"/>
    <w:rsid w:val="003854E9"/>
    <w:rsid w:val="003856BE"/>
    <w:rsid w:val="003856F0"/>
    <w:rsid w:val="00385845"/>
    <w:rsid w:val="00385902"/>
    <w:rsid w:val="00385A57"/>
    <w:rsid w:val="00385BB2"/>
    <w:rsid w:val="00385C43"/>
    <w:rsid w:val="00385CC6"/>
    <w:rsid w:val="00385E53"/>
    <w:rsid w:val="00385FD6"/>
    <w:rsid w:val="003860AA"/>
    <w:rsid w:val="00386377"/>
    <w:rsid w:val="00386378"/>
    <w:rsid w:val="003863C4"/>
    <w:rsid w:val="003863E1"/>
    <w:rsid w:val="003864D1"/>
    <w:rsid w:val="003865B3"/>
    <w:rsid w:val="00386753"/>
    <w:rsid w:val="003868C9"/>
    <w:rsid w:val="00386912"/>
    <w:rsid w:val="00386A41"/>
    <w:rsid w:val="00386A9D"/>
    <w:rsid w:val="00386AD9"/>
    <w:rsid w:val="00386AE8"/>
    <w:rsid w:val="00386B0D"/>
    <w:rsid w:val="00386D23"/>
    <w:rsid w:val="00386F86"/>
    <w:rsid w:val="00387130"/>
    <w:rsid w:val="00387547"/>
    <w:rsid w:val="0038758F"/>
    <w:rsid w:val="00387766"/>
    <w:rsid w:val="00387794"/>
    <w:rsid w:val="003877E5"/>
    <w:rsid w:val="00387802"/>
    <w:rsid w:val="00387858"/>
    <w:rsid w:val="0038792D"/>
    <w:rsid w:val="00387965"/>
    <w:rsid w:val="00387ACA"/>
    <w:rsid w:val="00387B1B"/>
    <w:rsid w:val="00387B7F"/>
    <w:rsid w:val="00387D1B"/>
    <w:rsid w:val="00387D22"/>
    <w:rsid w:val="00387EBD"/>
    <w:rsid w:val="00387FE6"/>
    <w:rsid w:val="00390166"/>
    <w:rsid w:val="00390342"/>
    <w:rsid w:val="003903BE"/>
    <w:rsid w:val="00390449"/>
    <w:rsid w:val="0039056E"/>
    <w:rsid w:val="003905EA"/>
    <w:rsid w:val="0039069C"/>
    <w:rsid w:val="00390882"/>
    <w:rsid w:val="003909B3"/>
    <w:rsid w:val="003909BE"/>
    <w:rsid w:val="00390B8C"/>
    <w:rsid w:val="00390BE5"/>
    <w:rsid w:val="00390BF3"/>
    <w:rsid w:val="00390C04"/>
    <w:rsid w:val="00390C37"/>
    <w:rsid w:val="00390C65"/>
    <w:rsid w:val="00390D48"/>
    <w:rsid w:val="00390D88"/>
    <w:rsid w:val="00390E16"/>
    <w:rsid w:val="00390EB5"/>
    <w:rsid w:val="00390EFB"/>
    <w:rsid w:val="00390F1A"/>
    <w:rsid w:val="00390FE8"/>
    <w:rsid w:val="0039104E"/>
    <w:rsid w:val="00391102"/>
    <w:rsid w:val="0039125A"/>
    <w:rsid w:val="003912E2"/>
    <w:rsid w:val="003914CC"/>
    <w:rsid w:val="003914D3"/>
    <w:rsid w:val="003915F4"/>
    <w:rsid w:val="003916F2"/>
    <w:rsid w:val="0039171F"/>
    <w:rsid w:val="00391870"/>
    <w:rsid w:val="0039190D"/>
    <w:rsid w:val="003919CD"/>
    <w:rsid w:val="00391B90"/>
    <w:rsid w:val="00391BE5"/>
    <w:rsid w:val="00391C3B"/>
    <w:rsid w:val="00391F0B"/>
    <w:rsid w:val="00391F1F"/>
    <w:rsid w:val="00391F5F"/>
    <w:rsid w:val="003920F0"/>
    <w:rsid w:val="00392433"/>
    <w:rsid w:val="003924B7"/>
    <w:rsid w:val="00392618"/>
    <w:rsid w:val="0039271C"/>
    <w:rsid w:val="00392915"/>
    <w:rsid w:val="003929EE"/>
    <w:rsid w:val="00392A24"/>
    <w:rsid w:val="00392A94"/>
    <w:rsid w:val="00392CDB"/>
    <w:rsid w:val="00392CDF"/>
    <w:rsid w:val="00392D01"/>
    <w:rsid w:val="00392D65"/>
    <w:rsid w:val="00392E36"/>
    <w:rsid w:val="00392E57"/>
    <w:rsid w:val="00392EF1"/>
    <w:rsid w:val="0039317B"/>
    <w:rsid w:val="003931D1"/>
    <w:rsid w:val="003931DB"/>
    <w:rsid w:val="00393222"/>
    <w:rsid w:val="0039333F"/>
    <w:rsid w:val="0039342B"/>
    <w:rsid w:val="00393691"/>
    <w:rsid w:val="00393706"/>
    <w:rsid w:val="00393754"/>
    <w:rsid w:val="003938B2"/>
    <w:rsid w:val="00393A8B"/>
    <w:rsid w:val="00393D6B"/>
    <w:rsid w:val="00393E05"/>
    <w:rsid w:val="00393E35"/>
    <w:rsid w:val="00393F9A"/>
    <w:rsid w:val="00394056"/>
    <w:rsid w:val="00394103"/>
    <w:rsid w:val="0039410E"/>
    <w:rsid w:val="0039411C"/>
    <w:rsid w:val="00394151"/>
    <w:rsid w:val="00394393"/>
    <w:rsid w:val="003943D8"/>
    <w:rsid w:val="0039451B"/>
    <w:rsid w:val="003945B5"/>
    <w:rsid w:val="00394720"/>
    <w:rsid w:val="003947B9"/>
    <w:rsid w:val="00394841"/>
    <w:rsid w:val="003949F5"/>
    <w:rsid w:val="00394B1D"/>
    <w:rsid w:val="00394D5C"/>
    <w:rsid w:val="00394DC4"/>
    <w:rsid w:val="00394ECA"/>
    <w:rsid w:val="00394F90"/>
    <w:rsid w:val="00394FC1"/>
    <w:rsid w:val="00395020"/>
    <w:rsid w:val="003952BC"/>
    <w:rsid w:val="0039539D"/>
    <w:rsid w:val="003953F4"/>
    <w:rsid w:val="00395478"/>
    <w:rsid w:val="0039554D"/>
    <w:rsid w:val="003955A5"/>
    <w:rsid w:val="003955F1"/>
    <w:rsid w:val="00395712"/>
    <w:rsid w:val="0039571B"/>
    <w:rsid w:val="00395857"/>
    <w:rsid w:val="00395865"/>
    <w:rsid w:val="00395984"/>
    <w:rsid w:val="003959B9"/>
    <w:rsid w:val="00395A8D"/>
    <w:rsid w:val="00395AB1"/>
    <w:rsid w:val="00395BFF"/>
    <w:rsid w:val="00395CFA"/>
    <w:rsid w:val="00395D43"/>
    <w:rsid w:val="00395DBC"/>
    <w:rsid w:val="00395DE3"/>
    <w:rsid w:val="00395DF9"/>
    <w:rsid w:val="00396079"/>
    <w:rsid w:val="0039607F"/>
    <w:rsid w:val="003960D8"/>
    <w:rsid w:val="0039613D"/>
    <w:rsid w:val="0039627E"/>
    <w:rsid w:val="003962EA"/>
    <w:rsid w:val="00396301"/>
    <w:rsid w:val="00396365"/>
    <w:rsid w:val="00396487"/>
    <w:rsid w:val="00396494"/>
    <w:rsid w:val="00396507"/>
    <w:rsid w:val="003966AF"/>
    <w:rsid w:val="003966BD"/>
    <w:rsid w:val="00396708"/>
    <w:rsid w:val="0039674B"/>
    <w:rsid w:val="0039676F"/>
    <w:rsid w:val="003967C4"/>
    <w:rsid w:val="003967CE"/>
    <w:rsid w:val="00396830"/>
    <w:rsid w:val="003969E2"/>
    <w:rsid w:val="003969F1"/>
    <w:rsid w:val="00396A6A"/>
    <w:rsid w:val="00396AAE"/>
    <w:rsid w:val="00396ADF"/>
    <w:rsid w:val="00396AED"/>
    <w:rsid w:val="00396B8C"/>
    <w:rsid w:val="00396BB0"/>
    <w:rsid w:val="00396CC7"/>
    <w:rsid w:val="00396FC8"/>
    <w:rsid w:val="00396FE2"/>
    <w:rsid w:val="00397023"/>
    <w:rsid w:val="0039708C"/>
    <w:rsid w:val="0039714C"/>
    <w:rsid w:val="0039737F"/>
    <w:rsid w:val="00397520"/>
    <w:rsid w:val="003977A7"/>
    <w:rsid w:val="003977F2"/>
    <w:rsid w:val="0039784C"/>
    <w:rsid w:val="00397C1A"/>
    <w:rsid w:val="00397C93"/>
    <w:rsid w:val="00397CF6"/>
    <w:rsid w:val="00397EBA"/>
    <w:rsid w:val="00397F0D"/>
    <w:rsid w:val="00397F98"/>
    <w:rsid w:val="003A0113"/>
    <w:rsid w:val="003A019D"/>
    <w:rsid w:val="003A02AB"/>
    <w:rsid w:val="003A02FF"/>
    <w:rsid w:val="003A0358"/>
    <w:rsid w:val="003A0364"/>
    <w:rsid w:val="003A03BC"/>
    <w:rsid w:val="003A0606"/>
    <w:rsid w:val="003A06C5"/>
    <w:rsid w:val="003A06EA"/>
    <w:rsid w:val="003A06FF"/>
    <w:rsid w:val="003A078D"/>
    <w:rsid w:val="003A0908"/>
    <w:rsid w:val="003A0943"/>
    <w:rsid w:val="003A09E4"/>
    <w:rsid w:val="003A09EF"/>
    <w:rsid w:val="003A0A99"/>
    <w:rsid w:val="003A0C69"/>
    <w:rsid w:val="003A0C6F"/>
    <w:rsid w:val="003A0DCB"/>
    <w:rsid w:val="003A0E45"/>
    <w:rsid w:val="003A0E4E"/>
    <w:rsid w:val="003A1019"/>
    <w:rsid w:val="003A10C3"/>
    <w:rsid w:val="003A11B7"/>
    <w:rsid w:val="003A11CB"/>
    <w:rsid w:val="003A121A"/>
    <w:rsid w:val="003A1374"/>
    <w:rsid w:val="003A137F"/>
    <w:rsid w:val="003A13CA"/>
    <w:rsid w:val="003A14FB"/>
    <w:rsid w:val="003A156A"/>
    <w:rsid w:val="003A15F3"/>
    <w:rsid w:val="003A171E"/>
    <w:rsid w:val="003A1862"/>
    <w:rsid w:val="003A1983"/>
    <w:rsid w:val="003A19BC"/>
    <w:rsid w:val="003A1B5A"/>
    <w:rsid w:val="003A1D24"/>
    <w:rsid w:val="003A1DFA"/>
    <w:rsid w:val="003A201E"/>
    <w:rsid w:val="003A22BA"/>
    <w:rsid w:val="003A23B2"/>
    <w:rsid w:val="003A2426"/>
    <w:rsid w:val="003A25A3"/>
    <w:rsid w:val="003A268F"/>
    <w:rsid w:val="003A2726"/>
    <w:rsid w:val="003A2831"/>
    <w:rsid w:val="003A291C"/>
    <w:rsid w:val="003A2B59"/>
    <w:rsid w:val="003A2B5E"/>
    <w:rsid w:val="003A2E3A"/>
    <w:rsid w:val="003A2FB1"/>
    <w:rsid w:val="003A308C"/>
    <w:rsid w:val="003A3269"/>
    <w:rsid w:val="003A32E2"/>
    <w:rsid w:val="003A37D9"/>
    <w:rsid w:val="003A3893"/>
    <w:rsid w:val="003A3B07"/>
    <w:rsid w:val="003A3C58"/>
    <w:rsid w:val="003A3DDE"/>
    <w:rsid w:val="003A3E2B"/>
    <w:rsid w:val="003A3EB1"/>
    <w:rsid w:val="003A3EDF"/>
    <w:rsid w:val="003A4012"/>
    <w:rsid w:val="003A4135"/>
    <w:rsid w:val="003A4166"/>
    <w:rsid w:val="003A4186"/>
    <w:rsid w:val="003A41AE"/>
    <w:rsid w:val="003A4238"/>
    <w:rsid w:val="003A4327"/>
    <w:rsid w:val="003A4448"/>
    <w:rsid w:val="003A44B0"/>
    <w:rsid w:val="003A4541"/>
    <w:rsid w:val="003A46E5"/>
    <w:rsid w:val="003A4718"/>
    <w:rsid w:val="003A4755"/>
    <w:rsid w:val="003A499D"/>
    <w:rsid w:val="003A4A50"/>
    <w:rsid w:val="003A4B7D"/>
    <w:rsid w:val="003A4BD0"/>
    <w:rsid w:val="003A4C01"/>
    <w:rsid w:val="003A4CD8"/>
    <w:rsid w:val="003A4ED3"/>
    <w:rsid w:val="003A508A"/>
    <w:rsid w:val="003A5118"/>
    <w:rsid w:val="003A5150"/>
    <w:rsid w:val="003A5274"/>
    <w:rsid w:val="003A5280"/>
    <w:rsid w:val="003A53DC"/>
    <w:rsid w:val="003A5750"/>
    <w:rsid w:val="003A579E"/>
    <w:rsid w:val="003A57AD"/>
    <w:rsid w:val="003A5837"/>
    <w:rsid w:val="003A5883"/>
    <w:rsid w:val="003A59E3"/>
    <w:rsid w:val="003A5BD2"/>
    <w:rsid w:val="003A5CCD"/>
    <w:rsid w:val="003A5DD1"/>
    <w:rsid w:val="003A5E29"/>
    <w:rsid w:val="003A5ED8"/>
    <w:rsid w:val="003A5EF0"/>
    <w:rsid w:val="003A6018"/>
    <w:rsid w:val="003A657B"/>
    <w:rsid w:val="003A6C37"/>
    <w:rsid w:val="003A6D05"/>
    <w:rsid w:val="003A6D4E"/>
    <w:rsid w:val="003A6D70"/>
    <w:rsid w:val="003A6DE4"/>
    <w:rsid w:val="003A6DFF"/>
    <w:rsid w:val="003A7003"/>
    <w:rsid w:val="003A703A"/>
    <w:rsid w:val="003A7171"/>
    <w:rsid w:val="003A7474"/>
    <w:rsid w:val="003A763E"/>
    <w:rsid w:val="003A773F"/>
    <w:rsid w:val="003A77BF"/>
    <w:rsid w:val="003A78E5"/>
    <w:rsid w:val="003A79FD"/>
    <w:rsid w:val="003A7B12"/>
    <w:rsid w:val="003A7C2B"/>
    <w:rsid w:val="003A7E22"/>
    <w:rsid w:val="003A7F3F"/>
    <w:rsid w:val="003A7F41"/>
    <w:rsid w:val="003A7F8A"/>
    <w:rsid w:val="003A7FA2"/>
    <w:rsid w:val="003A7FF1"/>
    <w:rsid w:val="003B00B8"/>
    <w:rsid w:val="003B0135"/>
    <w:rsid w:val="003B07D0"/>
    <w:rsid w:val="003B087C"/>
    <w:rsid w:val="003B09B0"/>
    <w:rsid w:val="003B0C16"/>
    <w:rsid w:val="003B0D2C"/>
    <w:rsid w:val="003B0DFD"/>
    <w:rsid w:val="003B0E03"/>
    <w:rsid w:val="003B0E88"/>
    <w:rsid w:val="003B0F98"/>
    <w:rsid w:val="003B1065"/>
    <w:rsid w:val="003B120C"/>
    <w:rsid w:val="003B1299"/>
    <w:rsid w:val="003B16FD"/>
    <w:rsid w:val="003B174F"/>
    <w:rsid w:val="003B1867"/>
    <w:rsid w:val="003B1A49"/>
    <w:rsid w:val="003B1AD4"/>
    <w:rsid w:val="003B1ADE"/>
    <w:rsid w:val="003B1B45"/>
    <w:rsid w:val="003B1C90"/>
    <w:rsid w:val="003B1E7D"/>
    <w:rsid w:val="003B2090"/>
    <w:rsid w:val="003B20B0"/>
    <w:rsid w:val="003B2188"/>
    <w:rsid w:val="003B2256"/>
    <w:rsid w:val="003B2393"/>
    <w:rsid w:val="003B25EA"/>
    <w:rsid w:val="003B26BE"/>
    <w:rsid w:val="003B27E6"/>
    <w:rsid w:val="003B27EC"/>
    <w:rsid w:val="003B28B5"/>
    <w:rsid w:val="003B2998"/>
    <w:rsid w:val="003B2AE8"/>
    <w:rsid w:val="003B2B6D"/>
    <w:rsid w:val="003B2B7B"/>
    <w:rsid w:val="003B2C3D"/>
    <w:rsid w:val="003B2C69"/>
    <w:rsid w:val="003B2CEC"/>
    <w:rsid w:val="003B30AC"/>
    <w:rsid w:val="003B30EA"/>
    <w:rsid w:val="003B31FC"/>
    <w:rsid w:val="003B3312"/>
    <w:rsid w:val="003B33B6"/>
    <w:rsid w:val="003B340C"/>
    <w:rsid w:val="003B359C"/>
    <w:rsid w:val="003B37D5"/>
    <w:rsid w:val="003B3963"/>
    <w:rsid w:val="003B3A13"/>
    <w:rsid w:val="003B3B44"/>
    <w:rsid w:val="003B3C87"/>
    <w:rsid w:val="003B3E68"/>
    <w:rsid w:val="003B3E79"/>
    <w:rsid w:val="003B3F38"/>
    <w:rsid w:val="003B4128"/>
    <w:rsid w:val="003B41C2"/>
    <w:rsid w:val="003B436B"/>
    <w:rsid w:val="003B4431"/>
    <w:rsid w:val="003B449A"/>
    <w:rsid w:val="003B463A"/>
    <w:rsid w:val="003B46E1"/>
    <w:rsid w:val="003B4719"/>
    <w:rsid w:val="003B4742"/>
    <w:rsid w:val="003B47D1"/>
    <w:rsid w:val="003B4A8C"/>
    <w:rsid w:val="003B4B47"/>
    <w:rsid w:val="003B4C43"/>
    <w:rsid w:val="003B4CD8"/>
    <w:rsid w:val="003B4D55"/>
    <w:rsid w:val="003B4EB3"/>
    <w:rsid w:val="003B4EFB"/>
    <w:rsid w:val="003B51BF"/>
    <w:rsid w:val="003B54EB"/>
    <w:rsid w:val="003B54FA"/>
    <w:rsid w:val="003B559B"/>
    <w:rsid w:val="003B57B9"/>
    <w:rsid w:val="003B57DE"/>
    <w:rsid w:val="003B5849"/>
    <w:rsid w:val="003B58F9"/>
    <w:rsid w:val="003B59EF"/>
    <w:rsid w:val="003B59F7"/>
    <w:rsid w:val="003B5BEB"/>
    <w:rsid w:val="003B5D93"/>
    <w:rsid w:val="003B5E46"/>
    <w:rsid w:val="003B5E96"/>
    <w:rsid w:val="003B5EE7"/>
    <w:rsid w:val="003B5FDD"/>
    <w:rsid w:val="003B5FF5"/>
    <w:rsid w:val="003B60F2"/>
    <w:rsid w:val="003B6157"/>
    <w:rsid w:val="003B62F3"/>
    <w:rsid w:val="003B6365"/>
    <w:rsid w:val="003B64FF"/>
    <w:rsid w:val="003B652D"/>
    <w:rsid w:val="003B65B4"/>
    <w:rsid w:val="003B65EB"/>
    <w:rsid w:val="003B6755"/>
    <w:rsid w:val="003B67A5"/>
    <w:rsid w:val="003B681E"/>
    <w:rsid w:val="003B6915"/>
    <w:rsid w:val="003B69E5"/>
    <w:rsid w:val="003B6BE1"/>
    <w:rsid w:val="003B6C18"/>
    <w:rsid w:val="003B6DFD"/>
    <w:rsid w:val="003B6E03"/>
    <w:rsid w:val="003B6E0C"/>
    <w:rsid w:val="003B6E1E"/>
    <w:rsid w:val="003B6E90"/>
    <w:rsid w:val="003B6F61"/>
    <w:rsid w:val="003B6FF3"/>
    <w:rsid w:val="003B70C1"/>
    <w:rsid w:val="003B7136"/>
    <w:rsid w:val="003B7192"/>
    <w:rsid w:val="003B71FF"/>
    <w:rsid w:val="003B7221"/>
    <w:rsid w:val="003B72B0"/>
    <w:rsid w:val="003B72E1"/>
    <w:rsid w:val="003B7410"/>
    <w:rsid w:val="003B7479"/>
    <w:rsid w:val="003B74D6"/>
    <w:rsid w:val="003B7583"/>
    <w:rsid w:val="003B767E"/>
    <w:rsid w:val="003B76B8"/>
    <w:rsid w:val="003B77A9"/>
    <w:rsid w:val="003B7863"/>
    <w:rsid w:val="003B7912"/>
    <w:rsid w:val="003B798B"/>
    <w:rsid w:val="003B7A58"/>
    <w:rsid w:val="003B7A74"/>
    <w:rsid w:val="003B7CB2"/>
    <w:rsid w:val="003B7D7A"/>
    <w:rsid w:val="003B7E9F"/>
    <w:rsid w:val="003B7FE9"/>
    <w:rsid w:val="003C0004"/>
    <w:rsid w:val="003C0071"/>
    <w:rsid w:val="003C00A2"/>
    <w:rsid w:val="003C063A"/>
    <w:rsid w:val="003C06EC"/>
    <w:rsid w:val="003C0720"/>
    <w:rsid w:val="003C079F"/>
    <w:rsid w:val="003C0876"/>
    <w:rsid w:val="003C094E"/>
    <w:rsid w:val="003C09A2"/>
    <w:rsid w:val="003C0BF2"/>
    <w:rsid w:val="003C0C2A"/>
    <w:rsid w:val="003C0D62"/>
    <w:rsid w:val="003C0E21"/>
    <w:rsid w:val="003C0E6D"/>
    <w:rsid w:val="003C0F22"/>
    <w:rsid w:val="003C0FC2"/>
    <w:rsid w:val="003C103E"/>
    <w:rsid w:val="003C107A"/>
    <w:rsid w:val="003C10ED"/>
    <w:rsid w:val="003C11F3"/>
    <w:rsid w:val="003C1642"/>
    <w:rsid w:val="003C164B"/>
    <w:rsid w:val="003C16A0"/>
    <w:rsid w:val="003C1884"/>
    <w:rsid w:val="003C18D2"/>
    <w:rsid w:val="003C1927"/>
    <w:rsid w:val="003C1928"/>
    <w:rsid w:val="003C1992"/>
    <w:rsid w:val="003C1B08"/>
    <w:rsid w:val="003C1C10"/>
    <w:rsid w:val="003C1C1F"/>
    <w:rsid w:val="003C1F69"/>
    <w:rsid w:val="003C1FAA"/>
    <w:rsid w:val="003C20A5"/>
    <w:rsid w:val="003C20B3"/>
    <w:rsid w:val="003C217F"/>
    <w:rsid w:val="003C22DD"/>
    <w:rsid w:val="003C23BE"/>
    <w:rsid w:val="003C2424"/>
    <w:rsid w:val="003C25E8"/>
    <w:rsid w:val="003C2615"/>
    <w:rsid w:val="003C28F3"/>
    <w:rsid w:val="003C2902"/>
    <w:rsid w:val="003C2CA1"/>
    <w:rsid w:val="003C2F23"/>
    <w:rsid w:val="003C3217"/>
    <w:rsid w:val="003C33A6"/>
    <w:rsid w:val="003C3423"/>
    <w:rsid w:val="003C34BF"/>
    <w:rsid w:val="003C34D5"/>
    <w:rsid w:val="003C34F5"/>
    <w:rsid w:val="003C364A"/>
    <w:rsid w:val="003C36A8"/>
    <w:rsid w:val="003C36F7"/>
    <w:rsid w:val="003C3919"/>
    <w:rsid w:val="003C39C8"/>
    <w:rsid w:val="003C3A19"/>
    <w:rsid w:val="003C3D86"/>
    <w:rsid w:val="003C3E41"/>
    <w:rsid w:val="003C3E9D"/>
    <w:rsid w:val="003C3EA4"/>
    <w:rsid w:val="003C3EB3"/>
    <w:rsid w:val="003C3EBF"/>
    <w:rsid w:val="003C3F02"/>
    <w:rsid w:val="003C40DF"/>
    <w:rsid w:val="003C41FB"/>
    <w:rsid w:val="003C43FB"/>
    <w:rsid w:val="003C4495"/>
    <w:rsid w:val="003C44F0"/>
    <w:rsid w:val="003C4639"/>
    <w:rsid w:val="003C46BB"/>
    <w:rsid w:val="003C4A5A"/>
    <w:rsid w:val="003C4D0E"/>
    <w:rsid w:val="003C4E09"/>
    <w:rsid w:val="003C4EB2"/>
    <w:rsid w:val="003C4F5B"/>
    <w:rsid w:val="003C4FE9"/>
    <w:rsid w:val="003C51B2"/>
    <w:rsid w:val="003C5231"/>
    <w:rsid w:val="003C534F"/>
    <w:rsid w:val="003C53D7"/>
    <w:rsid w:val="003C5405"/>
    <w:rsid w:val="003C5477"/>
    <w:rsid w:val="003C55DA"/>
    <w:rsid w:val="003C5624"/>
    <w:rsid w:val="003C5646"/>
    <w:rsid w:val="003C57EC"/>
    <w:rsid w:val="003C57EE"/>
    <w:rsid w:val="003C597A"/>
    <w:rsid w:val="003C599A"/>
    <w:rsid w:val="003C5A23"/>
    <w:rsid w:val="003C5B28"/>
    <w:rsid w:val="003C5B6C"/>
    <w:rsid w:val="003C5D28"/>
    <w:rsid w:val="003C5D98"/>
    <w:rsid w:val="003C5DDD"/>
    <w:rsid w:val="003C5EC5"/>
    <w:rsid w:val="003C6025"/>
    <w:rsid w:val="003C6245"/>
    <w:rsid w:val="003C62E9"/>
    <w:rsid w:val="003C63A9"/>
    <w:rsid w:val="003C63FE"/>
    <w:rsid w:val="003C645B"/>
    <w:rsid w:val="003C64DD"/>
    <w:rsid w:val="003C664C"/>
    <w:rsid w:val="003C66AA"/>
    <w:rsid w:val="003C6962"/>
    <w:rsid w:val="003C69D5"/>
    <w:rsid w:val="003C6B7C"/>
    <w:rsid w:val="003C6CB9"/>
    <w:rsid w:val="003C6CC1"/>
    <w:rsid w:val="003C6D51"/>
    <w:rsid w:val="003C6D5F"/>
    <w:rsid w:val="003C6E3C"/>
    <w:rsid w:val="003C6F68"/>
    <w:rsid w:val="003C7017"/>
    <w:rsid w:val="003C70CB"/>
    <w:rsid w:val="003C70E0"/>
    <w:rsid w:val="003C70EE"/>
    <w:rsid w:val="003C717D"/>
    <w:rsid w:val="003C71F8"/>
    <w:rsid w:val="003C735B"/>
    <w:rsid w:val="003C73BF"/>
    <w:rsid w:val="003C75D8"/>
    <w:rsid w:val="003C7628"/>
    <w:rsid w:val="003C766E"/>
    <w:rsid w:val="003C77A1"/>
    <w:rsid w:val="003C7B0D"/>
    <w:rsid w:val="003C7B3E"/>
    <w:rsid w:val="003C7B54"/>
    <w:rsid w:val="003C7D4A"/>
    <w:rsid w:val="003C7D7C"/>
    <w:rsid w:val="003C7EC1"/>
    <w:rsid w:val="003C7F70"/>
    <w:rsid w:val="003D0010"/>
    <w:rsid w:val="003D017F"/>
    <w:rsid w:val="003D033A"/>
    <w:rsid w:val="003D04CC"/>
    <w:rsid w:val="003D04D9"/>
    <w:rsid w:val="003D069C"/>
    <w:rsid w:val="003D077D"/>
    <w:rsid w:val="003D0866"/>
    <w:rsid w:val="003D0A6C"/>
    <w:rsid w:val="003D0A95"/>
    <w:rsid w:val="003D0BFA"/>
    <w:rsid w:val="003D0C23"/>
    <w:rsid w:val="003D0C57"/>
    <w:rsid w:val="003D0C69"/>
    <w:rsid w:val="003D0CD5"/>
    <w:rsid w:val="003D0E03"/>
    <w:rsid w:val="003D0E6B"/>
    <w:rsid w:val="003D0E8A"/>
    <w:rsid w:val="003D0F8A"/>
    <w:rsid w:val="003D10EC"/>
    <w:rsid w:val="003D11BC"/>
    <w:rsid w:val="003D11EE"/>
    <w:rsid w:val="003D12ED"/>
    <w:rsid w:val="003D1338"/>
    <w:rsid w:val="003D14D9"/>
    <w:rsid w:val="003D1504"/>
    <w:rsid w:val="003D1523"/>
    <w:rsid w:val="003D16E9"/>
    <w:rsid w:val="003D17AB"/>
    <w:rsid w:val="003D17DB"/>
    <w:rsid w:val="003D180D"/>
    <w:rsid w:val="003D182B"/>
    <w:rsid w:val="003D184A"/>
    <w:rsid w:val="003D18A8"/>
    <w:rsid w:val="003D1B3E"/>
    <w:rsid w:val="003D1B4E"/>
    <w:rsid w:val="003D1C35"/>
    <w:rsid w:val="003D1C99"/>
    <w:rsid w:val="003D1CEB"/>
    <w:rsid w:val="003D1D77"/>
    <w:rsid w:val="003D1E08"/>
    <w:rsid w:val="003D1ED2"/>
    <w:rsid w:val="003D1F5C"/>
    <w:rsid w:val="003D1FA0"/>
    <w:rsid w:val="003D1FF8"/>
    <w:rsid w:val="003D206A"/>
    <w:rsid w:val="003D20FA"/>
    <w:rsid w:val="003D212E"/>
    <w:rsid w:val="003D21D0"/>
    <w:rsid w:val="003D2212"/>
    <w:rsid w:val="003D2336"/>
    <w:rsid w:val="003D2361"/>
    <w:rsid w:val="003D2570"/>
    <w:rsid w:val="003D257C"/>
    <w:rsid w:val="003D25AB"/>
    <w:rsid w:val="003D25E3"/>
    <w:rsid w:val="003D2616"/>
    <w:rsid w:val="003D26EA"/>
    <w:rsid w:val="003D27E5"/>
    <w:rsid w:val="003D282A"/>
    <w:rsid w:val="003D2892"/>
    <w:rsid w:val="003D29FC"/>
    <w:rsid w:val="003D2CAB"/>
    <w:rsid w:val="003D2D74"/>
    <w:rsid w:val="003D2DEC"/>
    <w:rsid w:val="003D2DF6"/>
    <w:rsid w:val="003D31AD"/>
    <w:rsid w:val="003D31EB"/>
    <w:rsid w:val="003D324B"/>
    <w:rsid w:val="003D34D5"/>
    <w:rsid w:val="003D350E"/>
    <w:rsid w:val="003D35EA"/>
    <w:rsid w:val="003D360E"/>
    <w:rsid w:val="003D3668"/>
    <w:rsid w:val="003D3723"/>
    <w:rsid w:val="003D37F1"/>
    <w:rsid w:val="003D3843"/>
    <w:rsid w:val="003D38DE"/>
    <w:rsid w:val="003D3925"/>
    <w:rsid w:val="003D3A9B"/>
    <w:rsid w:val="003D3AA4"/>
    <w:rsid w:val="003D3B00"/>
    <w:rsid w:val="003D3B3A"/>
    <w:rsid w:val="003D3CB7"/>
    <w:rsid w:val="003D3D2D"/>
    <w:rsid w:val="003D3D40"/>
    <w:rsid w:val="003D3DAE"/>
    <w:rsid w:val="003D3F5F"/>
    <w:rsid w:val="003D3FE3"/>
    <w:rsid w:val="003D3FE9"/>
    <w:rsid w:val="003D41DB"/>
    <w:rsid w:val="003D43C3"/>
    <w:rsid w:val="003D4707"/>
    <w:rsid w:val="003D4723"/>
    <w:rsid w:val="003D47D6"/>
    <w:rsid w:val="003D47E9"/>
    <w:rsid w:val="003D4801"/>
    <w:rsid w:val="003D4847"/>
    <w:rsid w:val="003D4982"/>
    <w:rsid w:val="003D499C"/>
    <w:rsid w:val="003D49B9"/>
    <w:rsid w:val="003D4B0B"/>
    <w:rsid w:val="003D4C19"/>
    <w:rsid w:val="003D4C1F"/>
    <w:rsid w:val="003D4DC0"/>
    <w:rsid w:val="003D4E67"/>
    <w:rsid w:val="003D4F29"/>
    <w:rsid w:val="003D5539"/>
    <w:rsid w:val="003D5654"/>
    <w:rsid w:val="003D5A04"/>
    <w:rsid w:val="003D5AB4"/>
    <w:rsid w:val="003D5C0C"/>
    <w:rsid w:val="003D5C92"/>
    <w:rsid w:val="003D5E0C"/>
    <w:rsid w:val="003D5F97"/>
    <w:rsid w:val="003D600F"/>
    <w:rsid w:val="003D606C"/>
    <w:rsid w:val="003D6097"/>
    <w:rsid w:val="003D6198"/>
    <w:rsid w:val="003D62E3"/>
    <w:rsid w:val="003D6343"/>
    <w:rsid w:val="003D6354"/>
    <w:rsid w:val="003D63A1"/>
    <w:rsid w:val="003D63BD"/>
    <w:rsid w:val="003D64DB"/>
    <w:rsid w:val="003D6628"/>
    <w:rsid w:val="003D67E1"/>
    <w:rsid w:val="003D6881"/>
    <w:rsid w:val="003D68BB"/>
    <w:rsid w:val="003D698E"/>
    <w:rsid w:val="003D6A0A"/>
    <w:rsid w:val="003D6A35"/>
    <w:rsid w:val="003D6C41"/>
    <w:rsid w:val="003D6D02"/>
    <w:rsid w:val="003D6D2A"/>
    <w:rsid w:val="003D6DAD"/>
    <w:rsid w:val="003D6E4F"/>
    <w:rsid w:val="003D7054"/>
    <w:rsid w:val="003D7171"/>
    <w:rsid w:val="003D722D"/>
    <w:rsid w:val="003D729A"/>
    <w:rsid w:val="003D743F"/>
    <w:rsid w:val="003D7463"/>
    <w:rsid w:val="003D7538"/>
    <w:rsid w:val="003D7858"/>
    <w:rsid w:val="003D786B"/>
    <w:rsid w:val="003D7919"/>
    <w:rsid w:val="003D7931"/>
    <w:rsid w:val="003D7AF1"/>
    <w:rsid w:val="003D7CE0"/>
    <w:rsid w:val="003D7E79"/>
    <w:rsid w:val="003E004F"/>
    <w:rsid w:val="003E00FA"/>
    <w:rsid w:val="003E0111"/>
    <w:rsid w:val="003E0173"/>
    <w:rsid w:val="003E02F5"/>
    <w:rsid w:val="003E0383"/>
    <w:rsid w:val="003E03AD"/>
    <w:rsid w:val="003E0675"/>
    <w:rsid w:val="003E069E"/>
    <w:rsid w:val="003E07AC"/>
    <w:rsid w:val="003E07C2"/>
    <w:rsid w:val="003E080D"/>
    <w:rsid w:val="003E08C0"/>
    <w:rsid w:val="003E0A6A"/>
    <w:rsid w:val="003E0A97"/>
    <w:rsid w:val="003E0DA8"/>
    <w:rsid w:val="003E0E5D"/>
    <w:rsid w:val="003E0F7E"/>
    <w:rsid w:val="003E0F80"/>
    <w:rsid w:val="003E0FB4"/>
    <w:rsid w:val="003E1163"/>
    <w:rsid w:val="003E1267"/>
    <w:rsid w:val="003E12B0"/>
    <w:rsid w:val="003E12B5"/>
    <w:rsid w:val="003E133B"/>
    <w:rsid w:val="003E15FF"/>
    <w:rsid w:val="003E165D"/>
    <w:rsid w:val="003E1966"/>
    <w:rsid w:val="003E198F"/>
    <w:rsid w:val="003E1A08"/>
    <w:rsid w:val="003E1AB2"/>
    <w:rsid w:val="003E1B22"/>
    <w:rsid w:val="003E1B4B"/>
    <w:rsid w:val="003E1C63"/>
    <w:rsid w:val="003E1DB4"/>
    <w:rsid w:val="003E1E95"/>
    <w:rsid w:val="003E1F25"/>
    <w:rsid w:val="003E20D3"/>
    <w:rsid w:val="003E2202"/>
    <w:rsid w:val="003E22BE"/>
    <w:rsid w:val="003E2379"/>
    <w:rsid w:val="003E2465"/>
    <w:rsid w:val="003E24CA"/>
    <w:rsid w:val="003E2543"/>
    <w:rsid w:val="003E267A"/>
    <w:rsid w:val="003E2722"/>
    <w:rsid w:val="003E27B7"/>
    <w:rsid w:val="003E27DC"/>
    <w:rsid w:val="003E287A"/>
    <w:rsid w:val="003E28D6"/>
    <w:rsid w:val="003E292D"/>
    <w:rsid w:val="003E2A0F"/>
    <w:rsid w:val="003E2A12"/>
    <w:rsid w:val="003E2BF5"/>
    <w:rsid w:val="003E2CE6"/>
    <w:rsid w:val="003E2DBB"/>
    <w:rsid w:val="003E3187"/>
    <w:rsid w:val="003E34CA"/>
    <w:rsid w:val="003E356E"/>
    <w:rsid w:val="003E373A"/>
    <w:rsid w:val="003E3750"/>
    <w:rsid w:val="003E38B3"/>
    <w:rsid w:val="003E3947"/>
    <w:rsid w:val="003E3AC9"/>
    <w:rsid w:val="003E3B1E"/>
    <w:rsid w:val="003E3DB0"/>
    <w:rsid w:val="003E3E1D"/>
    <w:rsid w:val="003E3F98"/>
    <w:rsid w:val="003E41E2"/>
    <w:rsid w:val="003E4270"/>
    <w:rsid w:val="003E4366"/>
    <w:rsid w:val="003E44FD"/>
    <w:rsid w:val="003E4629"/>
    <w:rsid w:val="003E467D"/>
    <w:rsid w:val="003E46D4"/>
    <w:rsid w:val="003E484B"/>
    <w:rsid w:val="003E49AB"/>
    <w:rsid w:val="003E4B75"/>
    <w:rsid w:val="003E4C24"/>
    <w:rsid w:val="003E4C54"/>
    <w:rsid w:val="003E4DEB"/>
    <w:rsid w:val="003E4E4A"/>
    <w:rsid w:val="003E4E94"/>
    <w:rsid w:val="003E4F97"/>
    <w:rsid w:val="003E5154"/>
    <w:rsid w:val="003E5357"/>
    <w:rsid w:val="003E5379"/>
    <w:rsid w:val="003E549F"/>
    <w:rsid w:val="003E55D6"/>
    <w:rsid w:val="003E56B2"/>
    <w:rsid w:val="003E56B9"/>
    <w:rsid w:val="003E5725"/>
    <w:rsid w:val="003E5991"/>
    <w:rsid w:val="003E5B69"/>
    <w:rsid w:val="003E5C57"/>
    <w:rsid w:val="003E5D2D"/>
    <w:rsid w:val="003E5DCA"/>
    <w:rsid w:val="003E5DFA"/>
    <w:rsid w:val="003E5E12"/>
    <w:rsid w:val="003E5E59"/>
    <w:rsid w:val="003E5FA6"/>
    <w:rsid w:val="003E5FE9"/>
    <w:rsid w:val="003E6316"/>
    <w:rsid w:val="003E638E"/>
    <w:rsid w:val="003E649E"/>
    <w:rsid w:val="003E6531"/>
    <w:rsid w:val="003E66C4"/>
    <w:rsid w:val="003E6B70"/>
    <w:rsid w:val="003E6C00"/>
    <w:rsid w:val="003E6D3A"/>
    <w:rsid w:val="003E6DD0"/>
    <w:rsid w:val="003E6E15"/>
    <w:rsid w:val="003E7290"/>
    <w:rsid w:val="003E734A"/>
    <w:rsid w:val="003E7364"/>
    <w:rsid w:val="003E73E1"/>
    <w:rsid w:val="003E747F"/>
    <w:rsid w:val="003E77A1"/>
    <w:rsid w:val="003E7890"/>
    <w:rsid w:val="003E793F"/>
    <w:rsid w:val="003E79C8"/>
    <w:rsid w:val="003E7B43"/>
    <w:rsid w:val="003E7D14"/>
    <w:rsid w:val="003E7D26"/>
    <w:rsid w:val="003E7D54"/>
    <w:rsid w:val="003E7D58"/>
    <w:rsid w:val="003E7F17"/>
    <w:rsid w:val="003E7F8D"/>
    <w:rsid w:val="003E7FB9"/>
    <w:rsid w:val="003E7FDA"/>
    <w:rsid w:val="003E7FEC"/>
    <w:rsid w:val="003F01A5"/>
    <w:rsid w:val="003F02C1"/>
    <w:rsid w:val="003F02D6"/>
    <w:rsid w:val="003F04BA"/>
    <w:rsid w:val="003F0644"/>
    <w:rsid w:val="003F0732"/>
    <w:rsid w:val="003F0754"/>
    <w:rsid w:val="003F0865"/>
    <w:rsid w:val="003F0987"/>
    <w:rsid w:val="003F09A5"/>
    <w:rsid w:val="003F09F6"/>
    <w:rsid w:val="003F0AE3"/>
    <w:rsid w:val="003F0DB1"/>
    <w:rsid w:val="003F0F61"/>
    <w:rsid w:val="003F1138"/>
    <w:rsid w:val="003F1294"/>
    <w:rsid w:val="003F13A1"/>
    <w:rsid w:val="003F1549"/>
    <w:rsid w:val="003F15C3"/>
    <w:rsid w:val="003F17F5"/>
    <w:rsid w:val="003F1835"/>
    <w:rsid w:val="003F185E"/>
    <w:rsid w:val="003F18D8"/>
    <w:rsid w:val="003F1A95"/>
    <w:rsid w:val="003F1C54"/>
    <w:rsid w:val="003F1CA6"/>
    <w:rsid w:val="003F1D29"/>
    <w:rsid w:val="003F1D5E"/>
    <w:rsid w:val="003F1FAC"/>
    <w:rsid w:val="003F2002"/>
    <w:rsid w:val="003F23D4"/>
    <w:rsid w:val="003F2483"/>
    <w:rsid w:val="003F2791"/>
    <w:rsid w:val="003F2794"/>
    <w:rsid w:val="003F2871"/>
    <w:rsid w:val="003F2929"/>
    <w:rsid w:val="003F29D8"/>
    <w:rsid w:val="003F2AE1"/>
    <w:rsid w:val="003F2BDA"/>
    <w:rsid w:val="003F2BDD"/>
    <w:rsid w:val="003F2D6E"/>
    <w:rsid w:val="003F2E6B"/>
    <w:rsid w:val="003F2F57"/>
    <w:rsid w:val="003F30AC"/>
    <w:rsid w:val="003F32C2"/>
    <w:rsid w:val="003F3334"/>
    <w:rsid w:val="003F3366"/>
    <w:rsid w:val="003F340D"/>
    <w:rsid w:val="003F34C9"/>
    <w:rsid w:val="003F35E1"/>
    <w:rsid w:val="003F3653"/>
    <w:rsid w:val="003F36CB"/>
    <w:rsid w:val="003F3854"/>
    <w:rsid w:val="003F3A6B"/>
    <w:rsid w:val="003F3A9C"/>
    <w:rsid w:val="003F3B78"/>
    <w:rsid w:val="003F3DF3"/>
    <w:rsid w:val="003F3E30"/>
    <w:rsid w:val="003F3FAA"/>
    <w:rsid w:val="003F3FBC"/>
    <w:rsid w:val="003F4038"/>
    <w:rsid w:val="003F4225"/>
    <w:rsid w:val="003F4326"/>
    <w:rsid w:val="003F4348"/>
    <w:rsid w:val="003F43EA"/>
    <w:rsid w:val="003F43F4"/>
    <w:rsid w:val="003F445F"/>
    <w:rsid w:val="003F454F"/>
    <w:rsid w:val="003F47EB"/>
    <w:rsid w:val="003F48ED"/>
    <w:rsid w:val="003F4929"/>
    <w:rsid w:val="003F498F"/>
    <w:rsid w:val="003F49C9"/>
    <w:rsid w:val="003F49F4"/>
    <w:rsid w:val="003F4B92"/>
    <w:rsid w:val="003F4E93"/>
    <w:rsid w:val="003F4EC8"/>
    <w:rsid w:val="003F4ECF"/>
    <w:rsid w:val="003F4F5A"/>
    <w:rsid w:val="003F4FC7"/>
    <w:rsid w:val="003F538D"/>
    <w:rsid w:val="003F53BA"/>
    <w:rsid w:val="003F5415"/>
    <w:rsid w:val="003F5441"/>
    <w:rsid w:val="003F554F"/>
    <w:rsid w:val="003F5872"/>
    <w:rsid w:val="003F5976"/>
    <w:rsid w:val="003F5A34"/>
    <w:rsid w:val="003F5ACA"/>
    <w:rsid w:val="003F5B2B"/>
    <w:rsid w:val="003F5B58"/>
    <w:rsid w:val="003F5D29"/>
    <w:rsid w:val="003F5DEF"/>
    <w:rsid w:val="003F5EA3"/>
    <w:rsid w:val="003F5EDA"/>
    <w:rsid w:val="003F5F75"/>
    <w:rsid w:val="003F615A"/>
    <w:rsid w:val="003F617A"/>
    <w:rsid w:val="003F6233"/>
    <w:rsid w:val="003F638B"/>
    <w:rsid w:val="003F648E"/>
    <w:rsid w:val="003F6865"/>
    <w:rsid w:val="003F6A47"/>
    <w:rsid w:val="003F6AC4"/>
    <w:rsid w:val="003F6AC9"/>
    <w:rsid w:val="003F6B02"/>
    <w:rsid w:val="003F6B03"/>
    <w:rsid w:val="003F6B9E"/>
    <w:rsid w:val="003F6C58"/>
    <w:rsid w:val="003F6DFE"/>
    <w:rsid w:val="003F6F7B"/>
    <w:rsid w:val="003F6FCA"/>
    <w:rsid w:val="003F71E1"/>
    <w:rsid w:val="003F72B5"/>
    <w:rsid w:val="003F72B8"/>
    <w:rsid w:val="003F7355"/>
    <w:rsid w:val="003F7519"/>
    <w:rsid w:val="003F7522"/>
    <w:rsid w:val="003F7645"/>
    <w:rsid w:val="003F765D"/>
    <w:rsid w:val="003F7660"/>
    <w:rsid w:val="003F76ED"/>
    <w:rsid w:val="003F76F6"/>
    <w:rsid w:val="003F780F"/>
    <w:rsid w:val="003F785D"/>
    <w:rsid w:val="003F7913"/>
    <w:rsid w:val="003F797C"/>
    <w:rsid w:val="003F7C72"/>
    <w:rsid w:val="003F7C95"/>
    <w:rsid w:val="003F7DBE"/>
    <w:rsid w:val="003F7FFC"/>
    <w:rsid w:val="004000FC"/>
    <w:rsid w:val="004001EF"/>
    <w:rsid w:val="004003A6"/>
    <w:rsid w:val="00400483"/>
    <w:rsid w:val="004005B7"/>
    <w:rsid w:val="00400701"/>
    <w:rsid w:val="00400731"/>
    <w:rsid w:val="00400972"/>
    <w:rsid w:val="00400A70"/>
    <w:rsid w:val="00400BB7"/>
    <w:rsid w:val="00400D25"/>
    <w:rsid w:val="00400D7D"/>
    <w:rsid w:val="00400E07"/>
    <w:rsid w:val="00400FBD"/>
    <w:rsid w:val="00401077"/>
    <w:rsid w:val="00401177"/>
    <w:rsid w:val="004011AD"/>
    <w:rsid w:val="004013D3"/>
    <w:rsid w:val="0040149A"/>
    <w:rsid w:val="004014A7"/>
    <w:rsid w:val="004014F0"/>
    <w:rsid w:val="0040150F"/>
    <w:rsid w:val="004016B3"/>
    <w:rsid w:val="004016E0"/>
    <w:rsid w:val="00401777"/>
    <w:rsid w:val="004018AD"/>
    <w:rsid w:val="004018AE"/>
    <w:rsid w:val="00401999"/>
    <w:rsid w:val="004019E2"/>
    <w:rsid w:val="00401A2E"/>
    <w:rsid w:val="00401AF5"/>
    <w:rsid w:val="00401B43"/>
    <w:rsid w:val="00401B85"/>
    <w:rsid w:val="00401F4C"/>
    <w:rsid w:val="0040223D"/>
    <w:rsid w:val="004022B4"/>
    <w:rsid w:val="004023CD"/>
    <w:rsid w:val="00402527"/>
    <w:rsid w:val="00402571"/>
    <w:rsid w:val="0040279A"/>
    <w:rsid w:val="004027C6"/>
    <w:rsid w:val="0040280D"/>
    <w:rsid w:val="00402827"/>
    <w:rsid w:val="00402926"/>
    <w:rsid w:val="0040297C"/>
    <w:rsid w:val="00402A0B"/>
    <w:rsid w:val="00402A49"/>
    <w:rsid w:val="00402A57"/>
    <w:rsid w:val="00402BFA"/>
    <w:rsid w:val="00402CA0"/>
    <w:rsid w:val="00402D29"/>
    <w:rsid w:val="00402D6F"/>
    <w:rsid w:val="00402F08"/>
    <w:rsid w:val="00402F8C"/>
    <w:rsid w:val="00402FB9"/>
    <w:rsid w:val="00402FF1"/>
    <w:rsid w:val="00403134"/>
    <w:rsid w:val="004031C2"/>
    <w:rsid w:val="004031C4"/>
    <w:rsid w:val="00403255"/>
    <w:rsid w:val="00403367"/>
    <w:rsid w:val="004033F7"/>
    <w:rsid w:val="0040349A"/>
    <w:rsid w:val="00403592"/>
    <w:rsid w:val="004035F1"/>
    <w:rsid w:val="00403607"/>
    <w:rsid w:val="0040364B"/>
    <w:rsid w:val="004037C4"/>
    <w:rsid w:val="0040384F"/>
    <w:rsid w:val="00403899"/>
    <w:rsid w:val="00403A04"/>
    <w:rsid w:val="00403BF6"/>
    <w:rsid w:val="00403D65"/>
    <w:rsid w:val="00403DC5"/>
    <w:rsid w:val="00403F09"/>
    <w:rsid w:val="004040C4"/>
    <w:rsid w:val="0040418E"/>
    <w:rsid w:val="004041E0"/>
    <w:rsid w:val="004042BF"/>
    <w:rsid w:val="00404340"/>
    <w:rsid w:val="00404383"/>
    <w:rsid w:val="00404569"/>
    <w:rsid w:val="00404585"/>
    <w:rsid w:val="004046F1"/>
    <w:rsid w:val="00404760"/>
    <w:rsid w:val="004048E7"/>
    <w:rsid w:val="00404A68"/>
    <w:rsid w:val="00404AB7"/>
    <w:rsid w:val="00404B0E"/>
    <w:rsid w:val="00404B50"/>
    <w:rsid w:val="00404D53"/>
    <w:rsid w:val="00405027"/>
    <w:rsid w:val="004050CF"/>
    <w:rsid w:val="00405106"/>
    <w:rsid w:val="00405228"/>
    <w:rsid w:val="0040522E"/>
    <w:rsid w:val="004053FE"/>
    <w:rsid w:val="004055AE"/>
    <w:rsid w:val="00405793"/>
    <w:rsid w:val="00405B53"/>
    <w:rsid w:val="00405B58"/>
    <w:rsid w:val="00405C00"/>
    <w:rsid w:val="00405C27"/>
    <w:rsid w:val="00405D97"/>
    <w:rsid w:val="00405E1A"/>
    <w:rsid w:val="00405F0E"/>
    <w:rsid w:val="00405F10"/>
    <w:rsid w:val="00406063"/>
    <w:rsid w:val="00406086"/>
    <w:rsid w:val="00406288"/>
    <w:rsid w:val="004062D1"/>
    <w:rsid w:val="004063C4"/>
    <w:rsid w:val="00406411"/>
    <w:rsid w:val="004064BF"/>
    <w:rsid w:val="0040659B"/>
    <w:rsid w:val="00406882"/>
    <w:rsid w:val="004069E0"/>
    <w:rsid w:val="00406A26"/>
    <w:rsid w:val="00406B7D"/>
    <w:rsid w:val="00406D06"/>
    <w:rsid w:val="00406DC9"/>
    <w:rsid w:val="00406DCF"/>
    <w:rsid w:val="00406EDF"/>
    <w:rsid w:val="00406EE5"/>
    <w:rsid w:val="00406F64"/>
    <w:rsid w:val="0040701F"/>
    <w:rsid w:val="004071C5"/>
    <w:rsid w:val="004071F0"/>
    <w:rsid w:val="0040728C"/>
    <w:rsid w:val="004073D3"/>
    <w:rsid w:val="004073D6"/>
    <w:rsid w:val="004074A9"/>
    <w:rsid w:val="004078C6"/>
    <w:rsid w:val="00407968"/>
    <w:rsid w:val="0040796D"/>
    <w:rsid w:val="004079BC"/>
    <w:rsid w:val="00407A39"/>
    <w:rsid w:val="00407AA7"/>
    <w:rsid w:val="00407B3F"/>
    <w:rsid w:val="00407BD5"/>
    <w:rsid w:val="00407C3F"/>
    <w:rsid w:val="00407C6B"/>
    <w:rsid w:val="00407C7C"/>
    <w:rsid w:val="00407DA3"/>
    <w:rsid w:val="00407DBD"/>
    <w:rsid w:val="00407EAD"/>
    <w:rsid w:val="00407F72"/>
    <w:rsid w:val="00407F7C"/>
    <w:rsid w:val="00407FA4"/>
    <w:rsid w:val="0040F978"/>
    <w:rsid w:val="004101A5"/>
    <w:rsid w:val="00410226"/>
    <w:rsid w:val="0041024F"/>
    <w:rsid w:val="004106B4"/>
    <w:rsid w:val="0041076D"/>
    <w:rsid w:val="004107C9"/>
    <w:rsid w:val="0041098E"/>
    <w:rsid w:val="004109FC"/>
    <w:rsid w:val="00410A46"/>
    <w:rsid w:val="00410A81"/>
    <w:rsid w:val="00410BB1"/>
    <w:rsid w:val="00410BD5"/>
    <w:rsid w:val="00410D07"/>
    <w:rsid w:val="00410DC2"/>
    <w:rsid w:val="00410E0D"/>
    <w:rsid w:val="00410E3A"/>
    <w:rsid w:val="00410E55"/>
    <w:rsid w:val="00410F6C"/>
    <w:rsid w:val="00410FBC"/>
    <w:rsid w:val="00411084"/>
    <w:rsid w:val="00411085"/>
    <w:rsid w:val="0041132B"/>
    <w:rsid w:val="00411421"/>
    <w:rsid w:val="004114AC"/>
    <w:rsid w:val="004114C5"/>
    <w:rsid w:val="00411564"/>
    <w:rsid w:val="004116A6"/>
    <w:rsid w:val="004116EB"/>
    <w:rsid w:val="0041182C"/>
    <w:rsid w:val="00411869"/>
    <w:rsid w:val="004118CC"/>
    <w:rsid w:val="00411942"/>
    <w:rsid w:val="0041195A"/>
    <w:rsid w:val="00411B0B"/>
    <w:rsid w:val="00411B2C"/>
    <w:rsid w:val="00411B75"/>
    <w:rsid w:val="00411C10"/>
    <w:rsid w:val="00411C4C"/>
    <w:rsid w:val="00411C93"/>
    <w:rsid w:val="00411D22"/>
    <w:rsid w:val="00411D58"/>
    <w:rsid w:val="00411D65"/>
    <w:rsid w:val="00411D6C"/>
    <w:rsid w:val="00411D87"/>
    <w:rsid w:val="00412000"/>
    <w:rsid w:val="00412204"/>
    <w:rsid w:val="004125CD"/>
    <w:rsid w:val="004126B2"/>
    <w:rsid w:val="004126C3"/>
    <w:rsid w:val="004127BC"/>
    <w:rsid w:val="004129F9"/>
    <w:rsid w:val="00412BAE"/>
    <w:rsid w:val="00412EBE"/>
    <w:rsid w:val="00412F5E"/>
    <w:rsid w:val="00412FA8"/>
    <w:rsid w:val="00412FC9"/>
    <w:rsid w:val="00412FE9"/>
    <w:rsid w:val="00413013"/>
    <w:rsid w:val="004131C1"/>
    <w:rsid w:val="00413382"/>
    <w:rsid w:val="004133D5"/>
    <w:rsid w:val="0041348B"/>
    <w:rsid w:val="00413500"/>
    <w:rsid w:val="0041351F"/>
    <w:rsid w:val="00413630"/>
    <w:rsid w:val="00413668"/>
    <w:rsid w:val="004136EB"/>
    <w:rsid w:val="00413770"/>
    <w:rsid w:val="004137D5"/>
    <w:rsid w:val="0041387A"/>
    <w:rsid w:val="004138A9"/>
    <w:rsid w:val="00413915"/>
    <w:rsid w:val="00413C5A"/>
    <w:rsid w:val="00413EAF"/>
    <w:rsid w:val="00413F17"/>
    <w:rsid w:val="00413F82"/>
    <w:rsid w:val="0041446F"/>
    <w:rsid w:val="004144E8"/>
    <w:rsid w:val="00414596"/>
    <w:rsid w:val="004145C4"/>
    <w:rsid w:val="00414793"/>
    <w:rsid w:val="00414C83"/>
    <w:rsid w:val="00414D12"/>
    <w:rsid w:val="00414D7A"/>
    <w:rsid w:val="00414D8C"/>
    <w:rsid w:val="00414DBB"/>
    <w:rsid w:val="00414E28"/>
    <w:rsid w:val="00414ED5"/>
    <w:rsid w:val="00415009"/>
    <w:rsid w:val="004150D4"/>
    <w:rsid w:val="004154F7"/>
    <w:rsid w:val="0041567B"/>
    <w:rsid w:val="00415AFC"/>
    <w:rsid w:val="00415BC1"/>
    <w:rsid w:val="00415D03"/>
    <w:rsid w:val="00415DC2"/>
    <w:rsid w:val="0041603D"/>
    <w:rsid w:val="0041622C"/>
    <w:rsid w:val="0041651C"/>
    <w:rsid w:val="0041661D"/>
    <w:rsid w:val="0041664A"/>
    <w:rsid w:val="00416696"/>
    <w:rsid w:val="0041671E"/>
    <w:rsid w:val="004168F6"/>
    <w:rsid w:val="00416977"/>
    <w:rsid w:val="00416A35"/>
    <w:rsid w:val="00416BDB"/>
    <w:rsid w:val="00416E11"/>
    <w:rsid w:val="00416E60"/>
    <w:rsid w:val="00416EAB"/>
    <w:rsid w:val="00417092"/>
    <w:rsid w:val="004170F4"/>
    <w:rsid w:val="00417166"/>
    <w:rsid w:val="0041725C"/>
    <w:rsid w:val="004172C9"/>
    <w:rsid w:val="004173A3"/>
    <w:rsid w:val="004173F9"/>
    <w:rsid w:val="004175B2"/>
    <w:rsid w:val="004175DB"/>
    <w:rsid w:val="004175FC"/>
    <w:rsid w:val="004176C9"/>
    <w:rsid w:val="004176EC"/>
    <w:rsid w:val="00417789"/>
    <w:rsid w:val="004178DB"/>
    <w:rsid w:val="004178F2"/>
    <w:rsid w:val="00417A47"/>
    <w:rsid w:val="00417A69"/>
    <w:rsid w:val="00417AB8"/>
    <w:rsid w:val="00417B79"/>
    <w:rsid w:val="00417D8B"/>
    <w:rsid w:val="004201FE"/>
    <w:rsid w:val="004202CF"/>
    <w:rsid w:val="00420335"/>
    <w:rsid w:val="0042047E"/>
    <w:rsid w:val="00420573"/>
    <w:rsid w:val="004206F8"/>
    <w:rsid w:val="00420728"/>
    <w:rsid w:val="004208D4"/>
    <w:rsid w:val="00420A74"/>
    <w:rsid w:val="00420ECD"/>
    <w:rsid w:val="00420F1A"/>
    <w:rsid w:val="00420F83"/>
    <w:rsid w:val="00421067"/>
    <w:rsid w:val="00421075"/>
    <w:rsid w:val="004210F8"/>
    <w:rsid w:val="00421115"/>
    <w:rsid w:val="00421143"/>
    <w:rsid w:val="0042116D"/>
    <w:rsid w:val="00421229"/>
    <w:rsid w:val="00421233"/>
    <w:rsid w:val="0042144F"/>
    <w:rsid w:val="004214B3"/>
    <w:rsid w:val="00421579"/>
    <w:rsid w:val="004217BB"/>
    <w:rsid w:val="004217C9"/>
    <w:rsid w:val="004217EB"/>
    <w:rsid w:val="00421878"/>
    <w:rsid w:val="004218BD"/>
    <w:rsid w:val="00421966"/>
    <w:rsid w:val="00421C06"/>
    <w:rsid w:val="00421C95"/>
    <w:rsid w:val="00421D14"/>
    <w:rsid w:val="00421D6D"/>
    <w:rsid w:val="00422113"/>
    <w:rsid w:val="004224E6"/>
    <w:rsid w:val="004226D7"/>
    <w:rsid w:val="004229FA"/>
    <w:rsid w:val="00422AF5"/>
    <w:rsid w:val="00422B9C"/>
    <w:rsid w:val="00422BFB"/>
    <w:rsid w:val="00422CFF"/>
    <w:rsid w:val="00422DCE"/>
    <w:rsid w:val="004230A5"/>
    <w:rsid w:val="0042317E"/>
    <w:rsid w:val="004232AE"/>
    <w:rsid w:val="0042337F"/>
    <w:rsid w:val="004233A8"/>
    <w:rsid w:val="004234B8"/>
    <w:rsid w:val="00423679"/>
    <w:rsid w:val="004236B8"/>
    <w:rsid w:val="00423806"/>
    <w:rsid w:val="00423872"/>
    <w:rsid w:val="00423A88"/>
    <w:rsid w:val="00423B1C"/>
    <w:rsid w:val="00423D12"/>
    <w:rsid w:val="00423D6C"/>
    <w:rsid w:val="00423F8E"/>
    <w:rsid w:val="00423FD8"/>
    <w:rsid w:val="0042400C"/>
    <w:rsid w:val="00424011"/>
    <w:rsid w:val="0042420D"/>
    <w:rsid w:val="0042425A"/>
    <w:rsid w:val="004245E0"/>
    <w:rsid w:val="00424608"/>
    <w:rsid w:val="004247A6"/>
    <w:rsid w:val="00424A1B"/>
    <w:rsid w:val="00424A5A"/>
    <w:rsid w:val="00424AB7"/>
    <w:rsid w:val="00424CAD"/>
    <w:rsid w:val="00424F46"/>
    <w:rsid w:val="00424F48"/>
    <w:rsid w:val="0042510C"/>
    <w:rsid w:val="0042518A"/>
    <w:rsid w:val="00425418"/>
    <w:rsid w:val="004254C0"/>
    <w:rsid w:val="004255A3"/>
    <w:rsid w:val="004256C3"/>
    <w:rsid w:val="00425737"/>
    <w:rsid w:val="004257E3"/>
    <w:rsid w:val="00425870"/>
    <w:rsid w:val="004258A6"/>
    <w:rsid w:val="00425AE3"/>
    <w:rsid w:val="00425AE9"/>
    <w:rsid w:val="00425BB7"/>
    <w:rsid w:val="00425DBC"/>
    <w:rsid w:val="00425FA4"/>
    <w:rsid w:val="00426022"/>
    <w:rsid w:val="004260E4"/>
    <w:rsid w:val="00426227"/>
    <w:rsid w:val="00426233"/>
    <w:rsid w:val="0042641B"/>
    <w:rsid w:val="004264AB"/>
    <w:rsid w:val="0042653B"/>
    <w:rsid w:val="004266DE"/>
    <w:rsid w:val="004266EC"/>
    <w:rsid w:val="0042675A"/>
    <w:rsid w:val="004267CD"/>
    <w:rsid w:val="00426908"/>
    <w:rsid w:val="00426B67"/>
    <w:rsid w:val="00426CCE"/>
    <w:rsid w:val="00426D02"/>
    <w:rsid w:val="00426D3C"/>
    <w:rsid w:val="00426DCE"/>
    <w:rsid w:val="00426DF2"/>
    <w:rsid w:val="00426EB0"/>
    <w:rsid w:val="00426EEA"/>
    <w:rsid w:val="00426EEB"/>
    <w:rsid w:val="00426EF0"/>
    <w:rsid w:val="00426F86"/>
    <w:rsid w:val="00427008"/>
    <w:rsid w:val="0042700F"/>
    <w:rsid w:val="00427040"/>
    <w:rsid w:val="0042709D"/>
    <w:rsid w:val="004272F2"/>
    <w:rsid w:val="00427804"/>
    <w:rsid w:val="00427855"/>
    <w:rsid w:val="00427928"/>
    <w:rsid w:val="004279E6"/>
    <w:rsid w:val="00427BB6"/>
    <w:rsid w:val="00427C2A"/>
    <w:rsid w:val="00427C31"/>
    <w:rsid w:val="00427D67"/>
    <w:rsid w:val="00427D81"/>
    <w:rsid w:val="00427EC3"/>
    <w:rsid w:val="004300EF"/>
    <w:rsid w:val="0043017F"/>
    <w:rsid w:val="004301BD"/>
    <w:rsid w:val="00430204"/>
    <w:rsid w:val="0043022D"/>
    <w:rsid w:val="0043036B"/>
    <w:rsid w:val="004303BF"/>
    <w:rsid w:val="00430464"/>
    <w:rsid w:val="00430541"/>
    <w:rsid w:val="0043057D"/>
    <w:rsid w:val="004305B0"/>
    <w:rsid w:val="00430832"/>
    <w:rsid w:val="004308EB"/>
    <w:rsid w:val="00430902"/>
    <w:rsid w:val="0043090A"/>
    <w:rsid w:val="00430912"/>
    <w:rsid w:val="004309CA"/>
    <w:rsid w:val="00430B42"/>
    <w:rsid w:val="00430C13"/>
    <w:rsid w:val="00430DA9"/>
    <w:rsid w:val="00430DB3"/>
    <w:rsid w:val="00430DC3"/>
    <w:rsid w:val="00430EDE"/>
    <w:rsid w:val="00430EF4"/>
    <w:rsid w:val="00430EFA"/>
    <w:rsid w:val="00430F89"/>
    <w:rsid w:val="00430FB8"/>
    <w:rsid w:val="0043102A"/>
    <w:rsid w:val="00431070"/>
    <w:rsid w:val="0043138F"/>
    <w:rsid w:val="00431400"/>
    <w:rsid w:val="00431493"/>
    <w:rsid w:val="004314F3"/>
    <w:rsid w:val="00431519"/>
    <w:rsid w:val="00431622"/>
    <w:rsid w:val="00431666"/>
    <w:rsid w:val="004316B7"/>
    <w:rsid w:val="00431730"/>
    <w:rsid w:val="00431755"/>
    <w:rsid w:val="004317CE"/>
    <w:rsid w:val="004318F6"/>
    <w:rsid w:val="00431992"/>
    <w:rsid w:val="00431A3C"/>
    <w:rsid w:val="00431B8F"/>
    <w:rsid w:val="00431C26"/>
    <w:rsid w:val="00431CA3"/>
    <w:rsid w:val="00431CB7"/>
    <w:rsid w:val="00431CEA"/>
    <w:rsid w:val="00431D1A"/>
    <w:rsid w:val="00431D56"/>
    <w:rsid w:val="00431D6B"/>
    <w:rsid w:val="00431E7F"/>
    <w:rsid w:val="00431EA0"/>
    <w:rsid w:val="00431EFC"/>
    <w:rsid w:val="00431FF1"/>
    <w:rsid w:val="00432002"/>
    <w:rsid w:val="00432045"/>
    <w:rsid w:val="00432088"/>
    <w:rsid w:val="00432149"/>
    <w:rsid w:val="00432395"/>
    <w:rsid w:val="004325A3"/>
    <w:rsid w:val="00432667"/>
    <w:rsid w:val="0043269B"/>
    <w:rsid w:val="00432789"/>
    <w:rsid w:val="00432856"/>
    <w:rsid w:val="0043289B"/>
    <w:rsid w:val="004328EA"/>
    <w:rsid w:val="00432974"/>
    <w:rsid w:val="00432A17"/>
    <w:rsid w:val="00432A5C"/>
    <w:rsid w:val="00432B3F"/>
    <w:rsid w:val="00432BEA"/>
    <w:rsid w:val="00432C03"/>
    <w:rsid w:val="00432C9C"/>
    <w:rsid w:val="00432CAF"/>
    <w:rsid w:val="00432D1E"/>
    <w:rsid w:val="00432E90"/>
    <w:rsid w:val="00432E9D"/>
    <w:rsid w:val="00432FA2"/>
    <w:rsid w:val="004330E2"/>
    <w:rsid w:val="004330E9"/>
    <w:rsid w:val="00433262"/>
    <w:rsid w:val="004332E2"/>
    <w:rsid w:val="00433326"/>
    <w:rsid w:val="00433369"/>
    <w:rsid w:val="00433457"/>
    <w:rsid w:val="0043353D"/>
    <w:rsid w:val="004335D6"/>
    <w:rsid w:val="00433716"/>
    <w:rsid w:val="00433795"/>
    <w:rsid w:val="004337BA"/>
    <w:rsid w:val="00433B4F"/>
    <w:rsid w:val="00433C08"/>
    <w:rsid w:val="00433D90"/>
    <w:rsid w:val="00433DAA"/>
    <w:rsid w:val="00433E24"/>
    <w:rsid w:val="00433F1D"/>
    <w:rsid w:val="00433F2C"/>
    <w:rsid w:val="00433FC5"/>
    <w:rsid w:val="00434035"/>
    <w:rsid w:val="004340CF"/>
    <w:rsid w:val="00434161"/>
    <w:rsid w:val="00434298"/>
    <w:rsid w:val="004342DC"/>
    <w:rsid w:val="0043433A"/>
    <w:rsid w:val="0043446B"/>
    <w:rsid w:val="0043448D"/>
    <w:rsid w:val="0043466B"/>
    <w:rsid w:val="004346FA"/>
    <w:rsid w:val="00434852"/>
    <w:rsid w:val="004349D5"/>
    <w:rsid w:val="00434A2C"/>
    <w:rsid w:val="00434B91"/>
    <w:rsid w:val="00434BDF"/>
    <w:rsid w:val="00434CCA"/>
    <w:rsid w:val="00434E2B"/>
    <w:rsid w:val="00434F01"/>
    <w:rsid w:val="00435193"/>
    <w:rsid w:val="0043520D"/>
    <w:rsid w:val="0043544F"/>
    <w:rsid w:val="00435594"/>
    <w:rsid w:val="0043563F"/>
    <w:rsid w:val="004358F6"/>
    <w:rsid w:val="004359E1"/>
    <w:rsid w:val="00435A97"/>
    <w:rsid w:val="00435B51"/>
    <w:rsid w:val="00435C4E"/>
    <w:rsid w:val="00435D4B"/>
    <w:rsid w:val="00435D7A"/>
    <w:rsid w:val="00435E2C"/>
    <w:rsid w:val="00435EA0"/>
    <w:rsid w:val="00435ECB"/>
    <w:rsid w:val="00436118"/>
    <w:rsid w:val="00436197"/>
    <w:rsid w:val="004361ED"/>
    <w:rsid w:val="00436309"/>
    <w:rsid w:val="004363B8"/>
    <w:rsid w:val="004363C8"/>
    <w:rsid w:val="00436484"/>
    <w:rsid w:val="00436602"/>
    <w:rsid w:val="00436623"/>
    <w:rsid w:val="004366AD"/>
    <w:rsid w:val="004367B2"/>
    <w:rsid w:val="004368F1"/>
    <w:rsid w:val="00436A16"/>
    <w:rsid w:val="00436BCA"/>
    <w:rsid w:val="00436EA7"/>
    <w:rsid w:val="00436EEF"/>
    <w:rsid w:val="00436FF6"/>
    <w:rsid w:val="00437060"/>
    <w:rsid w:val="00437092"/>
    <w:rsid w:val="00437107"/>
    <w:rsid w:val="004372CE"/>
    <w:rsid w:val="004374DF"/>
    <w:rsid w:val="004374F2"/>
    <w:rsid w:val="004375A9"/>
    <w:rsid w:val="004379B9"/>
    <w:rsid w:val="00437BBB"/>
    <w:rsid w:val="00437BC1"/>
    <w:rsid w:val="00437D50"/>
    <w:rsid w:val="004400CD"/>
    <w:rsid w:val="0044030D"/>
    <w:rsid w:val="004403DA"/>
    <w:rsid w:val="004403FD"/>
    <w:rsid w:val="00440502"/>
    <w:rsid w:val="0044057C"/>
    <w:rsid w:val="004405BB"/>
    <w:rsid w:val="004406FD"/>
    <w:rsid w:val="0044071E"/>
    <w:rsid w:val="00440770"/>
    <w:rsid w:val="004407C3"/>
    <w:rsid w:val="0044084A"/>
    <w:rsid w:val="004408EA"/>
    <w:rsid w:val="004409A5"/>
    <w:rsid w:val="00440B9A"/>
    <w:rsid w:val="00440C1D"/>
    <w:rsid w:val="00440CCA"/>
    <w:rsid w:val="00440D2E"/>
    <w:rsid w:val="00440D3F"/>
    <w:rsid w:val="00440E32"/>
    <w:rsid w:val="00440E79"/>
    <w:rsid w:val="00440EDB"/>
    <w:rsid w:val="00441029"/>
    <w:rsid w:val="004410DF"/>
    <w:rsid w:val="004410E0"/>
    <w:rsid w:val="0044112E"/>
    <w:rsid w:val="00441189"/>
    <w:rsid w:val="004412A4"/>
    <w:rsid w:val="004414D2"/>
    <w:rsid w:val="004414D8"/>
    <w:rsid w:val="004416D2"/>
    <w:rsid w:val="0044179F"/>
    <w:rsid w:val="004417E9"/>
    <w:rsid w:val="00441857"/>
    <w:rsid w:val="004418A8"/>
    <w:rsid w:val="00441988"/>
    <w:rsid w:val="004419C5"/>
    <w:rsid w:val="00441AB1"/>
    <w:rsid w:val="00441BEC"/>
    <w:rsid w:val="00441F86"/>
    <w:rsid w:val="00442084"/>
    <w:rsid w:val="00442094"/>
    <w:rsid w:val="00442291"/>
    <w:rsid w:val="004422D8"/>
    <w:rsid w:val="00442483"/>
    <w:rsid w:val="004424C9"/>
    <w:rsid w:val="004424E5"/>
    <w:rsid w:val="0044269F"/>
    <w:rsid w:val="004426E1"/>
    <w:rsid w:val="0044274E"/>
    <w:rsid w:val="00442A17"/>
    <w:rsid w:val="00442A8E"/>
    <w:rsid w:val="00442B08"/>
    <w:rsid w:val="00442CDC"/>
    <w:rsid w:val="00442D75"/>
    <w:rsid w:val="00442DBF"/>
    <w:rsid w:val="00442F33"/>
    <w:rsid w:val="004430A8"/>
    <w:rsid w:val="004430C6"/>
    <w:rsid w:val="0044335D"/>
    <w:rsid w:val="004436A1"/>
    <w:rsid w:val="004437B2"/>
    <w:rsid w:val="0044384E"/>
    <w:rsid w:val="00443874"/>
    <w:rsid w:val="00443C1D"/>
    <w:rsid w:val="00443CC3"/>
    <w:rsid w:val="00443F72"/>
    <w:rsid w:val="0044412B"/>
    <w:rsid w:val="004441EC"/>
    <w:rsid w:val="00444248"/>
    <w:rsid w:val="0044453C"/>
    <w:rsid w:val="00444541"/>
    <w:rsid w:val="00444743"/>
    <w:rsid w:val="00444782"/>
    <w:rsid w:val="00444795"/>
    <w:rsid w:val="00444798"/>
    <w:rsid w:val="004448D7"/>
    <w:rsid w:val="00444932"/>
    <w:rsid w:val="00444983"/>
    <w:rsid w:val="004449E5"/>
    <w:rsid w:val="00444A1E"/>
    <w:rsid w:val="00444A21"/>
    <w:rsid w:val="00444A8C"/>
    <w:rsid w:val="00444ADE"/>
    <w:rsid w:val="00444B72"/>
    <w:rsid w:val="00444B8E"/>
    <w:rsid w:val="00444BCF"/>
    <w:rsid w:val="00444C58"/>
    <w:rsid w:val="00444D0E"/>
    <w:rsid w:val="00444D41"/>
    <w:rsid w:val="00444E57"/>
    <w:rsid w:val="00444EBE"/>
    <w:rsid w:val="00444ECA"/>
    <w:rsid w:val="00444EFC"/>
    <w:rsid w:val="00444FFB"/>
    <w:rsid w:val="0044515E"/>
    <w:rsid w:val="004455D2"/>
    <w:rsid w:val="00445682"/>
    <w:rsid w:val="004456C4"/>
    <w:rsid w:val="00445A47"/>
    <w:rsid w:val="00445C1F"/>
    <w:rsid w:val="00445C64"/>
    <w:rsid w:val="00445E3B"/>
    <w:rsid w:val="00445F39"/>
    <w:rsid w:val="00445F7F"/>
    <w:rsid w:val="00446206"/>
    <w:rsid w:val="0044634E"/>
    <w:rsid w:val="0044636D"/>
    <w:rsid w:val="00446372"/>
    <w:rsid w:val="00446416"/>
    <w:rsid w:val="004464AE"/>
    <w:rsid w:val="0044683F"/>
    <w:rsid w:val="00446851"/>
    <w:rsid w:val="00446864"/>
    <w:rsid w:val="004468B1"/>
    <w:rsid w:val="00446935"/>
    <w:rsid w:val="004469AE"/>
    <w:rsid w:val="00446B5F"/>
    <w:rsid w:val="00446B7C"/>
    <w:rsid w:val="00446BC2"/>
    <w:rsid w:val="00446CB2"/>
    <w:rsid w:val="00446CFA"/>
    <w:rsid w:val="00446E43"/>
    <w:rsid w:val="0044703E"/>
    <w:rsid w:val="00447053"/>
    <w:rsid w:val="0044705A"/>
    <w:rsid w:val="00447268"/>
    <w:rsid w:val="0044731D"/>
    <w:rsid w:val="00447376"/>
    <w:rsid w:val="004474C7"/>
    <w:rsid w:val="0044758B"/>
    <w:rsid w:val="0044760F"/>
    <w:rsid w:val="004477CD"/>
    <w:rsid w:val="0044785A"/>
    <w:rsid w:val="004478BD"/>
    <w:rsid w:val="00447960"/>
    <w:rsid w:val="004479AA"/>
    <w:rsid w:val="00447A7C"/>
    <w:rsid w:val="00447BB8"/>
    <w:rsid w:val="00447D33"/>
    <w:rsid w:val="00447E76"/>
    <w:rsid w:val="00447FBA"/>
    <w:rsid w:val="00450110"/>
    <w:rsid w:val="00450143"/>
    <w:rsid w:val="00450171"/>
    <w:rsid w:val="00450267"/>
    <w:rsid w:val="004502ED"/>
    <w:rsid w:val="0045031E"/>
    <w:rsid w:val="00450630"/>
    <w:rsid w:val="00450727"/>
    <w:rsid w:val="00450947"/>
    <w:rsid w:val="00450B66"/>
    <w:rsid w:val="00450B8F"/>
    <w:rsid w:val="00450D31"/>
    <w:rsid w:val="00450E1B"/>
    <w:rsid w:val="00451065"/>
    <w:rsid w:val="004510B6"/>
    <w:rsid w:val="004510DA"/>
    <w:rsid w:val="004510DB"/>
    <w:rsid w:val="004511B9"/>
    <w:rsid w:val="004511D1"/>
    <w:rsid w:val="004515CD"/>
    <w:rsid w:val="004515E6"/>
    <w:rsid w:val="00451674"/>
    <w:rsid w:val="004516C4"/>
    <w:rsid w:val="004516C7"/>
    <w:rsid w:val="00451930"/>
    <w:rsid w:val="00451AEA"/>
    <w:rsid w:val="00451B37"/>
    <w:rsid w:val="00451C12"/>
    <w:rsid w:val="00451CD1"/>
    <w:rsid w:val="00451D8D"/>
    <w:rsid w:val="00451EB8"/>
    <w:rsid w:val="004522B5"/>
    <w:rsid w:val="004522E8"/>
    <w:rsid w:val="004522FC"/>
    <w:rsid w:val="00452724"/>
    <w:rsid w:val="0045290C"/>
    <w:rsid w:val="004529CB"/>
    <w:rsid w:val="00452A20"/>
    <w:rsid w:val="00452A8F"/>
    <w:rsid w:val="00452AFB"/>
    <w:rsid w:val="00452C32"/>
    <w:rsid w:val="00452D61"/>
    <w:rsid w:val="00452D7B"/>
    <w:rsid w:val="00452DC7"/>
    <w:rsid w:val="00452F03"/>
    <w:rsid w:val="0045315C"/>
    <w:rsid w:val="0045325B"/>
    <w:rsid w:val="004532FD"/>
    <w:rsid w:val="004535FE"/>
    <w:rsid w:val="004537ED"/>
    <w:rsid w:val="004539DE"/>
    <w:rsid w:val="00453B2F"/>
    <w:rsid w:val="00453DF3"/>
    <w:rsid w:val="00453DFB"/>
    <w:rsid w:val="00453E30"/>
    <w:rsid w:val="00453E7B"/>
    <w:rsid w:val="00454090"/>
    <w:rsid w:val="004540BA"/>
    <w:rsid w:val="00454244"/>
    <w:rsid w:val="0045424A"/>
    <w:rsid w:val="00454306"/>
    <w:rsid w:val="004543C5"/>
    <w:rsid w:val="004544E5"/>
    <w:rsid w:val="00454563"/>
    <w:rsid w:val="00454661"/>
    <w:rsid w:val="004546BF"/>
    <w:rsid w:val="00454849"/>
    <w:rsid w:val="0045485F"/>
    <w:rsid w:val="00454938"/>
    <w:rsid w:val="00454997"/>
    <w:rsid w:val="00454B33"/>
    <w:rsid w:val="00454DCE"/>
    <w:rsid w:val="00454E33"/>
    <w:rsid w:val="00454F98"/>
    <w:rsid w:val="00454FBF"/>
    <w:rsid w:val="00454FF3"/>
    <w:rsid w:val="00455111"/>
    <w:rsid w:val="00455122"/>
    <w:rsid w:val="00455300"/>
    <w:rsid w:val="00455315"/>
    <w:rsid w:val="004553B2"/>
    <w:rsid w:val="004553C4"/>
    <w:rsid w:val="004553DD"/>
    <w:rsid w:val="00455408"/>
    <w:rsid w:val="004555B1"/>
    <w:rsid w:val="004556FB"/>
    <w:rsid w:val="00455720"/>
    <w:rsid w:val="004558DA"/>
    <w:rsid w:val="00455B50"/>
    <w:rsid w:val="00455D80"/>
    <w:rsid w:val="00455E73"/>
    <w:rsid w:val="00455E8F"/>
    <w:rsid w:val="00455FB3"/>
    <w:rsid w:val="00456080"/>
    <w:rsid w:val="004560C0"/>
    <w:rsid w:val="00456388"/>
    <w:rsid w:val="004564AD"/>
    <w:rsid w:val="004564C7"/>
    <w:rsid w:val="004564D4"/>
    <w:rsid w:val="0045654F"/>
    <w:rsid w:val="00456731"/>
    <w:rsid w:val="00456820"/>
    <w:rsid w:val="0045696B"/>
    <w:rsid w:val="004569C3"/>
    <w:rsid w:val="004569FA"/>
    <w:rsid w:val="004569FB"/>
    <w:rsid w:val="00456A18"/>
    <w:rsid w:val="00456A3A"/>
    <w:rsid w:val="00456B26"/>
    <w:rsid w:val="00456B7A"/>
    <w:rsid w:val="00456B97"/>
    <w:rsid w:val="00456BAA"/>
    <w:rsid w:val="00456CC2"/>
    <w:rsid w:val="00456CDF"/>
    <w:rsid w:val="00456D52"/>
    <w:rsid w:val="00456D77"/>
    <w:rsid w:val="00456DE6"/>
    <w:rsid w:val="00456E9E"/>
    <w:rsid w:val="00456F1C"/>
    <w:rsid w:val="00457000"/>
    <w:rsid w:val="004570F3"/>
    <w:rsid w:val="00457185"/>
    <w:rsid w:val="0045727B"/>
    <w:rsid w:val="004572C2"/>
    <w:rsid w:val="004573C5"/>
    <w:rsid w:val="004575E2"/>
    <w:rsid w:val="004575EE"/>
    <w:rsid w:val="0045781B"/>
    <w:rsid w:val="00457836"/>
    <w:rsid w:val="004578F1"/>
    <w:rsid w:val="0045796E"/>
    <w:rsid w:val="00457A72"/>
    <w:rsid w:val="00457BC7"/>
    <w:rsid w:val="00457D6C"/>
    <w:rsid w:val="00457D88"/>
    <w:rsid w:val="00457DBF"/>
    <w:rsid w:val="00457E74"/>
    <w:rsid w:val="00457EA8"/>
    <w:rsid w:val="00457EE9"/>
    <w:rsid w:val="00457F14"/>
    <w:rsid w:val="00457F54"/>
    <w:rsid w:val="004601DB"/>
    <w:rsid w:val="0046021B"/>
    <w:rsid w:val="00460307"/>
    <w:rsid w:val="0046050E"/>
    <w:rsid w:val="004606BB"/>
    <w:rsid w:val="00460754"/>
    <w:rsid w:val="00460973"/>
    <w:rsid w:val="00460986"/>
    <w:rsid w:val="0046098C"/>
    <w:rsid w:val="00460999"/>
    <w:rsid w:val="004609CC"/>
    <w:rsid w:val="00460A00"/>
    <w:rsid w:val="00460B8B"/>
    <w:rsid w:val="00460C3F"/>
    <w:rsid w:val="00460D4E"/>
    <w:rsid w:val="00460F4A"/>
    <w:rsid w:val="0046101C"/>
    <w:rsid w:val="004611E6"/>
    <w:rsid w:val="004613E6"/>
    <w:rsid w:val="004614E3"/>
    <w:rsid w:val="00461823"/>
    <w:rsid w:val="00461884"/>
    <w:rsid w:val="004618AD"/>
    <w:rsid w:val="004618E4"/>
    <w:rsid w:val="004619CE"/>
    <w:rsid w:val="00461A30"/>
    <w:rsid w:val="00461AA5"/>
    <w:rsid w:val="00461AEB"/>
    <w:rsid w:val="00461B4D"/>
    <w:rsid w:val="00461BC7"/>
    <w:rsid w:val="00461C23"/>
    <w:rsid w:val="00461E61"/>
    <w:rsid w:val="00461F5A"/>
    <w:rsid w:val="004621A2"/>
    <w:rsid w:val="00462367"/>
    <w:rsid w:val="004623C4"/>
    <w:rsid w:val="004624AA"/>
    <w:rsid w:val="004624EC"/>
    <w:rsid w:val="00462596"/>
    <w:rsid w:val="004625B2"/>
    <w:rsid w:val="004625EC"/>
    <w:rsid w:val="00462697"/>
    <w:rsid w:val="004626D5"/>
    <w:rsid w:val="0046272A"/>
    <w:rsid w:val="004627AE"/>
    <w:rsid w:val="004627E2"/>
    <w:rsid w:val="004627FB"/>
    <w:rsid w:val="004628DB"/>
    <w:rsid w:val="004629B8"/>
    <w:rsid w:val="00462C9D"/>
    <w:rsid w:val="00462FE9"/>
    <w:rsid w:val="00463093"/>
    <w:rsid w:val="00463149"/>
    <w:rsid w:val="004631F6"/>
    <w:rsid w:val="00463220"/>
    <w:rsid w:val="0046341E"/>
    <w:rsid w:val="004635FB"/>
    <w:rsid w:val="00463608"/>
    <w:rsid w:val="0046384E"/>
    <w:rsid w:val="004638E9"/>
    <w:rsid w:val="00463943"/>
    <w:rsid w:val="00463AB6"/>
    <w:rsid w:val="00463B8E"/>
    <w:rsid w:val="00463C60"/>
    <w:rsid w:val="00463C99"/>
    <w:rsid w:val="00463CEA"/>
    <w:rsid w:val="00463DDD"/>
    <w:rsid w:val="00463E9D"/>
    <w:rsid w:val="00463F3A"/>
    <w:rsid w:val="00464181"/>
    <w:rsid w:val="004641F8"/>
    <w:rsid w:val="00464257"/>
    <w:rsid w:val="00464382"/>
    <w:rsid w:val="00464392"/>
    <w:rsid w:val="004643AC"/>
    <w:rsid w:val="00464627"/>
    <w:rsid w:val="004646CB"/>
    <w:rsid w:val="004647B3"/>
    <w:rsid w:val="00464832"/>
    <w:rsid w:val="00464929"/>
    <w:rsid w:val="00464991"/>
    <w:rsid w:val="004649C4"/>
    <w:rsid w:val="00464A08"/>
    <w:rsid w:val="00464B28"/>
    <w:rsid w:val="00464C49"/>
    <w:rsid w:val="00464D75"/>
    <w:rsid w:val="00464E21"/>
    <w:rsid w:val="00464E49"/>
    <w:rsid w:val="00464F70"/>
    <w:rsid w:val="00465069"/>
    <w:rsid w:val="00465078"/>
    <w:rsid w:val="00465216"/>
    <w:rsid w:val="00465307"/>
    <w:rsid w:val="004654BA"/>
    <w:rsid w:val="004655BB"/>
    <w:rsid w:val="004655CE"/>
    <w:rsid w:val="00465701"/>
    <w:rsid w:val="00465730"/>
    <w:rsid w:val="004657E4"/>
    <w:rsid w:val="00465B3A"/>
    <w:rsid w:val="00465C5B"/>
    <w:rsid w:val="00466045"/>
    <w:rsid w:val="004660C7"/>
    <w:rsid w:val="00466192"/>
    <w:rsid w:val="00466241"/>
    <w:rsid w:val="00466405"/>
    <w:rsid w:val="00466435"/>
    <w:rsid w:val="00466449"/>
    <w:rsid w:val="004664FE"/>
    <w:rsid w:val="004666BF"/>
    <w:rsid w:val="0046675F"/>
    <w:rsid w:val="004669AC"/>
    <w:rsid w:val="00466AAD"/>
    <w:rsid w:val="00466AB8"/>
    <w:rsid w:val="00466B46"/>
    <w:rsid w:val="00466BA7"/>
    <w:rsid w:val="00466C6A"/>
    <w:rsid w:val="00466CDB"/>
    <w:rsid w:val="00466E50"/>
    <w:rsid w:val="004671E9"/>
    <w:rsid w:val="00467436"/>
    <w:rsid w:val="0046744D"/>
    <w:rsid w:val="00467495"/>
    <w:rsid w:val="00467692"/>
    <w:rsid w:val="004676CA"/>
    <w:rsid w:val="00467739"/>
    <w:rsid w:val="00467751"/>
    <w:rsid w:val="0046798B"/>
    <w:rsid w:val="00467A68"/>
    <w:rsid w:val="00467A84"/>
    <w:rsid w:val="00467A9E"/>
    <w:rsid w:val="00467BE8"/>
    <w:rsid w:val="00467C19"/>
    <w:rsid w:val="00467D57"/>
    <w:rsid w:val="00467DC6"/>
    <w:rsid w:val="00467F71"/>
    <w:rsid w:val="00467FE2"/>
    <w:rsid w:val="00470013"/>
    <w:rsid w:val="00470038"/>
    <w:rsid w:val="00470044"/>
    <w:rsid w:val="004701AA"/>
    <w:rsid w:val="004703A8"/>
    <w:rsid w:val="00470648"/>
    <w:rsid w:val="004709B7"/>
    <w:rsid w:val="00470A81"/>
    <w:rsid w:val="00470E04"/>
    <w:rsid w:val="00470E7B"/>
    <w:rsid w:val="00470EF6"/>
    <w:rsid w:val="00470FC6"/>
    <w:rsid w:val="00471027"/>
    <w:rsid w:val="004710F9"/>
    <w:rsid w:val="0047141E"/>
    <w:rsid w:val="00471464"/>
    <w:rsid w:val="004715AF"/>
    <w:rsid w:val="004715D6"/>
    <w:rsid w:val="004718A4"/>
    <w:rsid w:val="00471A40"/>
    <w:rsid w:val="00471A6A"/>
    <w:rsid w:val="00471B69"/>
    <w:rsid w:val="00471E53"/>
    <w:rsid w:val="00471EEF"/>
    <w:rsid w:val="00471F62"/>
    <w:rsid w:val="00472151"/>
    <w:rsid w:val="00472209"/>
    <w:rsid w:val="0047228D"/>
    <w:rsid w:val="0047236F"/>
    <w:rsid w:val="00472386"/>
    <w:rsid w:val="004723B5"/>
    <w:rsid w:val="00472440"/>
    <w:rsid w:val="00472461"/>
    <w:rsid w:val="00472482"/>
    <w:rsid w:val="0047250D"/>
    <w:rsid w:val="004725BF"/>
    <w:rsid w:val="0047261D"/>
    <w:rsid w:val="004726AB"/>
    <w:rsid w:val="004726BD"/>
    <w:rsid w:val="004726CC"/>
    <w:rsid w:val="00472759"/>
    <w:rsid w:val="00472816"/>
    <w:rsid w:val="004728E0"/>
    <w:rsid w:val="004729E8"/>
    <w:rsid w:val="00472A15"/>
    <w:rsid w:val="00472A49"/>
    <w:rsid w:val="00472AFF"/>
    <w:rsid w:val="00472B25"/>
    <w:rsid w:val="00472E63"/>
    <w:rsid w:val="00472EF0"/>
    <w:rsid w:val="00472F44"/>
    <w:rsid w:val="004730DD"/>
    <w:rsid w:val="00473144"/>
    <w:rsid w:val="004731DF"/>
    <w:rsid w:val="0047325F"/>
    <w:rsid w:val="004735D3"/>
    <w:rsid w:val="00473651"/>
    <w:rsid w:val="00473652"/>
    <w:rsid w:val="004737B2"/>
    <w:rsid w:val="0047384E"/>
    <w:rsid w:val="004739E6"/>
    <w:rsid w:val="004739E7"/>
    <w:rsid w:val="00473B2F"/>
    <w:rsid w:val="00473BD7"/>
    <w:rsid w:val="00473BDB"/>
    <w:rsid w:val="00473C18"/>
    <w:rsid w:val="00473C7A"/>
    <w:rsid w:val="00473C86"/>
    <w:rsid w:val="00473EEF"/>
    <w:rsid w:val="00473F83"/>
    <w:rsid w:val="00473F94"/>
    <w:rsid w:val="00473FD0"/>
    <w:rsid w:val="004742E8"/>
    <w:rsid w:val="00474300"/>
    <w:rsid w:val="0047439F"/>
    <w:rsid w:val="004743D2"/>
    <w:rsid w:val="004743E0"/>
    <w:rsid w:val="00474709"/>
    <w:rsid w:val="004748C6"/>
    <w:rsid w:val="00474B51"/>
    <w:rsid w:val="00474BC9"/>
    <w:rsid w:val="00474BD0"/>
    <w:rsid w:val="00474C70"/>
    <w:rsid w:val="00474C71"/>
    <w:rsid w:val="00474CF3"/>
    <w:rsid w:val="00474D81"/>
    <w:rsid w:val="00474DA6"/>
    <w:rsid w:val="00474E97"/>
    <w:rsid w:val="00475065"/>
    <w:rsid w:val="00475140"/>
    <w:rsid w:val="0047520F"/>
    <w:rsid w:val="00475281"/>
    <w:rsid w:val="00475702"/>
    <w:rsid w:val="0047571A"/>
    <w:rsid w:val="00475746"/>
    <w:rsid w:val="00475787"/>
    <w:rsid w:val="004759B6"/>
    <w:rsid w:val="00475AA5"/>
    <w:rsid w:val="00475AC6"/>
    <w:rsid w:val="00475C36"/>
    <w:rsid w:val="00475CC3"/>
    <w:rsid w:val="00475D9D"/>
    <w:rsid w:val="00475EAA"/>
    <w:rsid w:val="00475EC8"/>
    <w:rsid w:val="00475FA9"/>
    <w:rsid w:val="004760F4"/>
    <w:rsid w:val="00476107"/>
    <w:rsid w:val="00476159"/>
    <w:rsid w:val="00476338"/>
    <w:rsid w:val="00476354"/>
    <w:rsid w:val="00476482"/>
    <w:rsid w:val="0047650B"/>
    <w:rsid w:val="004765C4"/>
    <w:rsid w:val="00476710"/>
    <w:rsid w:val="00476853"/>
    <w:rsid w:val="00476A1E"/>
    <w:rsid w:val="00476AE8"/>
    <w:rsid w:val="00476AED"/>
    <w:rsid w:val="00476B08"/>
    <w:rsid w:val="00476B34"/>
    <w:rsid w:val="00476B5E"/>
    <w:rsid w:val="00476B6F"/>
    <w:rsid w:val="00476BCC"/>
    <w:rsid w:val="00476E92"/>
    <w:rsid w:val="004771CB"/>
    <w:rsid w:val="004771D3"/>
    <w:rsid w:val="004773E3"/>
    <w:rsid w:val="004774BC"/>
    <w:rsid w:val="004776AA"/>
    <w:rsid w:val="00477735"/>
    <w:rsid w:val="00477740"/>
    <w:rsid w:val="00477788"/>
    <w:rsid w:val="00477834"/>
    <w:rsid w:val="00477B46"/>
    <w:rsid w:val="00477BD2"/>
    <w:rsid w:val="004800BA"/>
    <w:rsid w:val="004803F5"/>
    <w:rsid w:val="0048050E"/>
    <w:rsid w:val="004805E1"/>
    <w:rsid w:val="004805EC"/>
    <w:rsid w:val="0048073D"/>
    <w:rsid w:val="004807F3"/>
    <w:rsid w:val="004808C5"/>
    <w:rsid w:val="0048090E"/>
    <w:rsid w:val="0048091F"/>
    <w:rsid w:val="00480998"/>
    <w:rsid w:val="00480AD2"/>
    <w:rsid w:val="00480BB8"/>
    <w:rsid w:val="00480BD4"/>
    <w:rsid w:val="00480BEE"/>
    <w:rsid w:val="00480C26"/>
    <w:rsid w:val="00480D09"/>
    <w:rsid w:val="00480E1F"/>
    <w:rsid w:val="00480E40"/>
    <w:rsid w:val="004810B7"/>
    <w:rsid w:val="0048110F"/>
    <w:rsid w:val="00481254"/>
    <w:rsid w:val="004812F3"/>
    <w:rsid w:val="0048146B"/>
    <w:rsid w:val="004814AA"/>
    <w:rsid w:val="004814E0"/>
    <w:rsid w:val="0048152E"/>
    <w:rsid w:val="004815FA"/>
    <w:rsid w:val="00481663"/>
    <w:rsid w:val="0048178F"/>
    <w:rsid w:val="004817BC"/>
    <w:rsid w:val="00481800"/>
    <w:rsid w:val="00481927"/>
    <w:rsid w:val="00481A2E"/>
    <w:rsid w:val="00481A2F"/>
    <w:rsid w:val="00481A55"/>
    <w:rsid w:val="00481AA1"/>
    <w:rsid w:val="00481AAF"/>
    <w:rsid w:val="00481BB3"/>
    <w:rsid w:val="00481C4C"/>
    <w:rsid w:val="00481DA2"/>
    <w:rsid w:val="00482018"/>
    <w:rsid w:val="00482023"/>
    <w:rsid w:val="004820B8"/>
    <w:rsid w:val="0048225C"/>
    <w:rsid w:val="004822D5"/>
    <w:rsid w:val="004822E6"/>
    <w:rsid w:val="0048256C"/>
    <w:rsid w:val="0048263E"/>
    <w:rsid w:val="00482696"/>
    <w:rsid w:val="0048282C"/>
    <w:rsid w:val="0048290C"/>
    <w:rsid w:val="00482A49"/>
    <w:rsid w:val="00482A5F"/>
    <w:rsid w:val="00482BA9"/>
    <w:rsid w:val="00482CEE"/>
    <w:rsid w:val="00482E65"/>
    <w:rsid w:val="00482F38"/>
    <w:rsid w:val="00482F9E"/>
    <w:rsid w:val="0048301E"/>
    <w:rsid w:val="004830B5"/>
    <w:rsid w:val="004831AA"/>
    <w:rsid w:val="004831C7"/>
    <w:rsid w:val="004831F8"/>
    <w:rsid w:val="004832AC"/>
    <w:rsid w:val="004832EA"/>
    <w:rsid w:val="00483377"/>
    <w:rsid w:val="0048373F"/>
    <w:rsid w:val="004837E8"/>
    <w:rsid w:val="00483998"/>
    <w:rsid w:val="00483C4A"/>
    <w:rsid w:val="00483D2E"/>
    <w:rsid w:val="00483DDF"/>
    <w:rsid w:val="00483E4C"/>
    <w:rsid w:val="00483F2C"/>
    <w:rsid w:val="0048405B"/>
    <w:rsid w:val="0048405D"/>
    <w:rsid w:val="004840B7"/>
    <w:rsid w:val="0048416E"/>
    <w:rsid w:val="004841F6"/>
    <w:rsid w:val="00484430"/>
    <w:rsid w:val="004844D7"/>
    <w:rsid w:val="004845AC"/>
    <w:rsid w:val="004845F3"/>
    <w:rsid w:val="00484614"/>
    <w:rsid w:val="0048466E"/>
    <w:rsid w:val="004847F6"/>
    <w:rsid w:val="00484A87"/>
    <w:rsid w:val="00484A9A"/>
    <w:rsid w:val="00484AD7"/>
    <w:rsid w:val="00484BB3"/>
    <w:rsid w:val="00484C1A"/>
    <w:rsid w:val="00484C8D"/>
    <w:rsid w:val="00484CE3"/>
    <w:rsid w:val="00484F63"/>
    <w:rsid w:val="00484F9C"/>
    <w:rsid w:val="0048507B"/>
    <w:rsid w:val="004850EF"/>
    <w:rsid w:val="00485165"/>
    <w:rsid w:val="004852CD"/>
    <w:rsid w:val="004854B9"/>
    <w:rsid w:val="004855D1"/>
    <w:rsid w:val="004857EA"/>
    <w:rsid w:val="0048592A"/>
    <w:rsid w:val="00485959"/>
    <w:rsid w:val="0048595F"/>
    <w:rsid w:val="004859FF"/>
    <w:rsid w:val="00485B05"/>
    <w:rsid w:val="00485C14"/>
    <w:rsid w:val="00485CB0"/>
    <w:rsid w:val="00485D47"/>
    <w:rsid w:val="00485DC3"/>
    <w:rsid w:val="00485E50"/>
    <w:rsid w:val="00485F90"/>
    <w:rsid w:val="00485F9D"/>
    <w:rsid w:val="004860B6"/>
    <w:rsid w:val="004860E5"/>
    <w:rsid w:val="00486239"/>
    <w:rsid w:val="00486282"/>
    <w:rsid w:val="004862EA"/>
    <w:rsid w:val="00486376"/>
    <w:rsid w:val="0048663A"/>
    <w:rsid w:val="004866E8"/>
    <w:rsid w:val="00486730"/>
    <w:rsid w:val="00486AB0"/>
    <w:rsid w:val="00486AEE"/>
    <w:rsid w:val="00486BA2"/>
    <w:rsid w:val="00486CF8"/>
    <w:rsid w:val="00486E0A"/>
    <w:rsid w:val="004870C9"/>
    <w:rsid w:val="0048715E"/>
    <w:rsid w:val="00487184"/>
    <w:rsid w:val="004871FB"/>
    <w:rsid w:val="00487328"/>
    <w:rsid w:val="00487359"/>
    <w:rsid w:val="004873F0"/>
    <w:rsid w:val="0048745F"/>
    <w:rsid w:val="004874E3"/>
    <w:rsid w:val="00487599"/>
    <w:rsid w:val="004875DE"/>
    <w:rsid w:val="004877A4"/>
    <w:rsid w:val="004879CC"/>
    <w:rsid w:val="00487B6F"/>
    <w:rsid w:val="00487BB3"/>
    <w:rsid w:val="00487D13"/>
    <w:rsid w:val="00487D85"/>
    <w:rsid w:val="00487F85"/>
    <w:rsid w:val="00487FE4"/>
    <w:rsid w:val="00487FF6"/>
    <w:rsid w:val="00490078"/>
    <w:rsid w:val="0049017B"/>
    <w:rsid w:val="004901D0"/>
    <w:rsid w:val="00490205"/>
    <w:rsid w:val="00490309"/>
    <w:rsid w:val="00490455"/>
    <w:rsid w:val="00490530"/>
    <w:rsid w:val="00490632"/>
    <w:rsid w:val="00490633"/>
    <w:rsid w:val="004906C4"/>
    <w:rsid w:val="004907DA"/>
    <w:rsid w:val="00490878"/>
    <w:rsid w:val="004908D3"/>
    <w:rsid w:val="00490A77"/>
    <w:rsid w:val="00490B1E"/>
    <w:rsid w:val="00490C89"/>
    <w:rsid w:val="00490DBC"/>
    <w:rsid w:val="00490E1E"/>
    <w:rsid w:val="00490F93"/>
    <w:rsid w:val="0049103B"/>
    <w:rsid w:val="004910B5"/>
    <w:rsid w:val="0049116A"/>
    <w:rsid w:val="00491198"/>
    <w:rsid w:val="00491253"/>
    <w:rsid w:val="004913DA"/>
    <w:rsid w:val="00491488"/>
    <w:rsid w:val="004917F2"/>
    <w:rsid w:val="0049184C"/>
    <w:rsid w:val="004918B5"/>
    <w:rsid w:val="004919CD"/>
    <w:rsid w:val="00491A22"/>
    <w:rsid w:val="00491BF8"/>
    <w:rsid w:val="00491C84"/>
    <w:rsid w:val="00491E3C"/>
    <w:rsid w:val="00491EC3"/>
    <w:rsid w:val="00491F97"/>
    <w:rsid w:val="00492108"/>
    <w:rsid w:val="00492164"/>
    <w:rsid w:val="004921B3"/>
    <w:rsid w:val="004921BD"/>
    <w:rsid w:val="00492294"/>
    <w:rsid w:val="0049240F"/>
    <w:rsid w:val="004924BA"/>
    <w:rsid w:val="004924F1"/>
    <w:rsid w:val="0049256B"/>
    <w:rsid w:val="0049277C"/>
    <w:rsid w:val="004928AE"/>
    <w:rsid w:val="00492AD8"/>
    <w:rsid w:val="00492B75"/>
    <w:rsid w:val="00492B7C"/>
    <w:rsid w:val="00492B85"/>
    <w:rsid w:val="00492BE4"/>
    <w:rsid w:val="00492D25"/>
    <w:rsid w:val="00492DD7"/>
    <w:rsid w:val="00492E81"/>
    <w:rsid w:val="004931A5"/>
    <w:rsid w:val="004931C9"/>
    <w:rsid w:val="004931CF"/>
    <w:rsid w:val="00493204"/>
    <w:rsid w:val="0049329C"/>
    <w:rsid w:val="00493353"/>
    <w:rsid w:val="004933AD"/>
    <w:rsid w:val="00493544"/>
    <w:rsid w:val="0049361A"/>
    <w:rsid w:val="00493649"/>
    <w:rsid w:val="0049364E"/>
    <w:rsid w:val="004936DE"/>
    <w:rsid w:val="00493793"/>
    <w:rsid w:val="004937BD"/>
    <w:rsid w:val="00493877"/>
    <w:rsid w:val="0049387D"/>
    <w:rsid w:val="00493B2E"/>
    <w:rsid w:val="00493BA1"/>
    <w:rsid w:val="00493CE2"/>
    <w:rsid w:val="00493E1B"/>
    <w:rsid w:val="00493E83"/>
    <w:rsid w:val="00493EBA"/>
    <w:rsid w:val="004940CC"/>
    <w:rsid w:val="004940D8"/>
    <w:rsid w:val="0049417C"/>
    <w:rsid w:val="004942CB"/>
    <w:rsid w:val="004944D3"/>
    <w:rsid w:val="0049477C"/>
    <w:rsid w:val="004948A4"/>
    <w:rsid w:val="004948D8"/>
    <w:rsid w:val="004948F0"/>
    <w:rsid w:val="00494A46"/>
    <w:rsid w:val="00494C3A"/>
    <w:rsid w:val="00494C4E"/>
    <w:rsid w:val="00494CF3"/>
    <w:rsid w:val="00494E2D"/>
    <w:rsid w:val="00495026"/>
    <w:rsid w:val="0049505B"/>
    <w:rsid w:val="004950BD"/>
    <w:rsid w:val="0049514D"/>
    <w:rsid w:val="0049523A"/>
    <w:rsid w:val="0049525A"/>
    <w:rsid w:val="004952DC"/>
    <w:rsid w:val="0049543A"/>
    <w:rsid w:val="00495510"/>
    <w:rsid w:val="00495738"/>
    <w:rsid w:val="00495822"/>
    <w:rsid w:val="00495855"/>
    <w:rsid w:val="0049598B"/>
    <w:rsid w:val="00495B0A"/>
    <w:rsid w:val="00495BD5"/>
    <w:rsid w:val="00495CBF"/>
    <w:rsid w:val="00495D82"/>
    <w:rsid w:val="00495FC3"/>
    <w:rsid w:val="004960B8"/>
    <w:rsid w:val="0049619C"/>
    <w:rsid w:val="0049648D"/>
    <w:rsid w:val="004964DC"/>
    <w:rsid w:val="00496526"/>
    <w:rsid w:val="00496772"/>
    <w:rsid w:val="004967A5"/>
    <w:rsid w:val="004968FD"/>
    <w:rsid w:val="0049694D"/>
    <w:rsid w:val="00496A51"/>
    <w:rsid w:val="00496AA6"/>
    <w:rsid w:val="00496AA7"/>
    <w:rsid w:val="00496CD9"/>
    <w:rsid w:val="00496E01"/>
    <w:rsid w:val="00496E14"/>
    <w:rsid w:val="00496ECE"/>
    <w:rsid w:val="00496F0D"/>
    <w:rsid w:val="00496FB2"/>
    <w:rsid w:val="0049700D"/>
    <w:rsid w:val="00497026"/>
    <w:rsid w:val="0049704D"/>
    <w:rsid w:val="00497160"/>
    <w:rsid w:val="00497246"/>
    <w:rsid w:val="00497261"/>
    <w:rsid w:val="0049731A"/>
    <w:rsid w:val="00497352"/>
    <w:rsid w:val="0049740E"/>
    <w:rsid w:val="0049753E"/>
    <w:rsid w:val="004976CC"/>
    <w:rsid w:val="0049770D"/>
    <w:rsid w:val="00497848"/>
    <w:rsid w:val="00497A9E"/>
    <w:rsid w:val="00497B76"/>
    <w:rsid w:val="00497B8D"/>
    <w:rsid w:val="00497C6A"/>
    <w:rsid w:val="004A000A"/>
    <w:rsid w:val="004A002C"/>
    <w:rsid w:val="004A0689"/>
    <w:rsid w:val="004A06A1"/>
    <w:rsid w:val="004A06AF"/>
    <w:rsid w:val="004A0725"/>
    <w:rsid w:val="004A0818"/>
    <w:rsid w:val="004A09C7"/>
    <w:rsid w:val="004A0AC6"/>
    <w:rsid w:val="004A0B95"/>
    <w:rsid w:val="004A0D69"/>
    <w:rsid w:val="004A0E17"/>
    <w:rsid w:val="004A0EC8"/>
    <w:rsid w:val="004A0FA1"/>
    <w:rsid w:val="004A1277"/>
    <w:rsid w:val="004A12EE"/>
    <w:rsid w:val="004A1452"/>
    <w:rsid w:val="004A1639"/>
    <w:rsid w:val="004A165F"/>
    <w:rsid w:val="004A1670"/>
    <w:rsid w:val="004A1857"/>
    <w:rsid w:val="004A1C30"/>
    <w:rsid w:val="004A1CF5"/>
    <w:rsid w:val="004A1D9A"/>
    <w:rsid w:val="004A1E8D"/>
    <w:rsid w:val="004A1EA7"/>
    <w:rsid w:val="004A201D"/>
    <w:rsid w:val="004A209A"/>
    <w:rsid w:val="004A2191"/>
    <w:rsid w:val="004A2193"/>
    <w:rsid w:val="004A229C"/>
    <w:rsid w:val="004A22F8"/>
    <w:rsid w:val="004A237D"/>
    <w:rsid w:val="004A2416"/>
    <w:rsid w:val="004A24C3"/>
    <w:rsid w:val="004A24F0"/>
    <w:rsid w:val="004A2758"/>
    <w:rsid w:val="004A27ED"/>
    <w:rsid w:val="004A27FA"/>
    <w:rsid w:val="004A289A"/>
    <w:rsid w:val="004A28B8"/>
    <w:rsid w:val="004A299A"/>
    <w:rsid w:val="004A2A6E"/>
    <w:rsid w:val="004A2BB0"/>
    <w:rsid w:val="004A2DED"/>
    <w:rsid w:val="004A2E11"/>
    <w:rsid w:val="004A2F1D"/>
    <w:rsid w:val="004A3333"/>
    <w:rsid w:val="004A33DE"/>
    <w:rsid w:val="004A34B4"/>
    <w:rsid w:val="004A356F"/>
    <w:rsid w:val="004A3631"/>
    <w:rsid w:val="004A3689"/>
    <w:rsid w:val="004A3938"/>
    <w:rsid w:val="004A3B02"/>
    <w:rsid w:val="004A3C61"/>
    <w:rsid w:val="004A3E9B"/>
    <w:rsid w:val="004A3EDA"/>
    <w:rsid w:val="004A3F25"/>
    <w:rsid w:val="004A3F4C"/>
    <w:rsid w:val="004A40A8"/>
    <w:rsid w:val="004A40E5"/>
    <w:rsid w:val="004A4135"/>
    <w:rsid w:val="004A4145"/>
    <w:rsid w:val="004A4152"/>
    <w:rsid w:val="004A44A5"/>
    <w:rsid w:val="004A46A1"/>
    <w:rsid w:val="004A46B7"/>
    <w:rsid w:val="004A4862"/>
    <w:rsid w:val="004A48A1"/>
    <w:rsid w:val="004A49F9"/>
    <w:rsid w:val="004A4AB8"/>
    <w:rsid w:val="004A4ADA"/>
    <w:rsid w:val="004A4B84"/>
    <w:rsid w:val="004A4CDA"/>
    <w:rsid w:val="004A4D27"/>
    <w:rsid w:val="004A4E29"/>
    <w:rsid w:val="004A4E4D"/>
    <w:rsid w:val="004A503E"/>
    <w:rsid w:val="004A50F4"/>
    <w:rsid w:val="004A51DC"/>
    <w:rsid w:val="004A51E7"/>
    <w:rsid w:val="004A52D9"/>
    <w:rsid w:val="004A52EC"/>
    <w:rsid w:val="004A53C0"/>
    <w:rsid w:val="004A5436"/>
    <w:rsid w:val="004A55FE"/>
    <w:rsid w:val="004A581B"/>
    <w:rsid w:val="004A5865"/>
    <w:rsid w:val="004A5866"/>
    <w:rsid w:val="004A5AC5"/>
    <w:rsid w:val="004A5BCE"/>
    <w:rsid w:val="004A5C36"/>
    <w:rsid w:val="004A5CA8"/>
    <w:rsid w:val="004A5E0C"/>
    <w:rsid w:val="004A5E65"/>
    <w:rsid w:val="004A6050"/>
    <w:rsid w:val="004A60FF"/>
    <w:rsid w:val="004A65A6"/>
    <w:rsid w:val="004A65B5"/>
    <w:rsid w:val="004A680C"/>
    <w:rsid w:val="004A681D"/>
    <w:rsid w:val="004A6AE1"/>
    <w:rsid w:val="004A6AF3"/>
    <w:rsid w:val="004A6DE0"/>
    <w:rsid w:val="004A6F65"/>
    <w:rsid w:val="004A6F79"/>
    <w:rsid w:val="004A701F"/>
    <w:rsid w:val="004A72E3"/>
    <w:rsid w:val="004A7320"/>
    <w:rsid w:val="004A7405"/>
    <w:rsid w:val="004A7451"/>
    <w:rsid w:val="004A764D"/>
    <w:rsid w:val="004A7686"/>
    <w:rsid w:val="004A7926"/>
    <w:rsid w:val="004A79F4"/>
    <w:rsid w:val="004A79FC"/>
    <w:rsid w:val="004A7B69"/>
    <w:rsid w:val="004A7C4B"/>
    <w:rsid w:val="004A7CB6"/>
    <w:rsid w:val="004A7D22"/>
    <w:rsid w:val="004A7D44"/>
    <w:rsid w:val="004B0183"/>
    <w:rsid w:val="004B020E"/>
    <w:rsid w:val="004B028C"/>
    <w:rsid w:val="004B02FB"/>
    <w:rsid w:val="004B0391"/>
    <w:rsid w:val="004B03B7"/>
    <w:rsid w:val="004B0475"/>
    <w:rsid w:val="004B0523"/>
    <w:rsid w:val="004B055C"/>
    <w:rsid w:val="004B05A3"/>
    <w:rsid w:val="004B05D1"/>
    <w:rsid w:val="004B068D"/>
    <w:rsid w:val="004B0733"/>
    <w:rsid w:val="004B0821"/>
    <w:rsid w:val="004B09B1"/>
    <w:rsid w:val="004B09D4"/>
    <w:rsid w:val="004B0AA7"/>
    <w:rsid w:val="004B0BD1"/>
    <w:rsid w:val="004B0FBF"/>
    <w:rsid w:val="004B1011"/>
    <w:rsid w:val="004B10A5"/>
    <w:rsid w:val="004B119E"/>
    <w:rsid w:val="004B140B"/>
    <w:rsid w:val="004B152D"/>
    <w:rsid w:val="004B15CE"/>
    <w:rsid w:val="004B16E7"/>
    <w:rsid w:val="004B1716"/>
    <w:rsid w:val="004B1722"/>
    <w:rsid w:val="004B185A"/>
    <w:rsid w:val="004B1A1D"/>
    <w:rsid w:val="004B1AC7"/>
    <w:rsid w:val="004B1B11"/>
    <w:rsid w:val="004B1B5A"/>
    <w:rsid w:val="004B1B6E"/>
    <w:rsid w:val="004B1CBD"/>
    <w:rsid w:val="004B1CD2"/>
    <w:rsid w:val="004B1CD6"/>
    <w:rsid w:val="004B1EA2"/>
    <w:rsid w:val="004B1F5E"/>
    <w:rsid w:val="004B1FBD"/>
    <w:rsid w:val="004B20D4"/>
    <w:rsid w:val="004B2184"/>
    <w:rsid w:val="004B22D7"/>
    <w:rsid w:val="004B23B8"/>
    <w:rsid w:val="004B2473"/>
    <w:rsid w:val="004B261B"/>
    <w:rsid w:val="004B2A79"/>
    <w:rsid w:val="004B2A7B"/>
    <w:rsid w:val="004B2A8E"/>
    <w:rsid w:val="004B2ADE"/>
    <w:rsid w:val="004B311A"/>
    <w:rsid w:val="004B32EB"/>
    <w:rsid w:val="004B35EB"/>
    <w:rsid w:val="004B366C"/>
    <w:rsid w:val="004B3735"/>
    <w:rsid w:val="004B3800"/>
    <w:rsid w:val="004B3808"/>
    <w:rsid w:val="004B3812"/>
    <w:rsid w:val="004B38B4"/>
    <w:rsid w:val="004B39B3"/>
    <w:rsid w:val="004B3A26"/>
    <w:rsid w:val="004B3A7F"/>
    <w:rsid w:val="004B3BC6"/>
    <w:rsid w:val="004B3C51"/>
    <w:rsid w:val="004B3C67"/>
    <w:rsid w:val="004B3CA4"/>
    <w:rsid w:val="004B3FCC"/>
    <w:rsid w:val="004B3FFF"/>
    <w:rsid w:val="004B4272"/>
    <w:rsid w:val="004B42CB"/>
    <w:rsid w:val="004B4301"/>
    <w:rsid w:val="004B4400"/>
    <w:rsid w:val="004B4497"/>
    <w:rsid w:val="004B452B"/>
    <w:rsid w:val="004B458F"/>
    <w:rsid w:val="004B45EF"/>
    <w:rsid w:val="004B462A"/>
    <w:rsid w:val="004B46C9"/>
    <w:rsid w:val="004B46DC"/>
    <w:rsid w:val="004B46E6"/>
    <w:rsid w:val="004B476C"/>
    <w:rsid w:val="004B490F"/>
    <w:rsid w:val="004B495D"/>
    <w:rsid w:val="004B499A"/>
    <w:rsid w:val="004B49E9"/>
    <w:rsid w:val="004B4A5A"/>
    <w:rsid w:val="004B4AA0"/>
    <w:rsid w:val="004B4B5F"/>
    <w:rsid w:val="004B4BBE"/>
    <w:rsid w:val="004B4CE2"/>
    <w:rsid w:val="004B4CF1"/>
    <w:rsid w:val="004B4D9B"/>
    <w:rsid w:val="004B5039"/>
    <w:rsid w:val="004B510E"/>
    <w:rsid w:val="004B5170"/>
    <w:rsid w:val="004B523B"/>
    <w:rsid w:val="004B529D"/>
    <w:rsid w:val="004B544B"/>
    <w:rsid w:val="004B5527"/>
    <w:rsid w:val="004B5528"/>
    <w:rsid w:val="004B56A2"/>
    <w:rsid w:val="004B57CA"/>
    <w:rsid w:val="004B5892"/>
    <w:rsid w:val="004B5A0B"/>
    <w:rsid w:val="004B5A2A"/>
    <w:rsid w:val="004B5A82"/>
    <w:rsid w:val="004B5B9D"/>
    <w:rsid w:val="004B5D72"/>
    <w:rsid w:val="004B60BC"/>
    <w:rsid w:val="004B6105"/>
    <w:rsid w:val="004B6122"/>
    <w:rsid w:val="004B621A"/>
    <w:rsid w:val="004B62CB"/>
    <w:rsid w:val="004B640C"/>
    <w:rsid w:val="004B64AF"/>
    <w:rsid w:val="004B655E"/>
    <w:rsid w:val="004B6724"/>
    <w:rsid w:val="004B688F"/>
    <w:rsid w:val="004B6967"/>
    <w:rsid w:val="004B69F4"/>
    <w:rsid w:val="004B6B3D"/>
    <w:rsid w:val="004B6B68"/>
    <w:rsid w:val="004B6B79"/>
    <w:rsid w:val="004B6BED"/>
    <w:rsid w:val="004B6C64"/>
    <w:rsid w:val="004B6D92"/>
    <w:rsid w:val="004B6E35"/>
    <w:rsid w:val="004B6E65"/>
    <w:rsid w:val="004B7067"/>
    <w:rsid w:val="004B70FC"/>
    <w:rsid w:val="004B770D"/>
    <w:rsid w:val="004B7789"/>
    <w:rsid w:val="004B78CC"/>
    <w:rsid w:val="004B7960"/>
    <w:rsid w:val="004B7967"/>
    <w:rsid w:val="004B7A88"/>
    <w:rsid w:val="004B7A8A"/>
    <w:rsid w:val="004B7AE7"/>
    <w:rsid w:val="004B7B4B"/>
    <w:rsid w:val="004B7C56"/>
    <w:rsid w:val="004B7D6A"/>
    <w:rsid w:val="004B7E48"/>
    <w:rsid w:val="004B7FD9"/>
    <w:rsid w:val="004C009D"/>
    <w:rsid w:val="004C0115"/>
    <w:rsid w:val="004C01D6"/>
    <w:rsid w:val="004C021C"/>
    <w:rsid w:val="004C02A5"/>
    <w:rsid w:val="004C02B9"/>
    <w:rsid w:val="004C04EA"/>
    <w:rsid w:val="004C0547"/>
    <w:rsid w:val="004C057D"/>
    <w:rsid w:val="004C05F0"/>
    <w:rsid w:val="004C0691"/>
    <w:rsid w:val="004C0706"/>
    <w:rsid w:val="004C07FE"/>
    <w:rsid w:val="004C0A76"/>
    <w:rsid w:val="004C0AC3"/>
    <w:rsid w:val="004C0B98"/>
    <w:rsid w:val="004C0C9F"/>
    <w:rsid w:val="004C0E71"/>
    <w:rsid w:val="004C0F3B"/>
    <w:rsid w:val="004C11F0"/>
    <w:rsid w:val="004C1236"/>
    <w:rsid w:val="004C1237"/>
    <w:rsid w:val="004C12A6"/>
    <w:rsid w:val="004C13A4"/>
    <w:rsid w:val="004C13D2"/>
    <w:rsid w:val="004C144E"/>
    <w:rsid w:val="004C1468"/>
    <w:rsid w:val="004C1531"/>
    <w:rsid w:val="004C1568"/>
    <w:rsid w:val="004C15C4"/>
    <w:rsid w:val="004C15F1"/>
    <w:rsid w:val="004C17F5"/>
    <w:rsid w:val="004C17F6"/>
    <w:rsid w:val="004C18A8"/>
    <w:rsid w:val="004C18D5"/>
    <w:rsid w:val="004C1A2D"/>
    <w:rsid w:val="004C1AF6"/>
    <w:rsid w:val="004C1CC1"/>
    <w:rsid w:val="004C1CF5"/>
    <w:rsid w:val="004C1E6B"/>
    <w:rsid w:val="004C1EE9"/>
    <w:rsid w:val="004C2602"/>
    <w:rsid w:val="004C27AC"/>
    <w:rsid w:val="004C27D6"/>
    <w:rsid w:val="004C2936"/>
    <w:rsid w:val="004C2A67"/>
    <w:rsid w:val="004C2AC6"/>
    <w:rsid w:val="004C2B52"/>
    <w:rsid w:val="004C2B9C"/>
    <w:rsid w:val="004C2C72"/>
    <w:rsid w:val="004C2CE8"/>
    <w:rsid w:val="004C2D15"/>
    <w:rsid w:val="004C2DEB"/>
    <w:rsid w:val="004C2DF6"/>
    <w:rsid w:val="004C3275"/>
    <w:rsid w:val="004C3297"/>
    <w:rsid w:val="004C32C7"/>
    <w:rsid w:val="004C32F4"/>
    <w:rsid w:val="004C3344"/>
    <w:rsid w:val="004C34E6"/>
    <w:rsid w:val="004C34E7"/>
    <w:rsid w:val="004C3573"/>
    <w:rsid w:val="004C3650"/>
    <w:rsid w:val="004C3A18"/>
    <w:rsid w:val="004C3A9B"/>
    <w:rsid w:val="004C3AFD"/>
    <w:rsid w:val="004C3B07"/>
    <w:rsid w:val="004C3B6B"/>
    <w:rsid w:val="004C3BAB"/>
    <w:rsid w:val="004C3CD2"/>
    <w:rsid w:val="004C3D1D"/>
    <w:rsid w:val="004C3D48"/>
    <w:rsid w:val="004C3D62"/>
    <w:rsid w:val="004C3ECC"/>
    <w:rsid w:val="004C4076"/>
    <w:rsid w:val="004C40CE"/>
    <w:rsid w:val="004C418A"/>
    <w:rsid w:val="004C41E6"/>
    <w:rsid w:val="004C428B"/>
    <w:rsid w:val="004C42FD"/>
    <w:rsid w:val="004C43D8"/>
    <w:rsid w:val="004C4636"/>
    <w:rsid w:val="004C478B"/>
    <w:rsid w:val="004C4A78"/>
    <w:rsid w:val="004C4C88"/>
    <w:rsid w:val="004C4C9C"/>
    <w:rsid w:val="004C4D2D"/>
    <w:rsid w:val="004C4D81"/>
    <w:rsid w:val="004C4E41"/>
    <w:rsid w:val="004C4EB9"/>
    <w:rsid w:val="004C4F78"/>
    <w:rsid w:val="004C5411"/>
    <w:rsid w:val="004C549A"/>
    <w:rsid w:val="004C54D5"/>
    <w:rsid w:val="004C567B"/>
    <w:rsid w:val="004C56BB"/>
    <w:rsid w:val="004C56E4"/>
    <w:rsid w:val="004C57C1"/>
    <w:rsid w:val="004C5800"/>
    <w:rsid w:val="004C586A"/>
    <w:rsid w:val="004C5876"/>
    <w:rsid w:val="004C5B29"/>
    <w:rsid w:val="004C5B96"/>
    <w:rsid w:val="004C5BE4"/>
    <w:rsid w:val="004C5E71"/>
    <w:rsid w:val="004C5E76"/>
    <w:rsid w:val="004C5ECE"/>
    <w:rsid w:val="004C5F0B"/>
    <w:rsid w:val="004C5F3A"/>
    <w:rsid w:val="004C600D"/>
    <w:rsid w:val="004C6139"/>
    <w:rsid w:val="004C61EB"/>
    <w:rsid w:val="004C61F1"/>
    <w:rsid w:val="004C621F"/>
    <w:rsid w:val="004C6251"/>
    <w:rsid w:val="004C63D9"/>
    <w:rsid w:val="004C6567"/>
    <w:rsid w:val="004C6587"/>
    <w:rsid w:val="004C65E4"/>
    <w:rsid w:val="004C660E"/>
    <w:rsid w:val="004C6633"/>
    <w:rsid w:val="004C6658"/>
    <w:rsid w:val="004C675B"/>
    <w:rsid w:val="004C67F2"/>
    <w:rsid w:val="004C689A"/>
    <w:rsid w:val="004C68A3"/>
    <w:rsid w:val="004C692E"/>
    <w:rsid w:val="004C6938"/>
    <w:rsid w:val="004C69C5"/>
    <w:rsid w:val="004C6A58"/>
    <w:rsid w:val="004C6ABF"/>
    <w:rsid w:val="004C6AEC"/>
    <w:rsid w:val="004C6B5F"/>
    <w:rsid w:val="004C6B8D"/>
    <w:rsid w:val="004C6C04"/>
    <w:rsid w:val="004C6DB4"/>
    <w:rsid w:val="004C6DBF"/>
    <w:rsid w:val="004C6E1C"/>
    <w:rsid w:val="004C6E7A"/>
    <w:rsid w:val="004C6EB1"/>
    <w:rsid w:val="004C6ED3"/>
    <w:rsid w:val="004C6FDE"/>
    <w:rsid w:val="004C720A"/>
    <w:rsid w:val="004C7221"/>
    <w:rsid w:val="004C741C"/>
    <w:rsid w:val="004C7434"/>
    <w:rsid w:val="004C7519"/>
    <w:rsid w:val="004C762B"/>
    <w:rsid w:val="004C7683"/>
    <w:rsid w:val="004C7785"/>
    <w:rsid w:val="004C7953"/>
    <w:rsid w:val="004C7BC5"/>
    <w:rsid w:val="004C7BE1"/>
    <w:rsid w:val="004C7CFA"/>
    <w:rsid w:val="004C7DAA"/>
    <w:rsid w:val="004C7DFE"/>
    <w:rsid w:val="004C7EC6"/>
    <w:rsid w:val="004C7F39"/>
    <w:rsid w:val="004D0274"/>
    <w:rsid w:val="004D02DF"/>
    <w:rsid w:val="004D02E4"/>
    <w:rsid w:val="004D0386"/>
    <w:rsid w:val="004D04B2"/>
    <w:rsid w:val="004D04B4"/>
    <w:rsid w:val="004D0622"/>
    <w:rsid w:val="004D07AD"/>
    <w:rsid w:val="004D080A"/>
    <w:rsid w:val="004D0A66"/>
    <w:rsid w:val="004D0C8C"/>
    <w:rsid w:val="004D0D74"/>
    <w:rsid w:val="004D0FB6"/>
    <w:rsid w:val="004D0FED"/>
    <w:rsid w:val="004D1219"/>
    <w:rsid w:val="004D1282"/>
    <w:rsid w:val="004D12D1"/>
    <w:rsid w:val="004D1341"/>
    <w:rsid w:val="004D1459"/>
    <w:rsid w:val="004D155A"/>
    <w:rsid w:val="004D1609"/>
    <w:rsid w:val="004D1783"/>
    <w:rsid w:val="004D182B"/>
    <w:rsid w:val="004D1946"/>
    <w:rsid w:val="004D1D46"/>
    <w:rsid w:val="004D1E61"/>
    <w:rsid w:val="004D1F98"/>
    <w:rsid w:val="004D20D4"/>
    <w:rsid w:val="004D20E6"/>
    <w:rsid w:val="004D21F8"/>
    <w:rsid w:val="004D2298"/>
    <w:rsid w:val="004D234D"/>
    <w:rsid w:val="004D23CB"/>
    <w:rsid w:val="004D23D4"/>
    <w:rsid w:val="004D246E"/>
    <w:rsid w:val="004D259D"/>
    <w:rsid w:val="004D268F"/>
    <w:rsid w:val="004D26F9"/>
    <w:rsid w:val="004D2862"/>
    <w:rsid w:val="004D289A"/>
    <w:rsid w:val="004D28BD"/>
    <w:rsid w:val="004D2A05"/>
    <w:rsid w:val="004D2B6C"/>
    <w:rsid w:val="004D2CA8"/>
    <w:rsid w:val="004D2DDF"/>
    <w:rsid w:val="004D2DEF"/>
    <w:rsid w:val="004D2E84"/>
    <w:rsid w:val="004D2ECE"/>
    <w:rsid w:val="004D31D1"/>
    <w:rsid w:val="004D3247"/>
    <w:rsid w:val="004D3359"/>
    <w:rsid w:val="004D33E7"/>
    <w:rsid w:val="004D344C"/>
    <w:rsid w:val="004D3541"/>
    <w:rsid w:val="004D35E0"/>
    <w:rsid w:val="004D3622"/>
    <w:rsid w:val="004D36EC"/>
    <w:rsid w:val="004D3B1D"/>
    <w:rsid w:val="004D3C13"/>
    <w:rsid w:val="004D3D42"/>
    <w:rsid w:val="004D3D50"/>
    <w:rsid w:val="004D3D94"/>
    <w:rsid w:val="004D3DFA"/>
    <w:rsid w:val="004D3E31"/>
    <w:rsid w:val="004D4147"/>
    <w:rsid w:val="004D4384"/>
    <w:rsid w:val="004D4570"/>
    <w:rsid w:val="004D4638"/>
    <w:rsid w:val="004D46F0"/>
    <w:rsid w:val="004D475D"/>
    <w:rsid w:val="004D4787"/>
    <w:rsid w:val="004D4896"/>
    <w:rsid w:val="004D4906"/>
    <w:rsid w:val="004D4BB7"/>
    <w:rsid w:val="004D4C1E"/>
    <w:rsid w:val="004D4C7A"/>
    <w:rsid w:val="004D4C8A"/>
    <w:rsid w:val="004D4CFF"/>
    <w:rsid w:val="004D4E27"/>
    <w:rsid w:val="004D5118"/>
    <w:rsid w:val="004D518D"/>
    <w:rsid w:val="004D52F9"/>
    <w:rsid w:val="004D545F"/>
    <w:rsid w:val="004D55CA"/>
    <w:rsid w:val="004D560E"/>
    <w:rsid w:val="004D568D"/>
    <w:rsid w:val="004D5748"/>
    <w:rsid w:val="004D57AC"/>
    <w:rsid w:val="004D57D5"/>
    <w:rsid w:val="004D57F5"/>
    <w:rsid w:val="004D5977"/>
    <w:rsid w:val="004D599A"/>
    <w:rsid w:val="004D5A2D"/>
    <w:rsid w:val="004D5ACC"/>
    <w:rsid w:val="004D5C4B"/>
    <w:rsid w:val="004D5CDD"/>
    <w:rsid w:val="004D5E91"/>
    <w:rsid w:val="004D5F93"/>
    <w:rsid w:val="004D5FD6"/>
    <w:rsid w:val="004D60FF"/>
    <w:rsid w:val="004D6220"/>
    <w:rsid w:val="004D62AB"/>
    <w:rsid w:val="004D62AE"/>
    <w:rsid w:val="004D6338"/>
    <w:rsid w:val="004D6363"/>
    <w:rsid w:val="004D642D"/>
    <w:rsid w:val="004D6584"/>
    <w:rsid w:val="004D6614"/>
    <w:rsid w:val="004D66B2"/>
    <w:rsid w:val="004D66D4"/>
    <w:rsid w:val="004D6892"/>
    <w:rsid w:val="004D6949"/>
    <w:rsid w:val="004D6C29"/>
    <w:rsid w:val="004D6C3F"/>
    <w:rsid w:val="004D6DF1"/>
    <w:rsid w:val="004D6E06"/>
    <w:rsid w:val="004D6E53"/>
    <w:rsid w:val="004D6FD3"/>
    <w:rsid w:val="004D7094"/>
    <w:rsid w:val="004D70D6"/>
    <w:rsid w:val="004D71C2"/>
    <w:rsid w:val="004D723C"/>
    <w:rsid w:val="004D72F8"/>
    <w:rsid w:val="004D74CC"/>
    <w:rsid w:val="004D76E2"/>
    <w:rsid w:val="004D7744"/>
    <w:rsid w:val="004D7935"/>
    <w:rsid w:val="004D79F9"/>
    <w:rsid w:val="004D7A5C"/>
    <w:rsid w:val="004D7A90"/>
    <w:rsid w:val="004D7D33"/>
    <w:rsid w:val="004D7EC2"/>
    <w:rsid w:val="004D7F5A"/>
    <w:rsid w:val="004D7F80"/>
    <w:rsid w:val="004E0042"/>
    <w:rsid w:val="004E00BB"/>
    <w:rsid w:val="004E012F"/>
    <w:rsid w:val="004E029E"/>
    <w:rsid w:val="004E03E2"/>
    <w:rsid w:val="004E0487"/>
    <w:rsid w:val="004E04F7"/>
    <w:rsid w:val="004E0551"/>
    <w:rsid w:val="004E059E"/>
    <w:rsid w:val="004E05C8"/>
    <w:rsid w:val="004E068C"/>
    <w:rsid w:val="004E082D"/>
    <w:rsid w:val="004E0857"/>
    <w:rsid w:val="004E0962"/>
    <w:rsid w:val="004E0A7E"/>
    <w:rsid w:val="004E0B01"/>
    <w:rsid w:val="004E0B89"/>
    <w:rsid w:val="004E0C2D"/>
    <w:rsid w:val="004E0C30"/>
    <w:rsid w:val="004E0C4F"/>
    <w:rsid w:val="004E0D09"/>
    <w:rsid w:val="004E0FCF"/>
    <w:rsid w:val="004E1055"/>
    <w:rsid w:val="004E118F"/>
    <w:rsid w:val="004E1225"/>
    <w:rsid w:val="004E131A"/>
    <w:rsid w:val="004E1497"/>
    <w:rsid w:val="004E1547"/>
    <w:rsid w:val="004E1570"/>
    <w:rsid w:val="004E1776"/>
    <w:rsid w:val="004E193A"/>
    <w:rsid w:val="004E19BD"/>
    <w:rsid w:val="004E1B81"/>
    <w:rsid w:val="004E1C20"/>
    <w:rsid w:val="004E1C32"/>
    <w:rsid w:val="004E1C7F"/>
    <w:rsid w:val="004E1D94"/>
    <w:rsid w:val="004E1E1A"/>
    <w:rsid w:val="004E1F58"/>
    <w:rsid w:val="004E21D0"/>
    <w:rsid w:val="004E241F"/>
    <w:rsid w:val="004E246B"/>
    <w:rsid w:val="004E24F8"/>
    <w:rsid w:val="004E2632"/>
    <w:rsid w:val="004E2645"/>
    <w:rsid w:val="004E2671"/>
    <w:rsid w:val="004E290B"/>
    <w:rsid w:val="004E2953"/>
    <w:rsid w:val="004E2A24"/>
    <w:rsid w:val="004E2B0B"/>
    <w:rsid w:val="004E2B25"/>
    <w:rsid w:val="004E2B94"/>
    <w:rsid w:val="004E2CBC"/>
    <w:rsid w:val="004E2D29"/>
    <w:rsid w:val="004E2E0C"/>
    <w:rsid w:val="004E2E45"/>
    <w:rsid w:val="004E2FA8"/>
    <w:rsid w:val="004E3278"/>
    <w:rsid w:val="004E328C"/>
    <w:rsid w:val="004E3290"/>
    <w:rsid w:val="004E3359"/>
    <w:rsid w:val="004E35F6"/>
    <w:rsid w:val="004E3929"/>
    <w:rsid w:val="004E3977"/>
    <w:rsid w:val="004E39D8"/>
    <w:rsid w:val="004E3B38"/>
    <w:rsid w:val="004E3B6B"/>
    <w:rsid w:val="004E3BED"/>
    <w:rsid w:val="004E3D44"/>
    <w:rsid w:val="004E3D53"/>
    <w:rsid w:val="004E3EEE"/>
    <w:rsid w:val="004E3F0E"/>
    <w:rsid w:val="004E3F14"/>
    <w:rsid w:val="004E3FF2"/>
    <w:rsid w:val="004E4071"/>
    <w:rsid w:val="004E4079"/>
    <w:rsid w:val="004E4199"/>
    <w:rsid w:val="004E4256"/>
    <w:rsid w:val="004E4374"/>
    <w:rsid w:val="004E438C"/>
    <w:rsid w:val="004E4394"/>
    <w:rsid w:val="004E43FF"/>
    <w:rsid w:val="004E4440"/>
    <w:rsid w:val="004E4669"/>
    <w:rsid w:val="004E4714"/>
    <w:rsid w:val="004E4826"/>
    <w:rsid w:val="004E4913"/>
    <w:rsid w:val="004E4B5D"/>
    <w:rsid w:val="004E4B76"/>
    <w:rsid w:val="004E4C0A"/>
    <w:rsid w:val="004E4D92"/>
    <w:rsid w:val="004E4DD7"/>
    <w:rsid w:val="004E4EAD"/>
    <w:rsid w:val="004E4FBB"/>
    <w:rsid w:val="004E5092"/>
    <w:rsid w:val="004E54AD"/>
    <w:rsid w:val="004E550E"/>
    <w:rsid w:val="004E553F"/>
    <w:rsid w:val="004E56F2"/>
    <w:rsid w:val="004E5814"/>
    <w:rsid w:val="004E587D"/>
    <w:rsid w:val="004E5885"/>
    <w:rsid w:val="004E58C9"/>
    <w:rsid w:val="004E58F0"/>
    <w:rsid w:val="004E594C"/>
    <w:rsid w:val="004E5A91"/>
    <w:rsid w:val="004E5A92"/>
    <w:rsid w:val="004E5C03"/>
    <w:rsid w:val="004E5E71"/>
    <w:rsid w:val="004E5F70"/>
    <w:rsid w:val="004E60AD"/>
    <w:rsid w:val="004E644C"/>
    <w:rsid w:val="004E649D"/>
    <w:rsid w:val="004E6527"/>
    <w:rsid w:val="004E6568"/>
    <w:rsid w:val="004E6829"/>
    <w:rsid w:val="004E6916"/>
    <w:rsid w:val="004E6917"/>
    <w:rsid w:val="004E691B"/>
    <w:rsid w:val="004E6B0D"/>
    <w:rsid w:val="004E6B8D"/>
    <w:rsid w:val="004E6CAE"/>
    <w:rsid w:val="004E6D8F"/>
    <w:rsid w:val="004E6E40"/>
    <w:rsid w:val="004E6E61"/>
    <w:rsid w:val="004E6E8F"/>
    <w:rsid w:val="004E6FA5"/>
    <w:rsid w:val="004E700C"/>
    <w:rsid w:val="004E701D"/>
    <w:rsid w:val="004E7026"/>
    <w:rsid w:val="004E7077"/>
    <w:rsid w:val="004E7145"/>
    <w:rsid w:val="004E722E"/>
    <w:rsid w:val="004E75F4"/>
    <w:rsid w:val="004E7747"/>
    <w:rsid w:val="004E777A"/>
    <w:rsid w:val="004E7784"/>
    <w:rsid w:val="004E787A"/>
    <w:rsid w:val="004E795E"/>
    <w:rsid w:val="004E7A00"/>
    <w:rsid w:val="004E7A9C"/>
    <w:rsid w:val="004E7B00"/>
    <w:rsid w:val="004E7D4D"/>
    <w:rsid w:val="004E7D92"/>
    <w:rsid w:val="004F00A4"/>
    <w:rsid w:val="004F0104"/>
    <w:rsid w:val="004F0105"/>
    <w:rsid w:val="004F03C6"/>
    <w:rsid w:val="004F03D7"/>
    <w:rsid w:val="004F04B0"/>
    <w:rsid w:val="004F0639"/>
    <w:rsid w:val="004F0B4F"/>
    <w:rsid w:val="004F0BB7"/>
    <w:rsid w:val="004F0BF1"/>
    <w:rsid w:val="004F0D6C"/>
    <w:rsid w:val="004F0FE6"/>
    <w:rsid w:val="004F0FF7"/>
    <w:rsid w:val="004F1122"/>
    <w:rsid w:val="004F1218"/>
    <w:rsid w:val="004F12D6"/>
    <w:rsid w:val="004F15BD"/>
    <w:rsid w:val="004F1642"/>
    <w:rsid w:val="004F1673"/>
    <w:rsid w:val="004F18DA"/>
    <w:rsid w:val="004F19E7"/>
    <w:rsid w:val="004F1AA4"/>
    <w:rsid w:val="004F1AA8"/>
    <w:rsid w:val="004F1B0F"/>
    <w:rsid w:val="004F1B41"/>
    <w:rsid w:val="004F1D30"/>
    <w:rsid w:val="004F1D34"/>
    <w:rsid w:val="004F1D6F"/>
    <w:rsid w:val="004F1EF5"/>
    <w:rsid w:val="004F1F3A"/>
    <w:rsid w:val="004F2030"/>
    <w:rsid w:val="004F212F"/>
    <w:rsid w:val="004F2219"/>
    <w:rsid w:val="004F2334"/>
    <w:rsid w:val="004F23C9"/>
    <w:rsid w:val="004F26D9"/>
    <w:rsid w:val="004F2706"/>
    <w:rsid w:val="004F287F"/>
    <w:rsid w:val="004F2984"/>
    <w:rsid w:val="004F2A56"/>
    <w:rsid w:val="004F2BE5"/>
    <w:rsid w:val="004F2CCB"/>
    <w:rsid w:val="004F2E0D"/>
    <w:rsid w:val="004F2E15"/>
    <w:rsid w:val="004F2E68"/>
    <w:rsid w:val="004F3063"/>
    <w:rsid w:val="004F32BA"/>
    <w:rsid w:val="004F3454"/>
    <w:rsid w:val="004F3625"/>
    <w:rsid w:val="004F3845"/>
    <w:rsid w:val="004F3984"/>
    <w:rsid w:val="004F39AA"/>
    <w:rsid w:val="004F39F1"/>
    <w:rsid w:val="004F3A04"/>
    <w:rsid w:val="004F3B20"/>
    <w:rsid w:val="004F3E09"/>
    <w:rsid w:val="004F3F21"/>
    <w:rsid w:val="004F3F48"/>
    <w:rsid w:val="004F3F57"/>
    <w:rsid w:val="004F4133"/>
    <w:rsid w:val="004F416D"/>
    <w:rsid w:val="004F4250"/>
    <w:rsid w:val="004F42D6"/>
    <w:rsid w:val="004F4301"/>
    <w:rsid w:val="004F43DD"/>
    <w:rsid w:val="004F4596"/>
    <w:rsid w:val="004F45BF"/>
    <w:rsid w:val="004F4669"/>
    <w:rsid w:val="004F4759"/>
    <w:rsid w:val="004F48E6"/>
    <w:rsid w:val="004F4993"/>
    <w:rsid w:val="004F4A1D"/>
    <w:rsid w:val="004F4BA3"/>
    <w:rsid w:val="004F4C16"/>
    <w:rsid w:val="004F4D45"/>
    <w:rsid w:val="004F4D69"/>
    <w:rsid w:val="004F4E2E"/>
    <w:rsid w:val="004F4E73"/>
    <w:rsid w:val="004F5028"/>
    <w:rsid w:val="004F5038"/>
    <w:rsid w:val="004F515E"/>
    <w:rsid w:val="004F51E8"/>
    <w:rsid w:val="004F523D"/>
    <w:rsid w:val="004F54C1"/>
    <w:rsid w:val="004F55DF"/>
    <w:rsid w:val="004F56E8"/>
    <w:rsid w:val="004F5834"/>
    <w:rsid w:val="004F5843"/>
    <w:rsid w:val="004F586B"/>
    <w:rsid w:val="004F589E"/>
    <w:rsid w:val="004F59BB"/>
    <w:rsid w:val="004F5A50"/>
    <w:rsid w:val="004F5A93"/>
    <w:rsid w:val="004F5CBA"/>
    <w:rsid w:val="004F5D25"/>
    <w:rsid w:val="004F5F10"/>
    <w:rsid w:val="004F5F58"/>
    <w:rsid w:val="004F5F5D"/>
    <w:rsid w:val="004F602F"/>
    <w:rsid w:val="004F6041"/>
    <w:rsid w:val="004F609A"/>
    <w:rsid w:val="004F6110"/>
    <w:rsid w:val="004F6120"/>
    <w:rsid w:val="004F6143"/>
    <w:rsid w:val="004F6298"/>
    <w:rsid w:val="004F62B9"/>
    <w:rsid w:val="004F6326"/>
    <w:rsid w:val="004F6467"/>
    <w:rsid w:val="004F6485"/>
    <w:rsid w:val="004F662D"/>
    <w:rsid w:val="004F668D"/>
    <w:rsid w:val="004F68A2"/>
    <w:rsid w:val="004F6AB1"/>
    <w:rsid w:val="004F6DB9"/>
    <w:rsid w:val="004F6F48"/>
    <w:rsid w:val="004F6FEF"/>
    <w:rsid w:val="004F7013"/>
    <w:rsid w:val="004F7044"/>
    <w:rsid w:val="004F7176"/>
    <w:rsid w:val="004F71BB"/>
    <w:rsid w:val="004F71D3"/>
    <w:rsid w:val="004F722B"/>
    <w:rsid w:val="004F725F"/>
    <w:rsid w:val="004F72D3"/>
    <w:rsid w:val="004F7312"/>
    <w:rsid w:val="004F7349"/>
    <w:rsid w:val="004F73B0"/>
    <w:rsid w:val="004F73CF"/>
    <w:rsid w:val="004F73DF"/>
    <w:rsid w:val="004F74C0"/>
    <w:rsid w:val="004F7663"/>
    <w:rsid w:val="004F76B7"/>
    <w:rsid w:val="004F7962"/>
    <w:rsid w:val="004F799B"/>
    <w:rsid w:val="004F7AAD"/>
    <w:rsid w:val="004F7C12"/>
    <w:rsid w:val="004F7D56"/>
    <w:rsid w:val="004F7E2D"/>
    <w:rsid w:val="005000FC"/>
    <w:rsid w:val="0050010D"/>
    <w:rsid w:val="00500264"/>
    <w:rsid w:val="005002AB"/>
    <w:rsid w:val="005002BE"/>
    <w:rsid w:val="005002E8"/>
    <w:rsid w:val="00500406"/>
    <w:rsid w:val="00500495"/>
    <w:rsid w:val="005004F1"/>
    <w:rsid w:val="005009D3"/>
    <w:rsid w:val="00500AAE"/>
    <w:rsid w:val="00500B89"/>
    <w:rsid w:val="00500CC9"/>
    <w:rsid w:val="00500D36"/>
    <w:rsid w:val="00500DBD"/>
    <w:rsid w:val="00500E38"/>
    <w:rsid w:val="00500E39"/>
    <w:rsid w:val="00500E3C"/>
    <w:rsid w:val="00500E81"/>
    <w:rsid w:val="00500F3B"/>
    <w:rsid w:val="0050108D"/>
    <w:rsid w:val="005010BA"/>
    <w:rsid w:val="005010C5"/>
    <w:rsid w:val="00501463"/>
    <w:rsid w:val="005015AF"/>
    <w:rsid w:val="0050171E"/>
    <w:rsid w:val="00501737"/>
    <w:rsid w:val="00501A0B"/>
    <w:rsid w:val="00501A6F"/>
    <w:rsid w:val="00501A97"/>
    <w:rsid w:val="00501C2E"/>
    <w:rsid w:val="00501C8D"/>
    <w:rsid w:val="00501C8F"/>
    <w:rsid w:val="00501CE2"/>
    <w:rsid w:val="00501F09"/>
    <w:rsid w:val="00501F6E"/>
    <w:rsid w:val="00501FEE"/>
    <w:rsid w:val="0050207E"/>
    <w:rsid w:val="005021D6"/>
    <w:rsid w:val="00502487"/>
    <w:rsid w:val="0050256D"/>
    <w:rsid w:val="00502659"/>
    <w:rsid w:val="0050265E"/>
    <w:rsid w:val="005026BB"/>
    <w:rsid w:val="00502777"/>
    <w:rsid w:val="005029FF"/>
    <w:rsid w:val="00502B4E"/>
    <w:rsid w:val="00502BC7"/>
    <w:rsid w:val="00502C1A"/>
    <w:rsid w:val="00502CAD"/>
    <w:rsid w:val="00502CCA"/>
    <w:rsid w:val="00502D1E"/>
    <w:rsid w:val="00502EBF"/>
    <w:rsid w:val="00502F09"/>
    <w:rsid w:val="00502FD6"/>
    <w:rsid w:val="0050302F"/>
    <w:rsid w:val="005030BF"/>
    <w:rsid w:val="005030D8"/>
    <w:rsid w:val="0050313D"/>
    <w:rsid w:val="00503418"/>
    <w:rsid w:val="005035BF"/>
    <w:rsid w:val="00503639"/>
    <w:rsid w:val="0050367E"/>
    <w:rsid w:val="0050368B"/>
    <w:rsid w:val="005036CE"/>
    <w:rsid w:val="005038D7"/>
    <w:rsid w:val="00503AB8"/>
    <w:rsid w:val="00503B53"/>
    <w:rsid w:val="00503CC4"/>
    <w:rsid w:val="00503D2C"/>
    <w:rsid w:val="00503DD5"/>
    <w:rsid w:val="00503E97"/>
    <w:rsid w:val="00503ED4"/>
    <w:rsid w:val="00504045"/>
    <w:rsid w:val="00504055"/>
    <w:rsid w:val="00504166"/>
    <w:rsid w:val="005041CC"/>
    <w:rsid w:val="005042B0"/>
    <w:rsid w:val="0050438D"/>
    <w:rsid w:val="005044B6"/>
    <w:rsid w:val="00504746"/>
    <w:rsid w:val="0050475D"/>
    <w:rsid w:val="00504846"/>
    <w:rsid w:val="00504AE7"/>
    <w:rsid w:val="00504C7D"/>
    <w:rsid w:val="00504D17"/>
    <w:rsid w:val="00504DCD"/>
    <w:rsid w:val="00504DF5"/>
    <w:rsid w:val="00504E1D"/>
    <w:rsid w:val="00504F31"/>
    <w:rsid w:val="00504F6C"/>
    <w:rsid w:val="00504FE9"/>
    <w:rsid w:val="00504FED"/>
    <w:rsid w:val="00505136"/>
    <w:rsid w:val="00505140"/>
    <w:rsid w:val="00505196"/>
    <w:rsid w:val="00505199"/>
    <w:rsid w:val="005051C3"/>
    <w:rsid w:val="00505355"/>
    <w:rsid w:val="0050546A"/>
    <w:rsid w:val="005055E8"/>
    <w:rsid w:val="005057FF"/>
    <w:rsid w:val="0050586A"/>
    <w:rsid w:val="005058AE"/>
    <w:rsid w:val="00505C20"/>
    <w:rsid w:val="00505D44"/>
    <w:rsid w:val="00505DD7"/>
    <w:rsid w:val="00505E48"/>
    <w:rsid w:val="00505E77"/>
    <w:rsid w:val="00505FCC"/>
    <w:rsid w:val="0050620B"/>
    <w:rsid w:val="00506357"/>
    <w:rsid w:val="0050640A"/>
    <w:rsid w:val="005065C8"/>
    <w:rsid w:val="00506788"/>
    <w:rsid w:val="005067B5"/>
    <w:rsid w:val="0050683F"/>
    <w:rsid w:val="00506864"/>
    <w:rsid w:val="00506917"/>
    <w:rsid w:val="005069F4"/>
    <w:rsid w:val="00506B07"/>
    <w:rsid w:val="00506D43"/>
    <w:rsid w:val="00506D5D"/>
    <w:rsid w:val="00506D5F"/>
    <w:rsid w:val="00507019"/>
    <w:rsid w:val="00507093"/>
    <w:rsid w:val="00507096"/>
    <w:rsid w:val="0050712A"/>
    <w:rsid w:val="005072FF"/>
    <w:rsid w:val="00507398"/>
    <w:rsid w:val="00507500"/>
    <w:rsid w:val="00507649"/>
    <w:rsid w:val="005076C1"/>
    <w:rsid w:val="0050782B"/>
    <w:rsid w:val="0050786C"/>
    <w:rsid w:val="00507A09"/>
    <w:rsid w:val="00507BFF"/>
    <w:rsid w:val="00507D3F"/>
    <w:rsid w:val="00507DBC"/>
    <w:rsid w:val="00507F65"/>
    <w:rsid w:val="0051002B"/>
    <w:rsid w:val="0051010A"/>
    <w:rsid w:val="0051011C"/>
    <w:rsid w:val="00510192"/>
    <w:rsid w:val="005101E7"/>
    <w:rsid w:val="00510302"/>
    <w:rsid w:val="0051032C"/>
    <w:rsid w:val="0051039D"/>
    <w:rsid w:val="0051047E"/>
    <w:rsid w:val="0051079B"/>
    <w:rsid w:val="00510893"/>
    <w:rsid w:val="005109E3"/>
    <w:rsid w:val="00510BCF"/>
    <w:rsid w:val="00510BE5"/>
    <w:rsid w:val="00510D45"/>
    <w:rsid w:val="00510D7F"/>
    <w:rsid w:val="00510D98"/>
    <w:rsid w:val="00510F45"/>
    <w:rsid w:val="005110E7"/>
    <w:rsid w:val="0051119B"/>
    <w:rsid w:val="0051121C"/>
    <w:rsid w:val="0051123B"/>
    <w:rsid w:val="00511242"/>
    <w:rsid w:val="005112B8"/>
    <w:rsid w:val="0051142F"/>
    <w:rsid w:val="0051144E"/>
    <w:rsid w:val="0051150F"/>
    <w:rsid w:val="00511524"/>
    <w:rsid w:val="0051157C"/>
    <w:rsid w:val="0051167C"/>
    <w:rsid w:val="00511746"/>
    <w:rsid w:val="00511840"/>
    <w:rsid w:val="005118EB"/>
    <w:rsid w:val="00511913"/>
    <w:rsid w:val="005119B3"/>
    <w:rsid w:val="00511A1E"/>
    <w:rsid w:val="00511A44"/>
    <w:rsid w:val="00511B0A"/>
    <w:rsid w:val="00511CCB"/>
    <w:rsid w:val="00511D08"/>
    <w:rsid w:val="00511F89"/>
    <w:rsid w:val="0051203B"/>
    <w:rsid w:val="00512249"/>
    <w:rsid w:val="005123E2"/>
    <w:rsid w:val="0051251D"/>
    <w:rsid w:val="00512676"/>
    <w:rsid w:val="00512715"/>
    <w:rsid w:val="00512A94"/>
    <w:rsid w:val="00512BF7"/>
    <w:rsid w:val="00512CC4"/>
    <w:rsid w:val="00512CD6"/>
    <w:rsid w:val="00512D9B"/>
    <w:rsid w:val="00512DD0"/>
    <w:rsid w:val="00512E1D"/>
    <w:rsid w:val="00512F52"/>
    <w:rsid w:val="005130EE"/>
    <w:rsid w:val="00513186"/>
    <w:rsid w:val="0051323B"/>
    <w:rsid w:val="0051327E"/>
    <w:rsid w:val="00513402"/>
    <w:rsid w:val="00513453"/>
    <w:rsid w:val="005134F6"/>
    <w:rsid w:val="005135AE"/>
    <w:rsid w:val="005138E6"/>
    <w:rsid w:val="0051393B"/>
    <w:rsid w:val="00513AF7"/>
    <w:rsid w:val="00513B61"/>
    <w:rsid w:val="00513D16"/>
    <w:rsid w:val="0051411C"/>
    <w:rsid w:val="00514203"/>
    <w:rsid w:val="005143C2"/>
    <w:rsid w:val="005144B7"/>
    <w:rsid w:val="0051457E"/>
    <w:rsid w:val="005145EE"/>
    <w:rsid w:val="005145FF"/>
    <w:rsid w:val="005147C8"/>
    <w:rsid w:val="0051496A"/>
    <w:rsid w:val="00514C1B"/>
    <w:rsid w:val="00514CD8"/>
    <w:rsid w:val="00514CE1"/>
    <w:rsid w:val="00514D14"/>
    <w:rsid w:val="00514F61"/>
    <w:rsid w:val="00514F6E"/>
    <w:rsid w:val="0051508C"/>
    <w:rsid w:val="005150E7"/>
    <w:rsid w:val="00515224"/>
    <w:rsid w:val="005152D8"/>
    <w:rsid w:val="00515508"/>
    <w:rsid w:val="00515598"/>
    <w:rsid w:val="005157D0"/>
    <w:rsid w:val="005157F3"/>
    <w:rsid w:val="0051582A"/>
    <w:rsid w:val="005158F9"/>
    <w:rsid w:val="005159D9"/>
    <w:rsid w:val="005159E7"/>
    <w:rsid w:val="00515ADA"/>
    <w:rsid w:val="00515B10"/>
    <w:rsid w:val="00515C9A"/>
    <w:rsid w:val="00515CA3"/>
    <w:rsid w:val="00515CEC"/>
    <w:rsid w:val="00515ED4"/>
    <w:rsid w:val="00515F8D"/>
    <w:rsid w:val="00515FDF"/>
    <w:rsid w:val="00516098"/>
    <w:rsid w:val="005160A2"/>
    <w:rsid w:val="00516104"/>
    <w:rsid w:val="0051611F"/>
    <w:rsid w:val="0051617D"/>
    <w:rsid w:val="005161D7"/>
    <w:rsid w:val="005163BA"/>
    <w:rsid w:val="005163C9"/>
    <w:rsid w:val="00516410"/>
    <w:rsid w:val="0051646E"/>
    <w:rsid w:val="005165F7"/>
    <w:rsid w:val="00516614"/>
    <w:rsid w:val="005167B9"/>
    <w:rsid w:val="00516968"/>
    <w:rsid w:val="005169F7"/>
    <w:rsid w:val="00516A54"/>
    <w:rsid w:val="00516B60"/>
    <w:rsid w:val="00516B6D"/>
    <w:rsid w:val="00516BB4"/>
    <w:rsid w:val="00516C39"/>
    <w:rsid w:val="00516CA3"/>
    <w:rsid w:val="00516CBA"/>
    <w:rsid w:val="00516DB2"/>
    <w:rsid w:val="00516E6D"/>
    <w:rsid w:val="00516E9B"/>
    <w:rsid w:val="00516FCA"/>
    <w:rsid w:val="00517092"/>
    <w:rsid w:val="00517110"/>
    <w:rsid w:val="00517277"/>
    <w:rsid w:val="005173DB"/>
    <w:rsid w:val="00517436"/>
    <w:rsid w:val="00517536"/>
    <w:rsid w:val="00517596"/>
    <w:rsid w:val="00517753"/>
    <w:rsid w:val="00517A10"/>
    <w:rsid w:val="00517A74"/>
    <w:rsid w:val="00517A8F"/>
    <w:rsid w:val="00517C4C"/>
    <w:rsid w:val="00517CA9"/>
    <w:rsid w:val="00517DD4"/>
    <w:rsid w:val="00517DFB"/>
    <w:rsid w:val="00517F54"/>
    <w:rsid w:val="00517FF1"/>
    <w:rsid w:val="0052000F"/>
    <w:rsid w:val="00520138"/>
    <w:rsid w:val="00520182"/>
    <w:rsid w:val="0052021F"/>
    <w:rsid w:val="00520265"/>
    <w:rsid w:val="00520354"/>
    <w:rsid w:val="005203D3"/>
    <w:rsid w:val="00520443"/>
    <w:rsid w:val="00520540"/>
    <w:rsid w:val="005205A3"/>
    <w:rsid w:val="00520638"/>
    <w:rsid w:val="005207CE"/>
    <w:rsid w:val="00520815"/>
    <w:rsid w:val="00520828"/>
    <w:rsid w:val="005208C4"/>
    <w:rsid w:val="00520BAA"/>
    <w:rsid w:val="00520BED"/>
    <w:rsid w:val="00520C7A"/>
    <w:rsid w:val="00520CC6"/>
    <w:rsid w:val="00520D87"/>
    <w:rsid w:val="00520E5A"/>
    <w:rsid w:val="0052107A"/>
    <w:rsid w:val="0052125F"/>
    <w:rsid w:val="00521373"/>
    <w:rsid w:val="005214D6"/>
    <w:rsid w:val="00521535"/>
    <w:rsid w:val="0052167E"/>
    <w:rsid w:val="0052169C"/>
    <w:rsid w:val="0052174E"/>
    <w:rsid w:val="00521759"/>
    <w:rsid w:val="00521987"/>
    <w:rsid w:val="00521A90"/>
    <w:rsid w:val="00521B69"/>
    <w:rsid w:val="00521B7B"/>
    <w:rsid w:val="00521B8B"/>
    <w:rsid w:val="00521CED"/>
    <w:rsid w:val="00521D26"/>
    <w:rsid w:val="00521D64"/>
    <w:rsid w:val="00521EFF"/>
    <w:rsid w:val="00522016"/>
    <w:rsid w:val="00522278"/>
    <w:rsid w:val="00522433"/>
    <w:rsid w:val="005228CC"/>
    <w:rsid w:val="005229CC"/>
    <w:rsid w:val="00522B8A"/>
    <w:rsid w:val="00522C4A"/>
    <w:rsid w:val="00522C80"/>
    <w:rsid w:val="00522C8D"/>
    <w:rsid w:val="00522CE5"/>
    <w:rsid w:val="00522DB4"/>
    <w:rsid w:val="00522E04"/>
    <w:rsid w:val="00522ED4"/>
    <w:rsid w:val="00522EFD"/>
    <w:rsid w:val="00523009"/>
    <w:rsid w:val="005230EA"/>
    <w:rsid w:val="00523130"/>
    <w:rsid w:val="00523246"/>
    <w:rsid w:val="005232A9"/>
    <w:rsid w:val="00523374"/>
    <w:rsid w:val="005233D2"/>
    <w:rsid w:val="005233E9"/>
    <w:rsid w:val="00523540"/>
    <w:rsid w:val="005235BC"/>
    <w:rsid w:val="005236F5"/>
    <w:rsid w:val="00523929"/>
    <w:rsid w:val="00523ACD"/>
    <w:rsid w:val="00523BAB"/>
    <w:rsid w:val="00523BEA"/>
    <w:rsid w:val="00523D29"/>
    <w:rsid w:val="00523D7A"/>
    <w:rsid w:val="00523DB0"/>
    <w:rsid w:val="00523E1F"/>
    <w:rsid w:val="00523E59"/>
    <w:rsid w:val="00523F1A"/>
    <w:rsid w:val="00524079"/>
    <w:rsid w:val="005240F4"/>
    <w:rsid w:val="0052424F"/>
    <w:rsid w:val="0052443A"/>
    <w:rsid w:val="0052445A"/>
    <w:rsid w:val="00524593"/>
    <w:rsid w:val="005245B2"/>
    <w:rsid w:val="005245F9"/>
    <w:rsid w:val="005248A1"/>
    <w:rsid w:val="0052493F"/>
    <w:rsid w:val="005249F4"/>
    <w:rsid w:val="00524BF3"/>
    <w:rsid w:val="00524CB6"/>
    <w:rsid w:val="00524E9F"/>
    <w:rsid w:val="00524ECC"/>
    <w:rsid w:val="00524FE3"/>
    <w:rsid w:val="00525002"/>
    <w:rsid w:val="005250A6"/>
    <w:rsid w:val="0052515F"/>
    <w:rsid w:val="00525217"/>
    <w:rsid w:val="005252C7"/>
    <w:rsid w:val="005252F8"/>
    <w:rsid w:val="005255F6"/>
    <w:rsid w:val="005256D6"/>
    <w:rsid w:val="0052574D"/>
    <w:rsid w:val="00525807"/>
    <w:rsid w:val="00525871"/>
    <w:rsid w:val="005259DB"/>
    <w:rsid w:val="00525AB8"/>
    <w:rsid w:val="00525AF0"/>
    <w:rsid w:val="00525B05"/>
    <w:rsid w:val="00525B09"/>
    <w:rsid w:val="00525C04"/>
    <w:rsid w:val="00525C3A"/>
    <w:rsid w:val="00525C8B"/>
    <w:rsid w:val="00525C96"/>
    <w:rsid w:val="00525CCF"/>
    <w:rsid w:val="00525CDF"/>
    <w:rsid w:val="00525D2A"/>
    <w:rsid w:val="00525D42"/>
    <w:rsid w:val="00525E10"/>
    <w:rsid w:val="00525EDA"/>
    <w:rsid w:val="00525FAD"/>
    <w:rsid w:val="00526079"/>
    <w:rsid w:val="0052609E"/>
    <w:rsid w:val="0052614C"/>
    <w:rsid w:val="0052616F"/>
    <w:rsid w:val="00526195"/>
    <w:rsid w:val="005263D3"/>
    <w:rsid w:val="005264F3"/>
    <w:rsid w:val="00526561"/>
    <w:rsid w:val="0052670C"/>
    <w:rsid w:val="0052674C"/>
    <w:rsid w:val="0052675F"/>
    <w:rsid w:val="0052677C"/>
    <w:rsid w:val="005267A2"/>
    <w:rsid w:val="00526C8A"/>
    <w:rsid w:val="00526E1E"/>
    <w:rsid w:val="00526EA5"/>
    <w:rsid w:val="005271ED"/>
    <w:rsid w:val="0052729B"/>
    <w:rsid w:val="00527388"/>
    <w:rsid w:val="0052745B"/>
    <w:rsid w:val="005274E1"/>
    <w:rsid w:val="005274FA"/>
    <w:rsid w:val="005275E8"/>
    <w:rsid w:val="0052767B"/>
    <w:rsid w:val="00527763"/>
    <w:rsid w:val="00527799"/>
    <w:rsid w:val="00527883"/>
    <w:rsid w:val="005279C7"/>
    <w:rsid w:val="00527A5C"/>
    <w:rsid w:val="00527AB9"/>
    <w:rsid w:val="00527D07"/>
    <w:rsid w:val="00527D1C"/>
    <w:rsid w:val="00527D68"/>
    <w:rsid w:val="00527DBF"/>
    <w:rsid w:val="00527E88"/>
    <w:rsid w:val="00527F07"/>
    <w:rsid w:val="00527F54"/>
    <w:rsid w:val="0053015C"/>
    <w:rsid w:val="0053017A"/>
    <w:rsid w:val="00530276"/>
    <w:rsid w:val="0053052A"/>
    <w:rsid w:val="00530580"/>
    <w:rsid w:val="00530854"/>
    <w:rsid w:val="005308A6"/>
    <w:rsid w:val="00530952"/>
    <w:rsid w:val="00530AF0"/>
    <w:rsid w:val="00530C2A"/>
    <w:rsid w:val="00530CBA"/>
    <w:rsid w:val="00530CF9"/>
    <w:rsid w:val="00530D7B"/>
    <w:rsid w:val="00530FBA"/>
    <w:rsid w:val="00531163"/>
    <w:rsid w:val="00531491"/>
    <w:rsid w:val="005314E2"/>
    <w:rsid w:val="00531580"/>
    <w:rsid w:val="00531643"/>
    <w:rsid w:val="00531661"/>
    <w:rsid w:val="00531756"/>
    <w:rsid w:val="0053175A"/>
    <w:rsid w:val="00531945"/>
    <w:rsid w:val="00531983"/>
    <w:rsid w:val="005319B6"/>
    <w:rsid w:val="00531A0C"/>
    <w:rsid w:val="00531C73"/>
    <w:rsid w:val="00531CCF"/>
    <w:rsid w:val="00531CFF"/>
    <w:rsid w:val="00531E20"/>
    <w:rsid w:val="00531F24"/>
    <w:rsid w:val="00531FEB"/>
    <w:rsid w:val="0053201F"/>
    <w:rsid w:val="00532272"/>
    <w:rsid w:val="005322D8"/>
    <w:rsid w:val="00532330"/>
    <w:rsid w:val="005323A4"/>
    <w:rsid w:val="005324B0"/>
    <w:rsid w:val="00532571"/>
    <w:rsid w:val="00532627"/>
    <w:rsid w:val="005326D7"/>
    <w:rsid w:val="00532800"/>
    <w:rsid w:val="00532805"/>
    <w:rsid w:val="0053295C"/>
    <w:rsid w:val="00532BA2"/>
    <w:rsid w:val="00532C1F"/>
    <w:rsid w:val="00532C2B"/>
    <w:rsid w:val="00532C3F"/>
    <w:rsid w:val="00532C6F"/>
    <w:rsid w:val="00532F2F"/>
    <w:rsid w:val="00532F4C"/>
    <w:rsid w:val="00532F53"/>
    <w:rsid w:val="00532F97"/>
    <w:rsid w:val="00533058"/>
    <w:rsid w:val="005330B1"/>
    <w:rsid w:val="0053311F"/>
    <w:rsid w:val="00533132"/>
    <w:rsid w:val="005331A1"/>
    <w:rsid w:val="00533203"/>
    <w:rsid w:val="00533299"/>
    <w:rsid w:val="005333AC"/>
    <w:rsid w:val="005334DB"/>
    <w:rsid w:val="0053354F"/>
    <w:rsid w:val="00533602"/>
    <w:rsid w:val="00533625"/>
    <w:rsid w:val="005336FE"/>
    <w:rsid w:val="00533844"/>
    <w:rsid w:val="005338FE"/>
    <w:rsid w:val="00533A32"/>
    <w:rsid w:val="00533A38"/>
    <w:rsid w:val="00533A51"/>
    <w:rsid w:val="00533C21"/>
    <w:rsid w:val="00533DCC"/>
    <w:rsid w:val="00533E27"/>
    <w:rsid w:val="00533FA0"/>
    <w:rsid w:val="00534054"/>
    <w:rsid w:val="00534063"/>
    <w:rsid w:val="005340FE"/>
    <w:rsid w:val="00534243"/>
    <w:rsid w:val="005342F4"/>
    <w:rsid w:val="0053437A"/>
    <w:rsid w:val="005344A8"/>
    <w:rsid w:val="005344ED"/>
    <w:rsid w:val="005345DB"/>
    <w:rsid w:val="005345ED"/>
    <w:rsid w:val="005348DF"/>
    <w:rsid w:val="00534957"/>
    <w:rsid w:val="00534A6F"/>
    <w:rsid w:val="00534BF5"/>
    <w:rsid w:val="00534C10"/>
    <w:rsid w:val="00534C1A"/>
    <w:rsid w:val="00534E78"/>
    <w:rsid w:val="00535099"/>
    <w:rsid w:val="0053510C"/>
    <w:rsid w:val="00535127"/>
    <w:rsid w:val="00535145"/>
    <w:rsid w:val="0053515C"/>
    <w:rsid w:val="005352B6"/>
    <w:rsid w:val="0053545A"/>
    <w:rsid w:val="00535653"/>
    <w:rsid w:val="0053566D"/>
    <w:rsid w:val="00535936"/>
    <w:rsid w:val="00535958"/>
    <w:rsid w:val="005359D1"/>
    <w:rsid w:val="005359E6"/>
    <w:rsid w:val="00535BE7"/>
    <w:rsid w:val="00535C1B"/>
    <w:rsid w:val="00535C57"/>
    <w:rsid w:val="00535C8E"/>
    <w:rsid w:val="00535CB0"/>
    <w:rsid w:val="00535D1C"/>
    <w:rsid w:val="00535E46"/>
    <w:rsid w:val="00535E9B"/>
    <w:rsid w:val="00535ED3"/>
    <w:rsid w:val="00535EEF"/>
    <w:rsid w:val="00535FA5"/>
    <w:rsid w:val="00535FCE"/>
    <w:rsid w:val="00535FDB"/>
    <w:rsid w:val="00536018"/>
    <w:rsid w:val="005360F1"/>
    <w:rsid w:val="00536111"/>
    <w:rsid w:val="00536115"/>
    <w:rsid w:val="0053617E"/>
    <w:rsid w:val="005361D3"/>
    <w:rsid w:val="005361E9"/>
    <w:rsid w:val="00536439"/>
    <w:rsid w:val="00536711"/>
    <w:rsid w:val="00536744"/>
    <w:rsid w:val="0053679F"/>
    <w:rsid w:val="005367D9"/>
    <w:rsid w:val="0053682A"/>
    <w:rsid w:val="0053693C"/>
    <w:rsid w:val="00536A8A"/>
    <w:rsid w:val="00536BCF"/>
    <w:rsid w:val="00536CC6"/>
    <w:rsid w:val="00536CE8"/>
    <w:rsid w:val="00536E15"/>
    <w:rsid w:val="00536E28"/>
    <w:rsid w:val="00536EF1"/>
    <w:rsid w:val="00537090"/>
    <w:rsid w:val="005370DE"/>
    <w:rsid w:val="0053711A"/>
    <w:rsid w:val="00537492"/>
    <w:rsid w:val="005375CA"/>
    <w:rsid w:val="005375D8"/>
    <w:rsid w:val="00537699"/>
    <w:rsid w:val="0053773D"/>
    <w:rsid w:val="00537912"/>
    <w:rsid w:val="005379D1"/>
    <w:rsid w:val="00537A6C"/>
    <w:rsid w:val="00537B28"/>
    <w:rsid w:val="00537BC0"/>
    <w:rsid w:val="00537D3C"/>
    <w:rsid w:val="00537D86"/>
    <w:rsid w:val="0054016F"/>
    <w:rsid w:val="005401ED"/>
    <w:rsid w:val="00540227"/>
    <w:rsid w:val="00540278"/>
    <w:rsid w:val="00540401"/>
    <w:rsid w:val="00540461"/>
    <w:rsid w:val="0054058F"/>
    <w:rsid w:val="0054075F"/>
    <w:rsid w:val="00540777"/>
    <w:rsid w:val="00540791"/>
    <w:rsid w:val="00540835"/>
    <w:rsid w:val="00540912"/>
    <w:rsid w:val="00540EF1"/>
    <w:rsid w:val="00540FA0"/>
    <w:rsid w:val="0054113D"/>
    <w:rsid w:val="00541391"/>
    <w:rsid w:val="005414DF"/>
    <w:rsid w:val="005415BB"/>
    <w:rsid w:val="00541684"/>
    <w:rsid w:val="00541699"/>
    <w:rsid w:val="0054181A"/>
    <w:rsid w:val="0054188C"/>
    <w:rsid w:val="005418B9"/>
    <w:rsid w:val="00541963"/>
    <w:rsid w:val="00541AD1"/>
    <w:rsid w:val="00541B55"/>
    <w:rsid w:val="00541BDB"/>
    <w:rsid w:val="00541D0A"/>
    <w:rsid w:val="00541E2F"/>
    <w:rsid w:val="00541FCD"/>
    <w:rsid w:val="005424F5"/>
    <w:rsid w:val="00542576"/>
    <w:rsid w:val="00542619"/>
    <w:rsid w:val="0054262B"/>
    <w:rsid w:val="005426A1"/>
    <w:rsid w:val="005426C1"/>
    <w:rsid w:val="0054272C"/>
    <w:rsid w:val="005428C7"/>
    <w:rsid w:val="00542B8C"/>
    <w:rsid w:val="00542CF3"/>
    <w:rsid w:val="00542D27"/>
    <w:rsid w:val="00542D2D"/>
    <w:rsid w:val="00542DC0"/>
    <w:rsid w:val="00542E33"/>
    <w:rsid w:val="00542EA4"/>
    <w:rsid w:val="00542F2B"/>
    <w:rsid w:val="00542F78"/>
    <w:rsid w:val="00543098"/>
    <w:rsid w:val="00543105"/>
    <w:rsid w:val="0054318E"/>
    <w:rsid w:val="0054320F"/>
    <w:rsid w:val="0054325B"/>
    <w:rsid w:val="0054340B"/>
    <w:rsid w:val="00543429"/>
    <w:rsid w:val="0054344E"/>
    <w:rsid w:val="005434C6"/>
    <w:rsid w:val="005434F3"/>
    <w:rsid w:val="00543553"/>
    <w:rsid w:val="00543554"/>
    <w:rsid w:val="005435E2"/>
    <w:rsid w:val="005435E8"/>
    <w:rsid w:val="005438A8"/>
    <w:rsid w:val="00543935"/>
    <w:rsid w:val="00543944"/>
    <w:rsid w:val="00543BF5"/>
    <w:rsid w:val="00543CA8"/>
    <w:rsid w:val="00543CCC"/>
    <w:rsid w:val="00543DD6"/>
    <w:rsid w:val="00543E19"/>
    <w:rsid w:val="00543E83"/>
    <w:rsid w:val="00544107"/>
    <w:rsid w:val="0054436A"/>
    <w:rsid w:val="00544455"/>
    <w:rsid w:val="005444AE"/>
    <w:rsid w:val="005445C6"/>
    <w:rsid w:val="0054468F"/>
    <w:rsid w:val="00544820"/>
    <w:rsid w:val="00544831"/>
    <w:rsid w:val="00544A2F"/>
    <w:rsid w:val="00544CD8"/>
    <w:rsid w:val="00544E4E"/>
    <w:rsid w:val="00544EA4"/>
    <w:rsid w:val="0054508D"/>
    <w:rsid w:val="0054511A"/>
    <w:rsid w:val="005452D1"/>
    <w:rsid w:val="0054533D"/>
    <w:rsid w:val="00545561"/>
    <w:rsid w:val="0054567C"/>
    <w:rsid w:val="00545915"/>
    <w:rsid w:val="00545B93"/>
    <w:rsid w:val="00545E32"/>
    <w:rsid w:val="00545EA2"/>
    <w:rsid w:val="00545F09"/>
    <w:rsid w:val="00545FBE"/>
    <w:rsid w:val="0054632C"/>
    <w:rsid w:val="00546424"/>
    <w:rsid w:val="005464AF"/>
    <w:rsid w:val="005464DF"/>
    <w:rsid w:val="00546555"/>
    <w:rsid w:val="005466AB"/>
    <w:rsid w:val="0054684B"/>
    <w:rsid w:val="005469D0"/>
    <w:rsid w:val="00546A1D"/>
    <w:rsid w:val="00546A95"/>
    <w:rsid w:val="00546B66"/>
    <w:rsid w:val="00546BA8"/>
    <w:rsid w:val="00546D66"/>
    <w:rsid w:val="00546DF5"/>
    <w:rsid w:val="005470ED"/>
    <w:rsid w:val="00547150"/>
    <w:rsid w:val="00547193"/>
    <w:rsid w:val="00547236"/>
    <w:rsid w:val="005472F7"/>
    <w:rsid w:val="00547385"/>
    <w:rsid w:val="00547432"/>
    <w:rsid w:val="0054751B"/>
    <w:rsid w:val="005475F1"/>
    <w:rsid w:val="00547695"/>
    <w:rsid w:val="0054784A"/>
    <w:rsid w:val="005478C4"/>
    <w:rsid w:val="005478D7"/>
    <w:rsid w:val="00547908"/>
    <w:rsid w:val="005479C0"/>
    <w:rsid w:val="00547AB1"/>
    <w:rsid w:val="00547BDB"/>
    <w:rsid w:val="00547CD5"/>
    <w:rsid w:val="00547CED"/>
    <w:rsid w:val="00547D26"/>
    <w:rsid w:val="00547F71"/>
    <w:rsid w:val="00547FA0"/>
    <w:rsid w:val="00550024"/>
    <w:rsid w:val="0055011D"/>
    <w:rsid w:val="0055013E"/>
    <w:rsid w:val="0055017C"/>
    <w:rsid w:val="0055030C"/>
    <w:rsid w:val="00550705"/>
    <w:rsid w:val="005508AF"/>
    <w:rsid w:val="0055093A"/>
    <w:rsid w:val="005509A1"/>
    <w:rsid w:val="005509BE"/>
    <w:rsid w:val="00550ABF"/>
    <w:rsid w:val="00550B18"/>
    <w:rsid w:val="00550C2F"/>
    <w:rsid w:val="00550E14"/>
    <w:rsid w:val="00550F01"/>
    <w:rsid w:val="00550F1C"/>
    <w:rsid w:val="00550F75"/>
    <w:rsid w:val="00551092"/>
    <w:rsid w:val="00551110"/>
    <w:rsid w:val="005512CE"/>
    <w:rsid w:val="00551338"/>
    <w:rsid w:val="005515A4"/>
    <w:rsid w:val="005515A7"/>
    <w:rsid w:val="005515B6"/>
    <w:rsid w:val="00551605"/>
    <w:rsid w:val="0055172A"/>
    <w:rsid w:val="00551789"/>
    <w:rsid w:val="00551A00"/>
    <w:rsid w:val="00551B63"/>
    <w:rsid w:val="00551C7F"/>
    <w:rsid w:val="00551E93"/>
    <w:rsid w:val="00551FF0"/>
    <w:rsid w:val="00552128"/>
    <w:rsid w:val="0055217B"/>
    <w:rsid w:val="0055219C"/>
    <w:rsid w:val="005522CF"/>
    <w:rsid w:val="0055241D"/>
    <w:rsid w:val="00552622"/>
    <w:rsid w:val="00552637"/>
    <w:rsid w:val="0055267C"/>
    <w:rsid w:val="0055274D"/>
    <w:rsid w:val="005527A9"/>
    <w:rsid w:val="005527D9"/>
    <w:rsid w:val="005527E6"/>
    <w:rsid w:val="00552923"/>
    <w:rsid w:val="00552964"/>
    <w:rsid w:val="00552A35"/>
    <w:rsid w:val="00552B02"/>
    <w:rsid w:val="00552B40"/>
    <w:rsid w:val="00552CF8"/>
    <w:rsid w:val="00552E5E"/>
    <w:rsid w:val="00552EE0"/>
    <w:rsid w:val="00553004"/>
    <w:rsid w:val="0055301F"/>
    <w:rsid w:val="005531DC"/>
    <w:rsid w:val="00553319"/>
    <w:rsid w:val="0055339E"/>
    <w:rsid w:val="00553448"/>
    <w:rsid w:val="00553510"/>
    <w:rsid w:val="00553539"/>
    <w:rsid w:val="00553663"/>
    <w:rsid w:val="0055369F"/>
    <w:rsid w:val="00553700"/>
    <w:rsid w:val="00553766"/>
    <w:rsid w:val="005537E0"/>
    <w:rsid w:val="00553907"/>
    <w:rsid w:val="005539D3"/>
    <w:rsid w:val="00553A74"/>
    <w:rsid w:val="00553B16"/>
    <w:rsid w:val="00553BEC"/>
    <w:rsid w:val="00553D3D"/>
    <w:rsid w:val="00553D5A"/>
    <w:rsid w:val="00553DB9"/>
    <w:rsid w:val="00553DE9"/>
    <w:rsid w:val="00553E89"/>
    <w:rsid w:val="00553EB2"/>
    <w:rsid w:val="00553FF6"/>
    <w:rsid w:val="005540E1"/>
    <w:rsid w:val="0055411A"/>
    <w:rsid w:val="00554223"/>
    <w:rsid w:val="00554273"/>
    <w:rsid w:val="0055433A"/>
    <w:rsid w:val="0055444A"/>
    <w:rsid w:val="005544E4"/>
    <w:rsid w:val="00554501"/>
    <w:rsid w:val="00554598"/>
    <w:rsid w:val="005546A3"/>
    <w:rsid w:val="00554716"/>
    <w:rsid w:val="005547DA"/>
    <w:rsid w:val="005547F2"/>
    <w:rsid w:val="005548D3"/>
    <w:rsid w:val="005548F2"/>
    <w:rsid w:val="005549CA"/>
    <w:rsid w:val="00554A7E"/>
    <w:rsid w:val="00554B13"/>
    <w:rsid w:val="00554C08"/>
    <w:rsid w:val="00554C7F"/>
    <w:rsid w:val="00554E56"/>
    <w:rsid w:val="00554FA7"/>
    <w:rsid w:val="005550A9"/>
    <w:rsid w:val="005550C9"/>
    <w:rsid w:val="00555415"/>
    <w:rsid w:val="00555445"/>
    <w:rsid w:val="0055555B"/>
    <w:rsid w:val="00555607"/>
    <w:rsid w:val="0055578C"/>
    <w:rsid w:val="0055579A"/>
    <w:rsid w:val="00555A2D"/>
    <w:rsid w:val="00555A58"/>
    <w:rsid w:val="00555A5D"/>
    <w:rsid w:val="00555AFD"/>
    <w:rsid w:val="00555B14"/>
    <w:rsid w:val="00555BB3"/>
    <w:rsid w:val="00555CFC"/>
    <w:rsid w:val="00555E9B"/>
    <w:rsid w:val="00555F4D"/>
    <w:rsid w:val="00556011"/>
    <w:rsid w:val="0055603F"/>
    <w:rsid w:val="00556139"/>
    <w:rsid w:val="00556177"/>
    <w:rsid w:val="005561F7"/>
    <w:rsid w:val="00556272"/>
    <w:rsid w:val="00556371"/>
    <w:rsid w:val="005563BF"/>
    <w:rsid w:val="00556769"/>
    <w:rsid w:val="0055685A"/>
    <w:rsid w:val="0055685F"/>
    <w:rsid w:val="00556930"/>
    <w:rsid w:val="00556945"/>
    <w:rsid w:val="00556A15"/>
    <w:rsid w:val="00556A65"/>
    <w:rsid w:val="00556ACD"/>
    <w:rsid w:val="00556AFC"/>
    <w:rsid w:val="00556C25"/>
    <w:rsid w:val="00556CA1"/>
    <w:rsid w:val="00556D96"/>
    <w:rsid w:val="00556DC8"/>
    <w:rsid w:val="0055700C"/>
    <w:rsid w:val="0055700D"/>
    <w:rsid w:val="00557111"/>
    <w:rsid w:val="00557194"/>
    <w:rsid w:val="005571F0"/>
    <w:rsid w:val="0055776B"/>
    <w:rsid w:val="005578EB"/>
    <w:rsid w:val="0055799A"/>
    <w:rsid w:val="005579ED"/>
    <w:rsid w:val="00557A07"/>
    <w:rsid w:val="00557A72"/>
    <w:rsid w:val="00557B58"/>
    <w:rsid w:val="00557BD0"/>
    <w:rsid w:val="00557EC1"/>
    <w:rsid w:val="005600E2"/>
    <w:rsid w:val="00560151"/>
    <w:rsid w:val="00560180"/>
    <w:rsid w:val="005602C3"/>
    <w:rsid w:val="00560358"/>
    <w:rsid w:val="005603F9"/>
    <w:rsid w:val="0056040B"/>
    <w:rsid w:val="005604F7"/>
    <w:rsid w:val="0056050F"/>
    <w:rsid w:val="0056051C"/>
    <w:rsid w:val="0056061D"/>
    <w:rsid w:val="0056070B"/>
    <w:rsid w:val="00560757"/>
    <w:rsid w:val="00560782"/>
    <w:rsid w:val="0056079C"/>
    <w:rsid w:val="0056084B"/>
    <w:rsid w:val="0056087C"/>
    <w:rsid w:val="00560932"/>
    <w:rsid w:val="00560B35"/>
    <w:rsid w:val="00560B43"/>
    <w:rsid w:val="00560B57"/>
    <w:rsid w:val="00560C5E"/>
    <w:rsid w:val="00560DF2"/>
    <w:rsid w:val="00560E14"/>
    <w:rsid w:val="00561230"/>
    <w:rsid w:val="00561250"/>
    <w:rsid w:val="0056137A"/>
    <w:rsid w:val="005613AB"/>
    <w:rsid w:val="0056172E"/>
    <w:rsid w:val="00561846"/>
    <w:rsid w:val="005619B7"/>
    <w:rsid w:val="00561AB4"/>
    <w:rsid w:val="00561B88"/>
    <w:rsid w:val="00561D5E"/>
    <w:rsid w:val="00562168"/>
    <w:rsid w:val="005621BF"/>
    <w:rsid w:val="005621DE"/>
    <w:rsid w:val="0056228F"/>
    <w:rsid w:val="005623E9"/>
    <w:rsid w:val="00562466"/>
    <w:rsid w:val="005624FE"/>
    <w:rsid w:val="00562560"/>
    <w:rsid w:val="005626DB"/>
    <w:rsid w:val="00562770"/>
    <w:rsid w:val="00562814"/>
    <w:rsid w:val="00562A0A"/>
    <w:rsid w:val="00562A46"/>
    <w:rsid w:val="00562ABA"/>
    <w:rsid w:val="00562BA9"/>
    <w:rsid w:val="00562C31"/>
    <w:rsid w:val="00562CA8"/>
    <w:rsid w:val="00562E0C"/>
    <w:rsid w:val="00562ED9"/>
    <w:rsid w:val="0056320A"/>
    <w:rsid w:val="00563422"/>
    <w:rsid w:val="00563426"/>
    <w:rsid w:val="00563447"/>
    <w:rsid w:val="00563586"/>
    <w:rsid w:val="0056358E"/>
    <w:rsid w:val="005635C2"/>
    <w:rsid w:val="0056361D"/>
    <w:rsid w:val="00563653"/>
    <w:rsid w:val="0056372F"/>
    <w:rsid w:val="00563804"/>
    <w:rsid w:val="005638C6"/>
    <w:rsid w:val="0056399A"/>
    <w:rsid w:val="005639DE"/>
    <w:rsid w:val="00563A81"/>
    <w:rsid w:val="00563A86"/>
    <w:rsid w:val="00563AB9"/>
    <w:rsid w:val="00563ACD"/>
    <w:rsid w:val="00563AD6"/>
    <w:rsid w:val="00563B23"/>
    <w:rsid w:val="00563C11"/>
    <w:rsid w:val="00563D4F"/>
    <w:rsid w:val="00563D70"/>
    <w:rsid w:val="00563E93"/>
    <w:rsid w:val="00563F65"/>
    <w:rsid w:val="00564071"/>
    <w:rsid w:val="005641CF"/>
    <w:rsid w:val="005642CC"/>
    <w:rsid w:val="005644A4"/>
    <w:rsid w:val="005644B9"/>
    <w:rsid w:val="00564629"/>
    <w:rsid w:val="005646E2"/>
    <w:rsid w:val="0056473D"/>
    <w:rsid w:val="005647EE"/>
    <w:rsid w:val="00564807"/>
    <w:rsid w:val="005648D3"/>
    <w:rsid w:val="00564916"/>
    <w:rsid w:val="0056491E"/>
    <w:rsid w:val="00564A54"/>
    <w:rsid w:val="00564AAB"/>
    <w:rsid w:val="00564AC3"/>
    <w:rsid w:val="00564AC4"/>
    <w:rsid w:val="00564B40"/>
    <w:rsid w:val="00564B68"/>
    <w:rsid w:val="00564BCE"/>
    <w:rsid w:val="00564C1E"/>
    <w:rsid w:val="00564F42"/>
    <w:rsid w:val="005650B9"/>
    <w:rsid w:val="005651C3"/>
    <w:rsid w:val="005651C8"/>
    <w:rsid w:val="005651E9"/>
    <w:rsid w:val="00565292"/>
    <w:rsid w:val="0056534F"/>
    <w:rsid w:val="005654EA"/>
    <w:rsid w:val="00565583"/>
    <w:rsid w:val="00565639"/>
    <w:rsid w:val="00565766"/>
    <w:rsid w:val="00565889"/>
    <w:rsid w:val="00565946"/>
    <w:rsid w:val="005659AD"/>
    <w:rsid w:val="00565A30"/>
    <w:rsid w:val="00565AE5"/>
    <w:rsid w:val="00565BB7"/>
    <w:rsid w:val="00565C09"/>
    <w:rsid w:val="00565CB8"/>
    <w:rsid w:val="00565CE8"/>
    <w:rsid w:val="00565F1F"/>
    <w:rsid w:val="00566034"/>
    <w:rsid w:val="005665BD"/>
    <w:rsid w:val="00566664"/>
    <w:rsid w:val="005667DB"/>
    <w:rsid w:val="00566832"/>
    <w:rsid w:val="005668E6"/>
    <w:rsid w:val="005668EE"/>
    <w:rsid w:val="00566CF8"/>
    <w:rsid w:val="00566ED6"/>
    <w:rsid w:val="0056717E"/>
    <w:rsid w:val="005672C9"/>
    <w:rsid w:val="0056732D"/>
    <w:rsid w:val="005673AE"/>
    <w:rsid w:val="00567629"/>
    <w:rsid w:val="0056767A"/>
    <w:rsid w:val="005676C0"/>
    <w:rsid w:val="00567743"/>
    <w:rsid w:val="00567760"/>
    <w:rsid w:val="00567799"/>
    <w:rsid w:val="0056787D"/>
    <w:rsid w:val="005678E3"/>
    <w:rsid w:val="00567AF0"/>
    <w:rsid w:val="00567B14"/>
    <w:rsid w:val="00567C0C"/>
    <w:rsid w:val="00567D3F"/>
    <w:rsid w:val="00567F60"/>
    <w:rsid w:val="00567FA6"/>
    <w:rsid w:val="005701A5"/>
    <w:rsid w:val="005701DE"/>
    <w:rsid w:val="00570312"/>
    <w:rsid w:val="00570439"/>
    <w:rsid w:val="005704D7"/>
    <w:rsid w:val="005705AB"/>
    <w:rsid w:val="0057072C"/>
    <w:rsid w:val="00570744"/>
    <w:rsid w:val="00570860"/>
    <w:rsid w:val="005709B4"/>
    <w:rsid w:val="005709BE"/>
    <w:rsid w:val="005709C1"/>
    <w:rsid w:val="005709EF"/>
    <w:rsid w:val="00570A51"/>
    <w:rsid w:val="00570AF3"/>
    <w:rsid w:val="00570B4A"/>
    <w:rsid w:val="00570BE3"/>
    <w:rsid w:val="00570D58"/>
    <w:rsid w:val="00570D6A"/>
    <w:rsid w:val="00570E91"/>
    <w:rsid w:val="00570FE2"/>
    <w:rsid w:val="0057112B"/>
    <w:rsid w:val="005712DE"/>
    <w:rsid w:val="005713A4"/>
    <w:rsid w:val="005713DC"/>
    <w:rsid w:val="00571511"/>
    <w:rsid w:val="005719D4"/>
    <w:rsid w:val="00571A67"/>
    <w:rsid w:val="00571A81"/>
    <w:rsid w:val="00571AD2"/>
    <w:rsid w:val="00571C75"/>
    <w:rsid w:val="00571D70"/>
    <w:rsid w:val="00571DF8"/>
    <w:rsid w:val="00571F93"/>
    <w:rsid w:val="00571FF0"/>
    <w:rsid w:val="005720FD"/>
    <w:rsid w:val="00572112"/>
    <w:rsid w:val="00572137"/>
    <w:rsid w:val="005725C3"/>
    <w:rsid w:val="0057260B"/>
    <w:rsid w:val="00572654"/>
    <w:rsid w:val="00572657"/>
    <w:rsid w:val="0057268F"/>
    <w:rsid w:val="005726B0"/>
    <w:rsid w:val="0057270A"/>
    <w:rsid w:val="00572759"/>
    <w:rsid w:val="00572860"/>
    <w:rsid w:val="005728B9"/>
    <w:rsid w:val="00572B8D"/>
    <w:rsid w:val="00572BFA"/>
    <w:rsid w:val="00572C56"/>
    <w:rsid w:val="00572C6E"/>
    <w:rsid w:val="00572D4D"/>
    <w:rsid w:val="00572FC5"/>
    <w:rsid w:val="0057301A"/>
    <w:rsid w:val="00573113"/>
    <w:rsid w:val="005732B4"/>
    <w:rsid w:val="00573387"/>
    <w:rsid w:val="005733A2"/>
    <w:rsid w:val="00573497"/>
    <w:rsid w:val="0057351A"/>
    <w:rsid w:val="00573635"/>
    <w:rsid w:val="00573728"/>
    <w:rsid w:val="00573786"/>
    <w:rsid w:val="0057380B"/>
    <w:rsid w:val="005738E7"/>
    <w:rsid w:val="0057391A"/>
    <w:rsid w:val="005739E9"/>
    <w:rsid w:val="005739FA"/>
    <w:rsid w:val="00573AB8"/>
    <w:rsid w:val="00573BF7"/>
    <w:rsid w:val="00573CB3"/>
    <w:rsid w:val="00573DD9"/>
    <w:rsid w:val="00573E8C"/>
    <w:rsid w:val="00573F61"/>
    <w:rsid w:val="00573F76"/>
    <w:rsid w:val="00573F95"/>
    <w:rsid w:val="00574012"/>
    <w:rsid w:val="0057414B"/>
    <w:rsid w:val="005745B2"/>
    <w:rsid w:val="0057461B"/>
    <w:rsid w:val="0057461D"/>
    <w:rsid w:val="005746F7"/>
    <w:rsid w:val="00574774"/>
    <w:rsid w:val="005747BC"/>
    <w:rsid w:val="005747D8"/>
    <w:rsid w:val="005748BB"/>
    <w:rsid w:val="00574A13"/>
    <w:rsid w:val="00574A78"/>
    <w:rsid w:val="00574B27"/>
    <w:rsid w:val="00574CDF"/>
    <w:rsid w:val="00574D6F"/>
    <w:rsid w:val="00574DA3"/>
    <w:rsid w:val="00574EDD"/>
    <w:rsid w:val="00574EF1"/>
    <w:rsid w:val="00574F96"/>
    <w:rsid w:val="0057509B"/>
    <w:rsid w:val="0057514D"/>
    <w:rsid w:val="005752F0"/>
    <w:rsid w:val="005753BA"/>
    <w:rsid w:val="005753EE"/>
    <w:rsid w:val="005754DE"/>
    <w:rsid w:val="0057556A"/>
    <w:rsid w:val="005755EE"/>
    <w:rsid w:val="00575633"/>
    <w:rsid w:val="00575791"/>
    <w:rsid w:val="00575965"/>
    <w:rsid w:val="005759BE"/>
    <w:rsid w:val="00575B17"/>
    <w:rsid w:val="00575D6E"/>
    <w:rsid w:val="00575DDA"/>
    <w:rsid w:val="0057611E"/>
    <w:rsid w:val="005761BA"/>
    <w:rsid w:val="0057625E"/>
    <w:rsid w:val="0057629C"/>
    <w:rsid w:val="0057636C"/>
    <w:rsid w:val="0057664F"/>
    <w:rsid w:val="00576744"/>
    <w:rsid w:val="00576759"/>
    <w:rsid w:val="00576796"/>
    <w:rsid w:val="005767DF"/>
    <w:rsid w:val="00576A7F"/>
    <w:rsid w:val="00576F1C"/>
    <w:rsid w:val="00576FE0"/>
    <w:rsid w:val="0057718D"/>
    <w:rsid w:val="005772B0"/>
    <w:rsid w:val="005772E6"/>
    <w:rsid w:val="00577437"/>
    <w:rsid w:val="00577453"/>
    <w:rsid w:val="00577539"/>
    <w:rsid w:val="00577574"/>
    <w:rsid w:val="0057757D"/>
    <w:rsid w:val="005776BC"/>
    <w:rsid w:val="005777DF"/>
    <w:rsid w:val="00577846"/>
    <w:rsid w:val="005778AB"/>
    <w:rsid w:val="005778AE"/>
    <w:rsid w:val="005779D4"/>
    <w:rsid w:val="00577A9B"/>
    <w:rsid w:val="00577AB7"/>
    <w:rsid w:val="00577ACD"/>
    <w:rsid w:val="00577B10"/>
    <w:rsid w:val="00577C59"/>
    <w:rsid w:val="00577CF9"/>
    <w:rsid w:val="00577E79"/>
    <w:rsid w:val="00577E8D"/>
    <w:rsid w:val="00580087"/>
    <w:rsid w:val="00580093"/>
    <w:rsid w:val="00580292"/>
    <w:rsid w:val="0058032A"/>
    <w:rsid w:val="005803E3"/>
    <w:rsid w:val="005804BE"/>
    <w:rsid w:val="005806D1"/>
    <w:rsid w:val="005807BD"/>
    <w:rsid w:val="00580895"/>
    <w:rsid w:val="00580936"/>
    <w:rsid w:val="005809A3"/>
    <w:rsid w:val="005809FB"/>
    <w:rsid w:val="00580A4C"/>
    <w:rsid w:val="00580C69"/>
    <w:rsid w:val="00580DAD"/>
    <w:rsid w:val="00580E7B"/>
    <w:rsid w:val="00580F19"/>
    <w:rsid w:val="00580F36"/>
    <w:rsid w:val="0058126C"/>
    <w:rsid w:val="0058152F"/>
    <w:rsid w:val="0058175C"/>
    <w:rsid w:val="0058175F"/>
    <w:rsid w:val="00581771"/>
    <w:rsid w:val="00581914"/>
    <w:rsid w:val="0058199A"/>
    <w:rsid w:val="00581D29"/>
    <w:rsid w:val="00581DDB"/>
    <w:rsid w:val="00581E79"/>
    <w:rsid w:val="00581F1C"/>
    <w:rsid w:val="00581F63"/>
    <w:rsid w:val="005821C4"/>
    <w:rsid w:val="005821EF"/>
    <w:rsid w:val="0058234B"/>
    <w:rsid w:val="0058253F"/>
    <w:rsid w:val="005827B9"/>
    <w:rsid w:val="00582811"/>
    <w:rsid w:val="0058284B"/>
    <w:rsid w:val="005829C1"/>
    <w:rsid w:val="00582A7C"/>
    <w:rsid w:val="00582AC5"/>
    <w:rsid w:val="00582C74"/>
    <w:rsid w:val="00582D95"/>
    <w:rsid w:val="00582DC5"/>
    <w:rsid w:val="00582F8F"/>
    <w:rsid w:val="00583246"/>
    <w:rsid w:val="00583311"/>
    <w:rsid w:val="00583366"/>
    <w:rsid w:val="0058352E"/>
    <w:rsid w:val="00583551"/>
    <w:rsid w:val="005837E7"/>
    <w:rsid w:val="005839E6"/>
    <w:rsid w:val="00583A16"/>
    <w:rsid w:val="00583A7F"/>
    <w:rsid w:val="00583B93"/>
    <w:rsid w:val="00583C5F"/>
    <w:rsid w:val="00583E73"/>
    <w:rsid w:val="00583F6C"/>
    <w:rsid w:val="00583FDB"/>
    <w:rsid w:val="005840DE"/>
    <w:rsid w:val="00584119"/>
    <w:rsid w:val="00584158"/>
    <w:rsid w:val="005841D6"/>
    <w:rsid w:val="005842C8"/>
    <w:rsid w:val="0058438F"/>
    <w:rsid w:val="00584390"/>
    <w:rsid w:val="00584504"/>
    <w:rsid w:val="0058451F"/>
    <w:rsid w:val="0058459B"/>
    <w:rsid w:val="00584613"/>
    <w:rsid w:val="00584655"/>
    <w:rsid w:val="0058480C"/>
    <w:rsid w:val="0058491F"/>
    <w:rsid w:val="00584C3F"/>
    <w:rsid w:val="00584CB0"/>
    <w:rsid w:val="00584CC2"/>
    <w:rsid w:val="00584DA1"/>
    <w:rsid w:val="00584DBC"/>
    <w:rsid w:val="00584F89"/>
    <w:rsid w:val="005850C3"/>
    <w:rsid w:val="005853C0"/>
    <w:rsid w:val="005853EA"/>
    <w:rsid w:val="00585436"/>
    <w:rsid w:val="005854B9"/>
    <w:rsid w:val="005854DF"/>
    <w:rsid w:val="00585510"/>
    <w:rsid w:val="00585533"/>
    <w:rsid w:val="0058557A"/>
    <w:rsid w:val="0058563C"/>
    <w:rsid w:val="00585771"/>
    <w:rsid w:val="005857E1"/>
    <w:rsid w:val="005858F9"/>
    <w:rsid w:val="005859CB"/>
    <w:rsid w:val="005859D6"/>
    <w:rsid w:val="00585AAA"/>
    <w:rsid w:val="00585B5E"/>
    <w:rsid w:val="00585CA0"/>
    <w:rsid w:val="00585D39"/>
    <w:rsid w:val="00585E7F"/>
    <w:rsid w:val="00585FEC"/>
    <w:rsid w:val="005860A0"/>
    <w:rsid w:val="005862D3"/>
    <w:rsid w:val="005862EF"/>
    <w:rsid w:val="00586347"/>
    <w:rsid w:val="00586487"/>
    <w:rsid w:val="0058650E"/>
    <w:rsid w:val="0058662B"/>
    <w:rsid w:val="0058664D"/>
    <w:rsid w:val="005868BD"/>
    <w:rsid w:val="0058696E"/>
    <w:rsid w:val="00586B40"/>
    <w:rsid w:val="00586B73"/>
    <w:rsid w:val="00586BE8"/>
    <w:rsid w:val="00586C00"/>
    <w:rsid w:val="00586D4D"/>
    <w:rsid w:val="00586DA9"/>
    <w:rsid w:val="0058700C"/>
    <w:rsid w:val="00587153"/>
    <w:rsid w:val="005871BE"/>
    <w:rsid w:val="005873A2"/>
    <w:rsid w:val="0058745C"/>
    <w:rsid w:val="00587461"/>
    <w:rsid w:val="005875B0"/>
    <w:rsid w:val="0058767B"/>
    <w:rsid w:val="00587820"/>
    <w:rsid w:val="005878EC"/>
    <w:rsid w:val="00587AF3"/>
    <w:rsid w:val="00587B3B"/>
    <w:rsid w:val="00587B4A"/>
    <w:rsid w:val="00587D8A"/>
    <w:rsid w:val="00587DDD"/>
    <w:rsid w:val="00587FF3"/>
    <w:rsid w:val="00590009"/>
    <w:rsid w:val="0059002A"/>
    <w:rsid w:val="005900C2"/>
    <w:rsid w:val="005900E3"/>
    <w:rsid w:val="00590297"/>
    <w:rsid w:val="005902B2"/>
    <w:rsid w:val="005903AF"/>
    <w:rsid w:val="00590499"/>
    <w:rsid w:val="00590510"/>
    <w:rsid w:val="005905AD"/>
    <w:rsid w:val="005905D4"/>
    <w:rsid w:val="0059064E"/>
    <w:rsid w:val="005907BD"/>
    <w:rsid w:val="0059086E"/>
    <w:rsid w:val="0059089A"/>
    <w:rsid w:val="005908C1"/>
    <w:rsid w:val="00590A1D"/>
    <w:rsid w:val="00590AAC"/>
    <w:rsid w:val="00590ABE"/>
    <w:rsid w:val="00590BC5"/>
    <w:rsid w:val="00590BE7"/>
    <w:rsid w:val="00590BF0"/>
    <w:rsid w:val="00590C6B"/>
    <w:rsid w:val="00590CBC"/>
    <w:rsid w:val="00590D0D"/>
    <w:rsid w:val="00590D3B"/>
    <w:rsid w:val="00590FC0"/>
    <w:rsid w:val="00591024"/>
    <w:rsid w:val="005910A1"/>
    <w:rsid w:val="00591118"/>
    <w:rsid w:val="00591139"/>
    <w:rsid w:val="0059114F"/>
    <w:rsid w:val="005912C3"/>
    <w:rsid w:val="005912D8"/>
    <w:rsid w:val="005914B5"/>
    <w:rsid w:val="005914B9"/>
    <w:rsid w:val="00591600"/>
    <w:rsid w:val="0059174A"/>
    <w:rsid w:val="005917BE"/>
    <w:rsid w:val="0059181F"/>
    <w:rsid w:val="00591862"/>
    <w:rsid w:val="005918B2"/>
    <w:rsid w:val="00591A7F"/>
    <w:rsid w:val="00591B4A"/>
    <w:rsid w:val="00591B72"/>
    <w:rsid w:val="00591C85"/>
    <w:rsid w:val="00591CE8"/>
    <w:rsid w:val="00591D59"/>
    <w:rsid w:val="00591D76"/>
    <w:rsid w:val="00591E68"/>
    <w:rsid w:val="00592290"/>
    <w:rsid w:val="005922CA"/>
    <w:rsid w:val="0059249D"/>
    <w:rsid w:val="005924C6"/>
    <w:rsid w:val="005924FA"/>
    <w:rsid w:val="0059267D"/>
    <w:rsid w:val="005926BF"/>
    <w:rsid w:val="005926ED"/>
    <w:rsid w:val="005927DC"/>
    <w:rsid w:val="0059297E"/>
    <w:rsid w:val="00592D27"/>
    <w:rsid w:val="00593052"/>
    <w:rsid w:val="005932B3"/>
    <w:rsid w:val="005932C1"/>
    <w:rsid w:val="00593560"/>
    <w:rsid w:val="0059358E"/>
    <w:rsid w:val="00593A00"/>
    <w:rsid w:val="00593A0D"/>
    <w:rsid w:val="00593B27"/>
    <w:rsid w:val="00593B5F"/>
    <w:rsid w:val="00593BE6"/>
    <w:rsid w:val="00593C09"/>
    <w:rsid w:val="00593CE5"/>
    <w:rsid w:val="00593D4B"/>
    <w:rsid w:val="00593E4F"/>
    <w:rsid w:val="00593FF4"/>
    <w:rsid w:val="005940E3"/>
    <w:rsid w:val="0059417B"/>
    <w:rsid w:val="0059419C"/>
    <w:rsid w:val="005941A8"/>
    <w:rsid w:val="005941D9"/>
    <w:rsid w:val="005942EE"/>
    <w:rsid w:val="00594340"/>
    <w:rsid w:val="005943B3"/>
    <w:rsid w:val="0059440D"/>
    <w:rsid w:val="00594445"/>
    <w:rsid w:val="005945AE"/>
    <w:rsid w:val="0059476F"/>
    <w:rsid w:val="0059481D"/>
    <w:rsid w:val="00594A3C"/>
    <w:rsid w:val="00594AFA"/>
    <w:rsid w:val="00594B67"/>
    <w:rsid w:val="00594C47"/>
    <w:rsid w:val="00594C8D"/>
    <w:rsid w:val="00594CCE"/>
    <w:rsid w:val="00594DF3"/>
    <w:rsid w:val="00594E18"/>
    <w:rsid w:val="00594EC0"/>
    <w:rsid w:val="00594F8F"/>
    <w:rsid w:val="00595002"/>
    <w:rsid w:val="00595095"/>
    <w:rsid w:val="00595297"/>
    <w:rsid w:val="00595435"/>
    <w:rsid w:val="0059549A"/>
    <w:rsid w:val="005954DD"/>
    <w:rsid w:val="0059551C"/>
    <w:rsid w:val="0059559C"/>
    <w:rsid w:val="00595728"/>
    <w:rsid w:val="00595771"/>
    <w:rsid w:val="00595905"/>
    <w:rsid w:val="00595B65"/>
    <w:rsid w:val="00595C5D"/>
    <w:rsid w:val="00595C75"/>
    <w:rsid w:val="00595D8D"/>
    <w:rsid w:val="0059617A"/>
    <w:rsid w:val="00596182"/>
    <w:rsid w:val="0059623E"/>
    <w:rsid w:val="00596240"/>
    <w:rsid w:val="0059631C"/>
    <w:rsid w:val="005966B3"/>
    <w:rsid w:val="005966C4"/>
    <w:rsid w:val="0059677D"/>
    <w:rsid w:val="005967E4"/>
    <w:rsid w:val="00596830"/>
    <w:rsid w:val="00596898"/>
    <w:rsid w:val="005968EB"/>
    <w:rsid w:val="00596B53"/>
    <w:rsid w:val="00596C35"/>
    <w:rsid w:val="00596D5D"/>
    <w:rsid w:val="00596DFE"/>
    <w:rsid w:val="00596E43"/>
    <w:rsid w:val="00596EEB"/>
    <w:rsid w:val="0059711C"/>
    <w:rsid w:val="0059743F"/>
    <w:rsid w:val="00597587"/>
    <w:rsid w:val="00597618"/>
    <w:rsid w:val="005976BF"/>
    <w:rsid w:val="005978EA"/>
    <w:rsid w:val="00597911"/>
    <w:rsid w:val="0059799A"/>
    <w:rsid w:val="00597A5F"/>
    <w:rsid w:val="00597C1F"/>
    <w:rsid w:val="00597C37"/>
    <w:rsid w:val="00597D20"/>
    <w:rsid w:val="00597D5E"/>
    <w:rsid w:val="00597DCE"/>
    <w:rsid w:val="00597EDF"/>
    <w:rsid w:val="00597FD3"/>
    <w:rsid w:val="005A00AE"/>
    <w:rsid w:val="005A014F"/>
    <w:rsid w:val="005A0182"/>
    <w:rsid w:val="005A01A9"/>
    <w:rsid w:val="005A01B5"/>
    <w:rsid w:val="005A0321"/>
    <w:rsid w:val="005A034D"/>
    <w:rsid w:val="005A058F"/>
    <w:rsid w:val="005A0603"/>
    <w:rsid w:val="005A0675"/>
    <w:rsid w:val="005A06BA"/>
    <w:rsid w:val="005A0714"/>
    <w:rsid w:val="005A08A8"/>
    <w:rsid w:val="005A09B4"/>
    <w:rsid w:val="005A0A8C"/>
    <w:rsid w:val="005A0ACC"/>
    <w:rsid w:val="005A0B15"/>
    <w:rsid w:val="005A0D39"/>
    <w:rsid w:val="005A0D42"/>
    <w:rsid w:val="005A0D55"/>
    <w:rsid w:val="005A0D61"/>
    <w:rsid w:val="005A0D94"/>
    <w:rsid w:val="005A0E56"/>
    <w:rsid w:val="005A101D"/>
    <w:rsid w:val="005A1093"/>
    <w:rsid w:val="005A10D7"/>
    <w:rsid w:val="005A10E3"/>
    <w:rsid w:val="005A1163"/>
    <w:rsid w:val="005A128C"/>
    <w:rsid w:val="005A129A"/>
    <w:rsid w:val="005A1365"/>
    <w:rsid w:val="005A150F"/>
    <w:rsid w:val="005A152A"/>
    <w:rsid w:val="005A15D8"/>
    <w:rsid w:val="005A15F3"/>
    <w:rsid w:val="005A1630"/>
    <w:rsid w:val="005A164A"/>
    <w:rsid w:val="005A167C"/>
    <w:rsid w:val="005A1684"/>
    <w:rsid w:val="005A1801"/>
    <w:rsid w:val="005A19FF"/>
    <w:rsid w:val="005A1A28"/>
    <w:rsid w:val="005A1B50"/>
    <w:rsid w:val="005A1D87"/>
    <w:rsid w:val="005A1F1E"/>
    <w:rsid w:val="005A1F32"/>
    <w:rsid w:val="005A1F7F"/>
    <w:rsid w:val="005A1FB9"/>
    <w:rsid w:val="005A2081"/>
    <w:rsid w:val="005A20A2"/>
    <w:rsid w:val="005A222F"/>
    <w:rsid w:val="005A22D9"/>
    <w:rsid w:val="005A22E8"/>
    <w:rsid w:val="005A2370"/>
    <w:rsid w:val="005A2448"/>
    <w:rsid w:val="005A2466"/>
    <w:rsid w:val="005A259C"/>
    <w:rsid w:val="005A25A8"/>
    <w:rsid w:val="005A2659"/>
    <w:rsid w:val="005A27EB"/>
    <w:rsid w:val="005A283E"/>
    <w:rsid w:val="005A2993"/>
    <w:rsid w:val="005A2A77"/>
    <w:rsid w:val="005A2B1E"/>
    <w:rsid w:val="005A2B22"/>
    <w:rsid w:val="005A2DBA"/>
    <w:rsid w:val="005A3005"/>
    <w:rsid w:val="005A30BD"/>
    <w:rsid w:val="005A31E5"/>
    <w:rsid w:val="005A31E8"/>
    <w:rsid w:val="005A33B5"/>
    <w:rsid w:val="005A33F5"/>
    <w:rsid w:val="005A3499"/>
    <w:rsid w:val="005A3502"/>
    <w:rsid w:val="005A3585"/>
    <w:rsid w:val="005A35E6"/>
    <w:rsid w:val="005A365D"/>
    <w:rsid w:val="005A36EB"/>
    <w:rsid w:val="005A3803"/>
    <w:rsid w:val="005A39F3"/>
    <w:rsid w:val="005A3B02"/>
    <w:rsid w:val="005A3B4D"/>
    <w:rsid w:val="005A3B75"/>
    <w:rsid w:val="005A3CAD"/>
    <w:rsid w:val="005A3D3D"/>
    <w:rsid w:val="005A3FDE"/>
    <w:rsid w:val="005A3FFD"/>
    <w:rsid w:val="005A4046"/>
    <w:rsid w:val="005A41C4"/>
    <w:rsid w:val="005A439E"/>
    <w:rsid w:val="005A4530"/>
    <w:rsid w:val="005A462A"/>
    <w:rsid w:val="005A463B"/>
    <w:rsid w:val="005A46D7"/>
    <w:rsid w:val="005A4790"/>
    <w:rsid w:val="005A486F"/>
    <w:rsid w:val="005A48B0"/>
    <w:rsid w:val="005A4916"/>
    <w:rsid w:val="005A4A75"/>
    <w:rsid w:val="005A4B5C"/>
    <w:rsid w:val="005A4C30"/>
    <w:rsid w:val="005A4D70"/>
    <w:rsid w:val="005A4EEB"/>
    <w:rsid w:val="005A4F40"/>
    <w:rsid w:val="005A4F45"/>
    <w:rsid w:val="005A4F84"/>
    <w:rsid w:val="005A5014"/>
    <w:rsid w:val="005A51B6"/>
    <w:rsid w:val="005A522F"/>
    <w:rsid w:val="005A5264"/>
    <w:rsid w:val="005A52BE"/>
    <w:rsid w:val="005A53BA"/>
    <w:rsid w:val="005A540B"/>
    <w:rsid w:val="005A55D3"/>
    <w:rsid w:val="005A5789"/>
    <w:rsid w:val="005A585D"/>
    <w:rsid w:val="005A5873"/>
    <w:rsid w:val="005A5A3B"/>
    <w:rsid w:val="005A5A9F"/>
    <w:rsid w:val="005A5B07"/>
    <w:rsid w:val="005A5C01"/>
    <w:rsid w:val="005A5F17"/>
    <w:rsid w:val="005A5FB7"/>
    <w:rsid w:val="005A5FBD"/>
    <w:rsid w:val="005A6006"/>
    <w:rsid w:val="005A6032"/>
    <w:rsid w:val="005A6042"/>
    <w:rsid w:val="005A6197"/>
    <w:rsid w:val="005A62A9"/>
    <w:rsid w:val="005A6308"/>
    <w:rsid w:val="005A637B"/>
    <w:rsid w:val="005A652A"/>
    <w:rsid w:val="005A65BA"/>
    <w:rsid w:val="005A672B"/>
    <w:rsid w:val="005A6806"/>
    <w:rsid w:val="005A694C"/>
    <w:rsid w:val="005A6A6D"/>
    <w:rsid w:val="005A6BA1"/>
    <w:rsid w:val="005A6D87"/>
    <w:rsid w:val="005A6DD1"/>
    <w:rsid w:val="005A6DF4"/>
    <w:rsid w:val="005A6F2E"/>
    <w:rsid w:val="005A7023"/>
    <w:rsid w:val="005A702C"/>
    <w:rsid w:val="005A710B"/>
    <w:rsid w:val="005A7116"/>
    <w:rsid w:val="005A722F"/>
    <w:rsid w:val="005A72E4"/>
    <w:rsid w:val="005A732E"/>
    <w:rsid w:val="005A7334"/>
    <w:rsid w:val="005A7361"/>
    <w:rsid w:val="005A7531"/>
    <w:rsid w:val="005A7563"/>
    <w:rsid w:val="005A7577"/>
    <w:rsid w:val="005A769D"/>
    <w:rsid w:val="005A76D6"/>
    <w:rsid w:val="005A770B"/>
    <w:rsid w:val="005A7711"/>
    <w:rsid w:val="005A7730"/>
    <w:rsid w:val="005A78EB"/>
    <w:rsid w:val="005A793B"/>
    <w:rsid w:val="005A7A92"/>
    <w:rsid w:val="005A7C0E"/>
    <w:rsid w:val="005A7D0D"/>
    <w:rsid w:val="005A7D5D"/>
    <w:rsid w:val="005A7EC5"/>
    <w:rsid w:val="005A7FAB"/>
    <w:rsid w:val="005B0027"/>
    <w:rsid w:val="005B0172"/>
    <w:rsid w:val="005B0204"/>
    <w:rsid w:val="005B0300"/>
    <w:rsid w:val="005B044C"/>
    <w:rsid w:val="005B0487"/>
    <w:rsid w:val="005B04C6"/>
    <w:rsid w:val="005B052D"/>
    <w:rsid w:val="005B07C6"/>
    <w:rsid w:val="005B07FA"/>
    <w:rsid w:val="005B09F4"/>
    <w:rsid w:val="005B0AD3"/>
    <w:rsid w:val="005B0C98"/>
    <w:rsid w:val="005B0D9A"/>
    <w:rsid w:val="005B0DAC"/>
    <w:rsid w:val="005B0F73"/>
    <w:rsid w:val="005B0FB8"/>
    <w:rsid w:val="005B107B"/>
    <w:rsid w:val="005B10EE"/>
    <w:rsid w:val="005B1221"/>
    <w:rsid w:val="005B137C"/>
    <w:rsid w:val="005B13C3"/>
    <w:rsid w:val="005B1411"/>
    <w:rsid w:val="005B145A"/>
    <w:rsid w:val="005B1484"/>
    <w:rsid w:val="005B1509"/>
    <w:rsid w:val="005B1569"/>
    <w:rsid w:val="005B15CC"/>
    <w:rsid w:val="005B1898"/>
    <w:rsid w:val="005B18E3"/>
    <w:rsid w:val="005B1B0E"/>
    <w:rsid w:val="005B1C78"/>
    <w:rsid w:val="005B1DE4"/>
    <w:rsid w:val="005B1EA2"/>
    <w:rsid w:val="005B1FEC"/>
    <w:rsid w:val="005B2007"/>
    <w:rsid w:val="005B206E"/>
    <w:rsid w:val="005B223A"/>
    <w:rsid w:val="005B225E"/>
    <w:rsid w:val="005B246A"/>
    <w:rsid w:val="005B2566"/>
    <w:rsid w:val="005B2652"/>
    <w:rsid w:val="005B2687"/>
    <w:rsid w:val="005B2B89"/>
    <w:rsid w:val="005B2CCC"/>
    <w:rsid w:val="005B2D2F"/>
    <w:rsid w:val="005B2D98"/>
    <w:rsid w:val="005B2EA2"/>
    <w:rsid w:val="005B2EA3"/>
    <w:rsid w:val="005B3016"/>
    <w:rsid w:val="005B30E5"/>
    <w:rsid w:val="005B329F"/>
    <w:rsid w:val="005B335A"/>
    <w:rsid w:val="005B3369"/>
    <w:rsid w:val="005B3541"/>
    <w:rsid w:val="005B368D"/>
    <w:rsid w:val="005B3706"/>
    <w:rsid w:val="005B3774"/>
    <w:rsid w:val="005B38A6"/>
    <w:rsid w:val="005B390A"/>
    <w:rsid w:val="005B3951"/>
    <w:rsid w:val="005B3BFE"/>
    <w:rsid w:val="005B3C1E"/>
    <w:rsid w:val="005B3EF3"/>
    <w:rsid w:val="005B3EFD"/>
    <w:rsid w:val="005B3F47"/>
    <w:rsid w:val="005B402D"/>
    <w:rsid w:val="005B4160"/>
    <w:rsid w:val="005B436A"/>
    <w:rsid w:val="005B447B"/>
    <w:rsid w:val="005B449F"/>
    <w:rsid w:val="005B45A4"/>
    <w:rsid w:val="005B461E"/>
    <w:rsid w:val="005B47BC"/>
    <w:rsid w:val="005B47CB"/>
    <w:rsid w:val="005B480C"/>
    <w:rsid w:val="005B4918"/>
    <w:rsid w:val="005B496D"/>
    <w:rsid w:val="005B4980"/>
    <w:rsid w:val="005B4996"/>
    <w:rsid w:val="005B49DE"/>
    <w:rsid w:val="005B4B3A"/>
    <w:rsid w:val="005B4BC0"/>
    <w:rsid w:val="005B4BCB"/>
    <w:rsid w:val="005B4E44"/>
    <w:rsid w:val="005B4EFD"/>
    <w:rsid w:val="005B522C"/>
    <w:rsid w:val="005B524F"/>
    <w:rsid w:val="005B5292"/>
    <w:rsid w:val="005B5311"/>
    <w:rsid w:val="005B5511"/>
    <w:rsid w:val="005B551F"/>
    <w:rsid w:val="005B5537"/>
    <w:rsid w:val="005B5578"/>
    <w:rsid w:val="005B55BE"/>
    <w:rsid w:val="005B56C5"/>
    <w:rsid w:val="005B574A"/>
    <w:rsid w:val="005B580E"/>
    <w:rsid w:val="005B5830"/>
    <w:rsid w:val="005B584D"/>
    <w:rsid w:val="005B5ABF"/>
    <w:rsid w:val="005B5BF8"/>
    <w:rsid w:val="005B5F6B"/>
    <w:rsid w:val="005B630A"/>
    <w:rsid w:val="005B6467"/>
    <w:rsid w:val="005B64A2"/>
    <w:rsid w:val="005B6802"/>
    <w:rsid w:val="005B687B"/>
    <w:rsid w:val="005B693C"/>
    <w:rsid w:val="005B693D"/>
    <w:rsid w:val="005B6950"/>
    <w:rsid w:val="005B6A57"/>
    <w:rsid w:val="005B6BE9"/>
    <w:rsid w:val="005B6CD5"/>
    <w:rsid w:val="005B6D27"/>
    <w:rsid w:val="005B6E70"/>
    <w:rsid w:val="005B6EA0"/>
    <w:rsid w:val="005B6F38"/>
    <w:rsid w:val="005B6F42"/>
    <w:rsid w:val="005B6FE6"/>
    <w:rsid w:val="005B7177"/>
    <w:rsid w:val="005B7243"/>
    <w:rsid w:val="005B7259"/>
    <w:rsid w:val="005B737B"/>
    <w:rsid w:val="005B7420"/>
    <w:rsid w:val="005B74DD"/>
    <w:rsid w:val="005B7538"/>
    <w:rsid w:val="005B76A4"/>
    <w:rsid w:val="005B77B9"/>
    <w:rsid w:val="005B7809"/>
    <w:rsid w:val="005B7934"/>
    <w:rsid w:val="005B795A"/>
    <w:rsid w:val="005B7CAB"/>
    <w:rsid w:val="005B7D91"/>
    <w:rsid w:val="005B7E78"/>
    <w:rsid w:val="005C0269"/>
    <w:rsid w:val="005C053E"/>
    <w:rsid w:val="005C059B"/>
    <w:rsid w:val="005C0785"/>
    <w:rsid w:val="005C0836"/>
    <w:rsid w:val="005C086C"/>
    <w:rsid w:val="005C09A6"/>
    <w:rsid w:val="005C09D9"/>
    <w:rsid w:val="005C0BBC"/>
    <w:rsid w:val="005C0BE7"/>
    <w:rsid w:val="005C0C01"/>
    <w:rsid w:val="005C0C3F"/>
    <w:rsid w:val="005C0E14"/>
    <w:rsid w:val="005C0F43"/>
    <w:rsid w:val="005C0F65"/>
    <w:rsid w:val="005C1091"/>
    <w:rsid w:val="005C114D"/>
    <w:rsid w:val="005C11EE"/>
    <w:rsid w:val="005C1345"/>
    <w:rsid w:val="005C147D"/>
    <w:rsid w:val="005C1588"/>
    <w:rsid w:val="005C1678"/>
    <w:rsid w:val="005C1767"/>
    <w:rsid w:val="005C176F"/>
    <w:rsid w:val="005C1861"/>
    <w:rsid w:val="005C196E"/>
    <w:rsid w:val="005C197C"/>
    <w:rsid w:val="005C1992"/>
    <w:rsid w:val="005C199B"/>
    <w:rsid w:val="005C1A1C"/>
    <w:rsid w:val="005C1AC3"/>
    <w:rsid w:val="005C1C2B"/>
    <w:rsid w:val="005C1D29"/>
    <w:rsid w:val="005C2113"/>
    <w:rsid w:val="005C2191"/>
    <w:rsid w:val="005C219C"/>
    <w:rsid w:val="005C21B0"/>
    <w:rsid w:val="005C2234"/>
    <w:rsid w:val="005C2300"/>
    <w:rsid w:val="005C2390"/>
    <w:rsid w:val="005C2393"/>
    <w:rsid w:val="005C2433"/>
    <w:rsid w:val="005C2525"/>
    <w:rsid w:val="005C2686"/>
    <w:rsid w:val="005C273A"/>
    <w:rsid w:val="005C2756"/>
    <w:rsid w:val="005C2918"/>
    <w:rsid w:val="005C2959"/>
    <w:rsid w:val="005C29DB"/>
    <w:rsid w:val="005C2D64"/>
    <w:rsid w:val="005C2E1F"/>
    <w:rsid w:val="005C2E86"/>
    <w:rsid w:val="005C2ECD"/>
    <w:rsid w:val="005C2F67"/>
    <w:rsid w:val="005C3175"/>
    <w:rsid w:val="005C3181"/>
    <w:rsid w:val="005C3183"/>
    <w:rsid w:val="005C3330"/>
    <w:rsid w:val="005C379C"/>
    <w:rsid w:val="005C380F"/>
    <w:rsid w:val="005C3AFD"/>
    <w:rsid w:val="005C3BB1"/>
    <w:rsid w:val="005C3DB2"/>
    <w:rsid w:val="005C3E3C"/>
    <w:rsid w:val="005C3E66"/>
    <w:rsid w:val="005C40BE"/>
    <w:rsid w:val="005C4508"/>
    <w:rsid w:val="005C4544"/>
    <w:rsid w:val="005C4574"/>
    <w:rsid w:val="005C45AE"/>
    <w:rsid w:val="005C45BB"/>
    <w:rsid w:val="005C4648"/>
    <w:rsid w:val="005C467C"/>
    <w:rsid w:val="005C4893"/>
    <w:rsid w:val="005C496F"/>
    <w:rsid w:val="005C499D"/>
    <w:rsid w:val="005C4D6A"/>
    <w:rsid w:val="005C4DAB"/>
    <w:rsid w:val="005C4E4E"/>
    <w:rsid w:val="005C4E79"/>
    <w:rsid w:val="005C4FB3"/>
    <w:rsid w:val="005C5083"/>
    <w:rsid w:val="005C5118"/>
    <w:rsid w:val="005C5201"/>
    <w:rsid w:val="005C528C"/>
    <w:rsid w:val="005C5434"/>
    <w:rsid w:val="005C5458"/>
    <w:rsid w:val="005C546E"/>
    <w:rsid w:val="005C5652"/>
    <w:rsid w:val="005C5658"/>
    <w:rsid w:val="005C5723"/>
    <w:rsid w:val="005C57FB"/>
    <w:rsid w:val="005C58D8"/>
    <w:rsid w:val="005C58DC"/>
    <w:rsid w:val="005C5AA4"/>
    <w:rsid w:val="005C5B56"/>
    <w:rsid w:val="005C5BA4"/>
    <w:rsid w:val="005C5BD2"/>
    <w:rsid w:val="005C5BE9"/>
    <w:rsid w:val="005C5E10"/>
    <w:rsid w:val="005C5EA1"/>
    <w:rsid w:val="005C5EDD"/>
    <w:rsid w:val="005C5FF9"/>
    <w:rsid w:val="005C6011"/>
    <w:rsid w:val="005C6152"/>
    <w:rsid w:val="005C6218"/>
    <w:rsid w:val="005C6242"/>
    <w:rsid w:val="005C6380"/>
    <w:rsid w:val="005C641B"/>
    <w:rsid w:val="005C6491"/>
    <w:rsid w:val="005C64DF"/>
    <w:rsid w:val="005C6565"/>
    <w:rsid w:val="005C6791"/>
    <w:rsid w:val="005C6931"/>
    <w:rsid w:val="005C6E89"/>
    <w:rsid w:val="005C6F28"/>
    <w:rsid w:val="005C6F40"/>
    <w:rsid w:val="005C72CD"/>
    <w:rsid w:val="005C74F6"/>
    <w:rsid w:val="005C761F"/>
    <w:rsid w:val="005C769F"/>
    <w:rsid w:val="005C77E8"/>
    <w:rsid w:val="005C78CC"/>
    <w:rsid w:val="005C7903"/>
    <w:rsid w:val="005C79A9"/>
    <w:rsid w:val="005C7A35"/>
    <w:rsid w:val="005C7B0F"/>
    <w:rsid w:val="005C7C3F"/>
    <w:rsid w:val="005C7E16"/>
    <w:rsid w:val="005C7E32"/>
    <w:rsid w:val="005C7E92"/>
    <w:rsid w:val="005C7E9A"/>
    <w:rsid w:val="005C7EF4"/>
    <w:rsid w:val="005D00DB"/>
    <w:rsid w:val="005D02B6"/>
    <w:rsid w:val="005D048E"/>
    <w:rsid w:val="005D04B9"/>
    <w:rsid w:val="005D04E3"/>
    <w:rsid w:val="005D0572"/>
    <w:rsid w:val="005D0705"/>
    <w:rsid w:val="005D07F6"/>
    <w:rsid w:val="005D08E2"/>
    <w:rsid w:val="005D08EB"/>
    <w:rsid w:val="005D08F5"/>
    <w:rsid w:val="005D0912"/>
    <w:rsid w:val="005D09D2"/>
    <w:rsid w:val="005D09D8"/>
    <w:rsid w:val="005D0AD4"/>
    <w:rsid w:val="005D0CE8"/>
    <w:rsid w:val="005D0DA9"/>
    <w:rsid w:val="005D0E58"/>
    <w:rsid w:val="005D0FCB"/>
    <w:rsid w:val="005D101E"/>
    <w:rsid w:val="005D10AA"/>
    <w:rsid w:val="005D10C1"/>
    <w:rsid w:val="005D116F"/>
    <w:rsid w:val="005D1337"/>
    <w:rsid w:val="005D134A"/>
    <w:rsid w:val="005D1584"/>
    <w:rsid w:val="005D15F0"/>
    <w:rsid w:val="005D1713"/>
    <w:rsid w:val="005D18E7"/>
    <w:rsid w:val="005D190D"/>
    <w:rsid w:val="005D19DB"/>
    <w:rsid w:val="005D1C34"/>
    <w:rsid w:val="005D1C40"/>
    <w:rsid w:val="005D1CE5"/>
    <w:rsid w:val="005D1D14"/>
    <w:rsid w:val="005D1D1D"/>
    <w:rsid w:val="005D1D67"/>
    <w:rsid w:val="005D1E8D"/>
    <w:rsid w:val="005D23B2"/>
    <w:rsid w:val="005D23E5"/>
    <w:rsid w:val="005D2432"/>
    <w:rsid w:val="005D2475"/>
    <w:rsid w:val="005D24E3"/>
    <w:rsid w:val="005D25A6"/>
    <w:rsid w:val="005D25C0"/>
    <w:rsid w:val="005D26B4"/>
    <w:rsid w:val="005D27C2"/>
    <w:rsid w:val="005D2834"/>
    <w:rsid w:val="005D2843"/>
    <w:rsid w:val="005D28A9"/>
    <w:rsid w:val="005D2B7F"/>
    <w:rsid w:val="005D2B91"/>
    <w:rsid w:val="005D2BD9"/>
    <w:rsid w:val="005D2BFA"/>
    <w:rsid w:val="005D2C7F"/>
    <w:rsid w:val="005D2D23"/>
    <w:rsid w:val="005D2E32"/>
    <w:rsid w:val="005D2F5C"/>
    <w:rsid w:val="005D331D"/>
    <w:rsid w:val="005D34C3"/>
    <w:rsid w:val="005D34FB"/>
    <w:rsid w:val="005D3635"/>
    <w:rsid w:val="005D37EF"/>
    <w:rsid w:val="005D3979"/>
    <w:rsid w:val="005D3AA5"/>
    <w:rsid w:val="005D3C8F"/>
    <w:rsid w:val="005D3C91"/>
    <w:rsid w:val="005D3D1D"/>
    <w:rsid w:val="005D3E44"/>
    <w:rsid w:val="005D3E61"/>
    <w:rsid w:val="005D3E72"/>
    <w:rsid w:val="005D4012"/>
    <w:rsid w:val="005D4208"/>
    <w:rsid w:val="005D441A"/>
    <w:rsid w:val="005D4498"/>
    <w:rsid w:val="005D44D0"/>
    <w:rsid w:val="005D479D"/>
    <w:rsid w:val="005D481C"/>
    <w:rsid w:val="005D48A0"/>
    <w:rsid w:val="005D4A88"/>
    <w:rsid w:val="005D4C18"/>
    <w:rsid w:val="005D4C5B"/>
    <w:rsid w:val="005D4CC3"/>
    <w:rsid w:val="005D4D4F"/>
    <w:rsid w:val="005D4DB6"/>
    <w:rsid w:val="005D4DDB"/>
    <w:rsid w:val="005D5101"/>
    <w:rsid w:val="005D51E8"/>
    <w:rsid w:val="005D526A"/>
    <w:rsid w:val="005D5336"/>
    <w:rsid w:val="005D543C"/>
    <w:rsid w:val="005D5443"/>
    <w:rsid w:val="005D5509"/>
    <w:rsid w:val="005D559B"/>
    <w:rsid w:val="005D565E"/>
    <w:rsid w:val="005D5691"/>
    <w:rsid w:val="005D56B4"/>
    <w:rsid w:val="005D570A"/>
    <w:rsid w:val="005D575B"/>
    <w:rsid w:val="005D57F0"/>
    <w:rsid w:val="005D580E"/>
    <w:rsid w:val="005D5927"/>
    <w:rsid w:val="005D593C"/>
    <w:rsid w:val="005D5948"/>
    <w:rsid w:val="005D59BA"/>
    <w:rsid w:val="005D5A2B"/>
    <w:rsid w:val="005D5CC9"/>
    <w:rsid w:val="005D5D19"/>
    <w:rsid w:val="005D5F5D"/>
    <w:rsid w:val="005D5FF2"/>
    <w:rsid w:val="005D6101"/>
    <w:rsid w:val="005D6256"/>
    <w:rsid w:val="005D629A"/>
    <w:rsid w:val="005D6336"/>
    <w:rsid w:val="005D649F"/>
    <w:rsid w:val="005D65E2"/>
    <w:rsid w:val="005D6705"/>
    <w:rsid w:val="005D67B5"/>
    <w:rsid w:val="005D6809"/>
    <w:rsid w:val="005D6880"/>
    <w:rsid w:val="005D68EF"/>
    <w:rsid w:val="005D69B6"/>
    <w:rsid w:val="005D6A47"/>
    <w:rsid w:val="005D6B04"/>
    <w:rsid w:val="005D6CB2"/>
    <w:rsid w:val="005D6D2C"/>
    <w:rsid w:val="005D6E99"/>
    <w:rsid w:val="005D6EAD"/>
    <w:rsid w:val="005D6EB0"/>
    <w:rsid w:val="005D7074"/>
    <w:rsid w:val="005D719C"/>
    <w:rsid w:val="005D71D7"/>
    <w:rsid w:val="005D728D"/>
    <w:rsid w:val="005D72FF"/>
    <w:rsid w:val="005D7383"/>
    <w:rsid w:val="005D7479"/>
    <w:rsid w:val="005D750A"/>
    <w:rsid w:val="005D7578"/>
    <w:rsid w:val="005D75D2"/>
    <w:rsid w:val="005D75ED"/>
    <w:rsid w:val="005D7679"/>
    <w:rsid w:val="005D76BB"/>
    <w:rsid w:val="005D7808"/>
    <w:rsid w:val="005D7A5E"/>
    <w:rsid w:val="005D7B43"/>
    <w:rsid w:val="005D7B8D"/>
    <w:rsid w:val="005D7C6D"/>
    <w:rsid w:val="005D7D42"/>
    <w:rsid w:val="005D7DBE"/>
    <w:rsid w:val="005D7E02"/>
    <w:rsid w:val="005D7FC5"/>
    <w:rsid w:val="005E0024"/>
    <w:rsid w:val="005E03BA"/>
    <w:rsid w:val="005E0434"/>
    <w:rsid w:val="005E045A"/>
    <w:rsid w:val="005E0512"/>
    <w:rsid w:val="005E0519"/>
    <w:rsid w:val="005E05B4"/>
    <w:rsid w:val="005E06DB"/>
    <w:rsid w:val="005E07BE"/>
    <w:rsid w:val="005E0808"/>
    <w:rsid w:val="005E094D"/>
    <w:rsid w:val="005E095D"/>
    <w:rsid w:val="005E0A9D"/>
    <w:rsid w:val="005E0B90"/>
    <w:rsid w:val="005E0C37"/>
    <w:rsid w:val="005E0CB7"/>
    <w:rsid w:val="005E0CDE"/>
    <w:rsid w:val="005E0D82"/>
    <w:rsid w:val="005E0E85"/>
    <w:rsid w:val="005E0ED5"/>
    <w:rsid w:val="005E0F96"/>
    <w:rsid w:val="005E1044"/>
    <w:rsid w:val="005E1078"/>
    <w:rsid w:val="005E10D6"/>
    <w:rsid w:val="005E110A"/>
    <w:rsid w:val="005E115D"/>
    <w:rsid w:val="005E11FD"/>
    <w:rsid w:val="005E1200"/>
    <w:rsid w:val="005E1295"/>
    <w:rsid w:val="005E12A2"/>
    <w:rsid w:val="005E1347"/>
    <w:rsid w:val="005E13A0"/>
    <w:rsid w:val="005E1516"/>
    <w:rsid w:val="005E1571"/>
    <w:rsid w:val="005E1776"/>
    <w:rsid w:val="005E17E5"/>
    <w:rsid w:val="005E1824"/>
    <w:rsid w:val="005E18B0"/>
    <w:rsid w:val="005E18BB"/>
    <w:rsid w:val="005E18DB"/>
    <w:rsid w:val="005E1946"/>
    <w:rsid w:val="005E19EB"/>
    <w:rsid w:val="005E1B24"/>
    <w:rsid w:val="005E1B4E"/>
    <w:rsid w:val="005E1B85"/>
    <w:rsid w:val="005E1C9A"/>
    <w:rsid w:val="005E1CE9"/>
    <w:rsid w:val="005E1D4F"/>
    <w:rsid w:val="005E1FD8"/>
    <w:rsid w:val="005E2094"/>
    <w:rsid w:val="005E2128"/>
    <w:rsid w:val="005E2269"/>
    <w:rsid w:val="005E23CB"/>
    <w:rsid w:val="005E2585"/>
    <w:rsid w:val="005E25AD"/>
    <w:rsid w:val="005E2604"/>
    <w:rsid w:val="005E27E3"/>
    <w:rsid w:val="005E27FC"/>
    <w:rsid w:val="005E2884"/>
    <w:rsid w:val="005E28A5"/>
    <w:rsid w:val="005E2A1D"/>
    <w:rsid w:val="005E2AF9"/>
    <w:rsid w:val="005E2B36"/>
    <w:rsid w:val="005E2B51"/>
    <w:rsid w:val="005E2BB3"/>
    <w:rsid w:val="005E2BFE"/>
    <w:rsid w:val="005E2C37"/>
    <w:rsid w:val="005E2CE0"/>
    <w:rsid w:val="005E2D2A"/>
    <w:rsid w:val="005E2E8B"/>
    <w:rsid w:val="005E3028"/>
    <w:rsid w:val="005E3088"/>
    <w:rsid w:val="005E316E"/>
    <w:rsid w:val="005E31F5"/>
    <w:rsid w:val="005E344C"/>
    <w:rsid w:val="005E354D"/>
    <w:rsid w:val="005E364F"/>
    <w:rsid w:val="005E365B"/>
    <w:rsid w:val="005E36A8"/>
    <w:rsid w:val="005E3780"/>
    <w:rsid w:val="005E392C"/>
    <w:rsid w:val="005E3A2F"/>
    <w:rsid w:val="005E3A6D"/>
    <w:rsid w:val="005E3B37"/>
    <w:rsid w:val="005E3C5A"/>
    <w:rsid w:val="005E3D96"/>
    <w:rsid w:val="005E3EC6"/>
    <w:rsid w:val="005E3EED"/>
    <w:rsid w:val="005E3F70"/>
    <w:rsid w:val="005E3FEE"/>
    <w:rsid w:val="005E41AB"/>
    <w:rsid w:val="005E4309"/>
    <w:rsid w:val="005E44A6"/>
    <w:rsid w:val="005E44AA"/>
    <w:rsid w:val="005E45ED"/>
    <w:rsid w:val="005E469B"/>
    <w:rsid w:val="005E46F9"/>
    <w:rsid w:val="005E4703"/>
    <w:rsid w:val="005E4715"/>
    <w:rsid w:val="005E4731"/>
    <w:rsid w:val="005E48A7"/>
    <w:rsid w:val="005E49A4"/>
    <w:rsid w:val="005E4A96"/>
    <w:rsid w:val="005E4BF8"/>
    <w:rsid w:val="005E4D7D"/>
    <w:rsid w:val="005E4F2A"/>
    <w:rsid w:val="005E4FCA"/>
    <w:rsid w:val="005E517A"/>
    <w:rsid w:val="005E519A"/>
    <w:rsid w:val="005E525F"/>
    <w:rsid w:val="005E54BF"/>
    <w:rsid w:val="005E54E8"/>
    <w:rsid w:val="005E571B"/>
    <w:rsid w:val="005E574E"/>
    <w:rsid w:val="005E57B1"/>
    <w:rsid w:val="005E5811"/>
    <w:rsid w:val="005E587B"/>
    <w:rsid w:val="005E5F4B"/>
    <w:rsid w:val="005E60BF"/>
    <w:rsid w:val="005E61C3"/>
    <w:rsid w:val="005E6381"/>
    <w:rsid w:val="005E63BD"/>
    <w:rsid w:val="005E6432"/>
    <w:rsid w:val="005E68B4"/>
    <w:rsid w:val="005E6A00"/>
    <w:rsid w:val="005E6AC4"/>
    <w:rsid w:val="005E6B19"/>
    <w:rsid w:val="005E6C8F"/>
    <w:rsid w:val="005E6DD7"/>
    <w:rsid w:val="005E71A4"/>
    <w:rsid w:val="005E730B"/>
    <w:rsid w:val="005E7332"/>
    <w:rsid w:val="005E7360"/>
    <w:rsid w:val="005E7385"/>
    <w:rsid w:val="005E73C5"/>
    <w:rsid w:val="005E75CA"/>
    <w:rsid w:val="005E77B9"/>
    <w:rsid w:val="005E77E8"/>
    <w:rsid w:val="005E787D"/>
    <w:rsid w:val="005E7B97"/>
    <w:rsid w:val="005E7C13"/>
    <w:rsid w:val="005E7C3E"/>
    <w:rsid w:val="005F00EC"/>
    <w:rsid w:val="005F02E9"/>
    <w:rsid w:val="005F03DB"/>
    <w:rsid w:val="005F03EF"/>
    <w:rsid w:val="005F049C"/>
    <w:rsid w:val="005F04FD"/>
    <w:rsid w:val="005F05FB"/>
    <w:rsid w:val="005F0688"/>
    <w:rsid w:val="005F06A8"/>
    <w:rsid w:val="005F06C0"/>
    <w:rsid w:val="005F06EC"/>
    <w:rsid w:val="005F0753"/>
    <w:rsid w:val="005F078D"/>
    <w:rsid w:val="005F07E9"/>
    <w:rsid w:val="005F084D"/>
    <w:rsid w:val="005F0883"/>
    <w:rsid w:val="005F0892"/>
    <w:rsid w:val="005F08EC"/>
    <w:rsid w:val="005F08F1"/>
    <w:rsid w:val="005F09B8"/>
    <w:rsid w:val="005F0A40"/>
    <w:rsid w:val="005F0A9E"/>
    <w:rsid w:val="005F0BF4"/>
    <w:rsid w:val="005F0C17"/>
    <w:rsid w:val="005F0C27"/>
    <w:rsid w:val="005F0CA2"/>
    <w:rsid w:val="005F0D3C"/>
    <w:rsid w:val="005F0F34"/>
    <w:rsid w:val="005F0FAC"/>
    <w:rsid w:val="005F10E6"/>
    <w:rsid w:val="005F10F6"/>
    <w:rsid w:val="005F1201"/>
    <w:rsid w:val="005F1243"/>
    <w:rsid w:val="005F12E8"/>
    <w:rsid w:val="005F12F0"/>
    <w:rsid w:val="005F1404"/>
    <w:rsid w:val="005F1519"/>
    <w:rsid w:val="005F1559"/>
    <w:rsid w:val="005F15C5"/>
    <w:rsid w:val="005F15E9"/>
    <w:rsid w:val="005F15F5"/>
    <w:rsid w:val="005F16E8"/>
    <w:rsid w:val="005F18CC"/>
    <w:rsid w:val="005F19D3"/>
    <w:rsid w:val="005F1C7B"/>
    <w:rsid w:val="005F1D83"/>
    <w:rsid w:val="005F1F8F"/>
    <w:rsid w:val="005F1FB7"/>
    <w:rsid w:val="005F2033"/>
    <w:rsid w:val="005F20CB"/>
    <w:rsid w:val="005F20F1"/>
    <w:rsid w:val="005F2349"/>
    <w:rsid w:val="005F2412"/>
    <w:rsid w:val="005F2582"/>
    <w:rsid w:val="005F2605"/>
    <w:rsid w:val="005F26CC"/>
    <w:rsid w:val="005F2906"/>
    <w:rsid w:val="005F2917"/>
    <w:rsid w:val="005F2982"/>
    <w:rsid w:val="005F2A4A"/>
    <w:rsid w:val="005F2A5E"/>
    <w:rsid w:val="005F2B3A"/>
    <w:rsid w:val="005F2CFD"/>
    <w:rsid w:val="005F2EA5"/>
    <w:rsid w:val="005F3042"/>
    <w:rsid w:val="005F309D"/>
    <w:rsid w:val="005F309F"/>
    <w:rsid w:val="005F30B5"/>
    <w:rsid w:val="005F3169"/>
    <w:rsid w:val="005F31DC"/>
    <w:rsid w:val="005F32D4"/>
    <w:rsid w:val="005F3469"/>
    <w:rsid w:val="005F35E6"/>
    <w:rsid w:val="005F35E8"/>
    <w:rsid w:val="005F3914"/>
    <w:rsid w:val="005F3931"/>
    <w:rsid w:val="005F3AD0"/>
    <w:rsid w:val="005F3AE4"/>
    <w:rsid w:val="005F3C1C"/>
    <w:rsid w:val="005F3F01"/>
    <w:rsid w:val="005F3F0B"/>
    <w:rsid w:val="005F3F3C"/>
    <w:rsid w:val="005F4035"/>
    <w:rsid w:val="005F406F"/>
    <w:rsid w:val="005F40F2"/>
    <w:rsid w:val="005F440B"/>
    <w:rsid w:val="005F454B"/>
    <w:rsid w:val="005F46A3"/>
    <w:rsid w:val="005F46AB"/>
    <w:rsid w:val="005F4804"/>
    <w:rsid w:val="005F48A9"/>
    <w:rsid w:val="005F4933"/>
    <w:rsid w:val="005F49E3"/>
    <w:rsid w:val="005F4B45"/>
    <w:rsid w:val="005F4D16"/>
    <w:rsid w:val="005F51EE"/>
    <w:rsid w:val="005F5300"/>
    <w:rsid w:val="005F5408"/>
    <w:rsid w:val="005F5509"/>
    <w:rsid w:val="005F55DB"/>
    <w:rsid w:val="005F55E5"/>
    <w:rsid w:val="005F5673"/>
    <w:rsid w:val="005F571B"/>
    <w:rsid w:val="005F57A7"/>
    <w:rsid w:val="005F57B5"/>
    <w:rsid w:val="005F58BB"/>
    <w:rsid w:val="005F5AB7"/>
    <w:rsid w:val="005F5B02"/>
    <w:rsid w:val="005F5B80"/>
    <w:rsid w:val="005F5CD8"/>
    <w:rsid w:val="005F5D7C"/>
    <w:rsid w:val="005F5F0E"/>
    <w:rsid w:val="005F5FB2"/>
    <w:rsid w:val="005F5FDD"/>
    <w:rsid w:val="005F620D"/>
    <w:rsid w:val="005F620F"/>
    <w:rsid w:val="005F6228"/>
    <w:rsid w:val="005F6335"/>
    <w:rsid w:val="005F6411"/>
    <w:rsid w:val="005F653C"/>
    <w:rsid w:val="005F6594"/>
    <w:rsid w:val="005F65BD"/>
    <w:rsid w:val="005F65EA"/>
    <w:rsid w:val="005F660D"/>
    <w:rsid w:val="005F67D7"/>
    <w:rsid w:val="005F684A"/>
    <w:rsid w:val="005F6B15"/>
    <w:rsid w:val="005F6B94"/>
    <w:rsid w:val="005F6BB5"/>
    <w:rsid w:val="005F6C9C"/>
    <w:rsid w:val="005F6F00"/>
    <w:rsid w:val="005F7053"/>
    <w:rsid w:val="005F70B0"/>
    <w:rsid w:val="005F7501"/>
    <w:rsid w:val="005F76B0"/>
    <w:rsid w:val="005F7742"/>
    <w:rsid w:val="005F7745"/>
    <w:rsid w:val="005F77C3"/>
    <w:rsid w:val="005F787C"/>
    <w:rsid w:val="005F7901"/>
    <w:rsid w:val="005F7BA3"/>
    <w:rsid w:val="005F7DB6"/>
    <w:rsid w:val="005F7DFF"/>
    <w:rsid w:val="0060014F"/>
    <w:rsid w:val="006001AE"/>
    <w:rsid w:val="00600262"/>
    <w:rsid w:val="00600360"/>
    <w:rsid w:val="006003AA"/>
    <w:rsid w:val="0060040D"/>
    <w:rsid w:val="0060071E"/>
    <w:rsid w:val="006008C2"/>
    <w:rsid w:val="006009F9"/>
    <w:rsid w:val="00600A0C"/>
    <w:rsid w:val="00600B50"/>
    <w:rsid w:val="00600D68"/>
    <w:rsid w:val="00600EDD"/>
    <w:rsid w:val="00600F42"/>
    <w:rsid w:val="00600F65"/>
    <w:rsid w:val="0060106E"/>
    <w:rsid w:val="006010F4"/>
    <w:rsid w:val="00601105"/>
    <w:rsid w:val="00601178"/>
    <w:rsid w:val="0060146E"/>
    <w:rsid w:val="0060154C"/>
    <w:rsid w:val="00601569"/>
    <w:rsid w:val="006016D9"/>
    <w:rsid w:val="00601984"/>
    <w:rsid w:val="00601A34"/>
    <w:rsid w:val="00601BFC"/>
    <w:rsid w:val="00601D90"/>
    <w:rsid w:val="00601EE1"/>
    <w:rsid w:val="0060203A"/>
    <w:rsid w:val="006021B4"/>
    <w:rsid w:val="0060244D"/>
    <w:rsid w:val="00602462"/>
    <w:rsid w:val="006024CB"/>
    <w:rsid w:val="0060250C"/>
    <w:rsid w:val="006025B6"/>
    <w:rsid w:val="00602634"/>
    <w:rsid w:val="0060284C"/>
    <w:rsid w:val="006028BF"/>
    <w:rsid w:val="006028E5"/>
    <w:rsid w:val="00602A13"/>
    <w:rsid w:val="00602A6B"/>
    <w:rsid w:val="00602A8A"/>
    <w:rsid w:val="00602AD7"/>
    <w:rsid w:val="00602B01"/>
    <w:rsid w:val="00602DFA"/>
    <w:rsid w:val="00603118"/>
    <w:rsid w:val="0060316D"/>
    <w:rsid w:val="006031A6"/>
    <w:rsid w:val="00603241"/>
    <w:rsid w:val="006032D5"/>
    <w:rsid w:val="00603331"/>
    <w:rsid w:val="006033A9"/>
    <w:rsid w:val="00603685"/>
    <w:rsid w:val="0060391A"/>
    <w:rsid w:val="006039BA"/>
    <w:rsid w:val="00603A0A"/>
    <w:rsid w:val="00603A8E"/>
    <w:rsid w:val="00603AEA"/>
    <w:rsid w:val="00603C15"/>
    <w:rsid w:val="00603D54"/>
    <w:rsid w:val="00603D9E"/>
    <w:rsid w:val="00603DB6"/>
    <w:rsid w:val="00603DF7"/>
    <w:rsid w:val="00603EB3"/>
    <w:rsid w:val="00603ECD"/>
    <w:rsid w:val="00603FF9"/>
    <w:rsid w:val="0060404E"/>
    <w:rsid w:val="0060409D"/>
    <w:rsid w:val="006040A2"/>
    <w:rsid w:val="00604107"/>
    <w:rsid w:val="006041E1"/>
    <w:rsid w:val="00604470"/>
    <w:rsid w:val="00604665"/>
    <w:rsid w:val="006047A8"/>
    <w:rsid w:val="006047FA"/>
    <w:rsid w:val="006049E3"/>
    <w:rsid w:val="00604A4C"/>
    <w:rsid w:val="00604A6C"/>
    <w:rsid w:val="00604B58"/>
    <w:rsid w:val="00604C30"/>
    <w:rsid w:val="00604C84"/>
    <w:rsid w:val="00604D20"/>
    <w:rsid w:val="00604E79"/>
    <w:rsid w:val="00604EBE"/>
    <w:rsid w:val="00604F04"/>
    <w:rsid w:val="00605104"/>
    <w:rsid w:val="0060512F"/>
    <w:rsid w:val="00605181"/>
    <w:rsid w:val="006051E7"/>
    <w:rsid w:val="006051EF"/>
    <w:rsid w:val="006054E4"/>
    <w:rsid w:val="0060576D"/>
    <w:rsid w:val="0060582F"/>
    <w:rsid w:val="006059BE"/>
    <w:rsid w:val="00605AF0"/>
    <w:rsid w:val="00605B2C"/>
    <w:rsid w:val="00605EB1"/>
    <w:rsid w:val="00605F49"/>
    <w:rsid w:val="00605F67"/>
    <w:rsid w:val="0060600F"/>
    <w:rsid w:val="0060607E"/>
    <w:rsid w:val="006060E5"/>
    <w:rsid w:val="006062B5"/>
    <w:rsid w:val="006065C1"/>
    <w:rsid w:val="006065F9"/>
    <w:rsid w:val="006066FD"/>
    <w:rsid w:val="00606837"/>
    <w:rsid w:val="0060697F"/>
    <w:rsid w:val="00606AE0"/>
    <w:rsid w:val="00606C90"/>
    <w:rsid w:val="00606DC7"/>
    <w:rsid w:val="00606E94"/>
    <w:rsid w:val="00606FB0"/>
    <w:rsid w:val="00606FC3"/>
    <w:rsid w:val="00607021"/>
    <w:rsid w:val="0060709B"/>
    <w:rsid w:val="0060717A"/>
    <w:rsid w:val="00607302"/>
    <w:rsid w:val="006073A2"/>
    <w:rsid w:val="00607542"/>
    <w:rsid w:val="006075B8"/>
    <w:rsid w:val="006076C9"/>
    <w:rsid w:val="006076D7"/>
    <w:rsid w:val="006077B9"/>
    <w:rsid w:val="00607881"/>
    <w:rsid w:val="006078C7"/>
    <w:rsid w:val="006078E4"/>
    <w:rsid w:val="0060794C"/>
    <w:rsid w:val="006079CF"/>
    <w:rsid w:val="00607B5C"/>
    <w:rsid w:val="00607B9A"/>
    <w:rsid w:val="00607BAB"/>
    <w:rsid w:val="00607DA9"/>
    <w:rsid w:val="00607FAE"/>
    <w:rsid w:val="00610090"/>
    <w:rsid w:val="00610136"/>
    <w:rsid w:val="00610298"/>
    <w:rsid w:val="006103C0"/>
    <w:rsid w:val="0061046B"/>
    <w:rsid w:val="0061048B"/>
    <w:rsid w:val="006105A9"/>
    <w:rsid w:val="0061065F"/>
    <w:rsid w:val="006106DE"/>
    <w:rsid w:val="006107F6"/>
    <w:rsid w:val="006108F1"/>
    <w:rsid w:val="0061097B"/>
    <w:rsid w:val="00610C36"/>
    <w:rsid w:val="00610C53"/>
    <w:rsid w:val="00610C77"/>
    <w:rsid w:val="00610D5B"/>
    <w:rsid w:val="00610DE0"/>
    <w:rsid w:val="00610E0E"/>
    <w:rsid w:val="00610E91"/>
    <w:rsid w:val="00610EC9"/>
    <w:rsid w:val="00610F77"/>
    <w:rsid w:val="00611065"/>
    <w:rsid w:val="006110A0"/>
    <w:rsid w:val="006110FE"/>
    <w:rsid w:val="0061115F"/>
    <w:rsid w:val="00611255"/>
    <w:rsid w:val="0061138D"/>
    <w:rsid w:val="006114CE"/>
    <w:rsid w:val="00611509"/>
    <w:rsid w:val="006116E9"/>
    <w:rsid w:val="0061173C"/>
    <w:rsid w:val="00611829"/>
    <w:rsid w:val="00611895"/>
    <w:rsid w:val="00611968"/>
    <w:rsid w:val="006119A3"/>
    <w:rsid w:val="006119D3"/>
    <w:rsid w:val="00611A4F"/>
    <w:rsid w:val="00611B0C"/>
    <w:rsid w:val="00611B0E"/>
    <w:rsid w:val="00611BA0"/>
    <w:rsid w:val="00611BD7"/>
    <w:rsid w:val="00611C36"/>
    <w:rsid w:val="00611C5F"/>
    <w:rsid w:val="00611C9E"/>
    <w:rsid w:val="00611CEA"/>
    <w:rsid w:val="00611DA5"/>
    <w:rsid w:val="00611E16"/>
    <w:rsid w:val="00611F58"/>
    <w:rsid w:val="006120C6"/>
    <w:rsid w:val="006120E5"/>
    <w:rsid w:val="00612129"/>
    <w:rsid w:val="0061212F"/>
    <w:rsid w:val="006122B3"/>
    <w:rsid w:val="00612380"/>
    <w:rsid w:val="0061247A"/>
    <w:rsid w:val="006125F5"/>
    <w:rsid w:val="00612916"/>
    <w:rsid w:val="00612A46"/>
    <w:rsid w:val="00612A7A"/>
    <w:rsid w:val="00612C10"/>
    <w:rsid w:val="00612CD6"/>
    <w:rsid w:val="00612E54"/>
    <w:rsid w:val="00612EEB"/>
    <w:rsid w:val="0061324E"/>
    <w:rsid w:val="00613296"/>
    <w:rsid w:val="006133F4"/>
    <w:rsid w:val="00613407"/>
    <w:rsid w:val="006134F4"/>
    <w:rsid w:val="00613542"/>
    <w:rsid w:val="0061370F"/>
    <w:rsid w:val="006137B6"/>
    <w:rsid w:val="006138C7"/>
    <w:rsid w:val="00613B19"/>
    <w:rsid w:val="00613B36"/>
    <w:rsid w:val="00613BD1"/>
    <w:rsid w:val="00613C67"/>
    <w:rsid w:val="00613CCD"/>
    <w:rsid w:val="00613D86"/>
    <w:rsid w:val="00613DC2"/>
    <w:rsid w:val="00613DC9"/>
    <w:rsid w:val="00613DD4"/>
    <w:rsid w:val="00613E35"/>
    <w:rsid w:val="00613E63"/>
    <w:rsid w:val="00613FF9"/>
    <w:rsid w:val="00614010"/>
    <w:rsid w:val="0061407F"/>
    <w:rsid w:val="0061411B"/>
    <w:rsid w:val="0061438A"/>
    <w:rsid w:val="006145BA"/>
    <w:rsid w:val="0061463A"/>
    <w:rsid w:val="006146D5"/>
    <w:rsid w:val="0061479C"/>
    <w:rsid w:val="006147E2"/>
    <w:rsid w:val="006148F5"/>
    <w:rsid w:val="006148FC"/>
    <w:rsid w:val="0061497C"/>
    <w:rsid w:val="00614A7C"/>
    <w:rsid w:val="00614A84"/>
    <w:rsid w:val="00614E57"/>
    <w:rsid w:val="00614ED1"/>
    <w:rsid w:val="0061501E"/>
    <w:rsid w:val="006150BE"/>
    <w:rsid w:val="006150E4"/>
    <w:rsid w:val="00615110"/>
    <w:rsid w:val="006153B0"/>
    <w:rsid w:val="0061566C"/>
    <w:rsid w:val="006157AF"/>
    <w:rsid w:val="0061589B"/>
    <w:rsid w:val="006158A2"/>
    <w:rsid w:val="00615929"/>
    <w:rsid w:val="006159D6"/>
    <w:rsid w:val="006159FB"/>
    <w:rsid w:val="00615A1B"/>
    <w:rsid w:val="00615C42"/>
    <w:rsid w:val="00615D20"/>
    <w:rsid w:val="00615DF9"/>
    <w:rsid w:val="00615EED"/>
    <w:rsid w:val="006161F0"/>
    <w:rsid w:val="00616330"/>
    <w:rsid w:val="0061654F"/>
    <w:rsid w:val="006165A6"/>
    <w:rsid w:val="00616630"/>
    <w:rsid w:val="006166A8"/>
    <w:rsid w:val="006166D0"/>
    <w:rsid w:val="00616898"/>
    <w:rsid w:val="006168B2"/>
    <w:rsid w:val="006168F9"/>
    <w:rsid w:val="00616AC7"/>
    <w:rsid w:val="00616BFA"/>
    <w:rsid w:val="00616CCF"/>
    <w:rsid w:val="00616CF2"/>
    <w:rsid w:val="00616DD9"/>
    <w:rsid w:val="00616DDD"/>
    <w:rsid w:val="00616E2A"/>
    <w:rsid w:val="00616E4A"/>
    <w:rsid w:val="00617202"/>
    <w:rsid w:val="00617235"/>
    <w:rsid w:val="006173B2"/>
    <w:rsid w:val="006173EA"/>
    <w:rsid w:val="00617564"/>
    <w:rsid w:val="00617702"/>
    <w:rsid w:val="0061772D"/>
    <w:rsid w:val="00617829"/>
    <w:rsid w:val="0061786E"/>
    <w:rsid w:val="006179CD"/>
    <w:rsid w:val="00617C2A"/>
    <w:rsid w:val="00617FB5"/>
    <w:rsid w:val="00620002"/>
    <w:rsid w:val="00620184"/>
    <w:rsid w:val="00620203"/>
    <w:rsid w:val="00620244"/>
    <w:rsid w:val="006202EC"/>
    <w:rsid w:val="00620361"/>
    <w:rsid w:val="006203AB"/>
    <w:rsid w:val="00620502"/>
    <w:rsid w:val="0062055E"/>
    <w:rsid w:val="00620737"/>
    <w:rsid w:val="00620878"/>
    <w:rsid w:val="00620AE0"/>
    <w:rsid w:val="00620B94"/>
    <w:rsid w:val="00620F7E"/>
    <w:rsid w:val="00620F86"/>
    <w:rsid w:val="00621084"/>
    <w:rsid w:val="00621126"/>
    <w:rsid w:val="0062126A"/>
    <w:rsid w:val="0062132A"/>
    <w:rsid w:val="00621346"/>
    <w:rsid w:val="0062135E"/>
    <w:rsid w:val="0062166B"/>
    <w:rsid w:val="00621ABD"/>
    <w:rsid w:val="00621ADC"/>
    <w:rsid w:val="00621B1C"/>
    <w:rsid w:val="00621C90"/>
    <w:rsid w:val="00621E01"/>
    <w:rsid w:val="00621E8A"/>
    <w:rsid w:val="00621FD0"/>
    <w:rsid w:val="00622075"/>
    <w:rsid w:val="00622078"/>
    <w:rsid w:val="006220B2"/>
    <w:rsid w:val="006220BA"/>
    <w:rsid w:val="006220D0"/>
    <w:rsid w:val="00622111"/>
    <w:rsid w:val="0062214F"/>
    <w:rsid w:val="00622207"/>
    <w:rsid w:val="006222E4"/>
    <w:rsid w:val="006222F7"/>
    <w:rsid w:val="006223E8"/>
    <w:rsid w:val="0062264C"/>
    <w:rsid w:val="0062288E"/>
    <w:rsid w:val="00622934"/>
    <w:rsid w:val="006229DE"/>
    <w:rsid w:val="006229F8"/>
    <w:rsid w:val="00622B73"/>
    <w:rsid w:val="00622DC3"/>
    <w:rsid w:val="00622DD8"/>
    <w:rsid w:val="00622F88"/>
    <w:rsid w:val="00623133"/>
    <w:rsid w:val="0062314C"/>
    <w:rsid w:val="00623196"/>
    <w:rsid w:val="0062323A"/>
    <w:rsid w:val="006232C5"/>
    <w:rsid w:val="0062343C"/>
    <w:rsid w:val="006234B6"/>
    <w:rsid w:val="00623527"/>
    <w:rsid w:val="00623754"/>
    <w:rsid w:val="006237BA"/>
    <w:rsid w:val="00623AAB"/>
    <w:rsid w:val="00623B84"/>
    <w:rsid w:val="00623C29"/>
    <w:rsid w:val="00623EBE"/>
    <w:rsid w:val="00623F49"/>
    <w:rsid w:val="00623FB5"/>
    <w:rsid w:val="00623FD6"/>
    <w:rsid w:val="00624020"/>
    <w:rsid w:val="006240D8"/>
    <w:rsid w:val="006241EA"/>
    <w:rsid w:val="0062427B"/>
    <w:rsid w:val="0062428E"/>
    <w:rsid w:val="00624380"/>
    <w:rsid w:val="00624433"/>
    <w:rsid w:val="00624441"/>
    <w:rsid w:val="00624559"/>
    <w:rsid w:val="006245CE"/>
    <w:rsid w:val="006247B4"/>
    <w:rsid w:val="00624832"/>
    <w:rsid w:val="00624AC3"/>
    <w:rsid w:val="00624B1A"/>
    <w:rsid w:val="00624B92"/>
    <w:rsid w:val="00624E46"/>
    <w:rsid w:val="00624FBA"/>
    <w:rsid w:val="00625008"/>
    <w:rsid w:val="006250F2"/>
    <w:rsid w:val="00625286"/>
    <w:rsid w:val="00625480"/>
    <w:rsid w:val="00625619"/>
    <w:rsid w:val="00625846"/>
    <w:rsid w:val="00625853"/>
    <w:rsid w:val="006258EC"/>
    <w:rsid w:val="00625B82"/>
    <w:rsid w:val="00625C33"/>
    <w:rsid w:val="00625CFD"/>
    <w:rsid w:val="00625D27"/>
    <w:rsid w:val="00625DDD"/>
    <w:rsid w:val="00625E72"/>
    <w:rsid w:val="00625ED8"/>
    <w:rsid w:val="00625F01"/>
    <w:rsid w:val="006260A4"/>
    <w:rsid w:val="0062616E"/>
    <w:rsid w:val="00626237"/>
    <w:rsid w:val="00626244"/>
    <w:rsid w:val="006262F8"/>
    <w:rsid w:val="0062631C"/>
    <w:rsid w:val="006263B5"/>
    <w:rsid w:val="00626480"/>
    <w:rsid w:val="006264DA"/>
    <w:rsid w:val="00626530"/>
    <w:rsid w:val="0062655A"/>
    <w:rsid w:val="006265F8"/>
    <w:rsid w:val="006266E8"/>
    <w:rsid w:val="0062675D"/>
    <w:rsid w:val="006267CD"/>
    <w:rsid w:val="006267D2"/>
    <w:rsid w:val="00626905"/>
    <w:rsid w:val="00626910"/>
    <w:rsid w:val="00626A0D"/>
    <w:rsid w:val="00626B6E"/>
    <w:rsid w:val="00626CA4"/>
    <w:rsid w:val="00626D70"/>
    <w:rsid w:val="00626D82"/>
    <w:rsid w:val="00626E31"/>
    <w:rsid w:val="006270D7"/>
    <w:rsid w:val="006271EA"/>
    <w:rsid w:val="00627220"/>
    <w:rsid w:val="006272C2"/>
    <w:rsid w:val="00627356"/>
    <w:rsid w:val="00627392"/>
    <w:rsid w:val="0062739C"/>
    <w:rsid w:val="00627510"/>
    <w:rsid w:val="00627659"/>
    <w:rsid w:val="006276DE"/>
    <w:rsid w:val="0062780A"/>
    <w:rsid w:val="0062780F"/>
    <w:rsid w:val="00627829"/>
    <w:rsid w:val="00627836"/>
    <w:rsid w:val="0062783F"/>
    <w:rsid w:val="0062789B"/>
    <w:rsid w:val="00627A34"/>
    <w:rsid w:val="00627AAE"/>
    <w:rsid w:val="00627B34"/>
    <w:rsid w:val="00627B59"/>
    <w:rsid w:val="00627BFC"/>
    <w:rsid w:val="00627CD4"/>
    <w:rsid w:val="00627D81"/>
    <w:rsid w:val="00627E8A"/>
    <w:rsid w:val="00627EF7"/>
    <w:rsid w:val="00627F1E"/>
    <w:rsid w:val="0063005D"/>
    <w:rsid w:val="00630087"/>
    <w:rsid w:val="006300F1"/>
    <w:rsid w:val="006301E6"/>
    <w:rsid w:val="00630413"/>
    <w:rsid w:val="006304AE"/>
    <w:rsid w:val="0063061B"/>
    <w:rsid w:val="0063066F"/>
    <w:rsid w:val="006306B7"/>
    <w:rsid w:val="00630B13"/>
    <w:rsid w:val="00630C1E"/>
    <w:rsid w:val="00630CFD"/>
    <w:rsid w:val="00630E5F"/>
    <w:rsid w:val="00630EE5"/>
    <w:rsid w:val="0063111E"/>
    <w:rsid w:val="0063122F"/>
    <w:rsid w:val="006312EF"/>
    <w:rsid w:val="006314ED"/>
    <w:rsid w:val="0063154C"/>
    <w:rsid w:val="0063160F"/>
    <w:rsid w:val="00631637"/>
    <w:rsid w:val="00631703"/>
    <w:rsid w:val="00631832"/>
    <w:rsid w:val="00631841"/>
    <w:rsid w:val="00631847"/>
    <w:rsid w:val="00631BC8"/>
    <w:rsid w:val="00631D40"/>
    <w:rsid w:val="00631D6A"/>
    <w:rsid w:val="006320E7"/>
    <w:rsid w:val="00632158"/>
    <w:rsid w:val="0063220B"/>
    <w:rsid w:val="00632290"/>
    <w:rsid w:val="0063238D"/>
    <w:rsid w:val="006323F9"/>
    <w:rsid w:val="006325DC"/>
    <w:rsid w:val="0063264F"/>
    <w:rsid w:val="006326BB"/>
    <w:rsid w:val="006328D2"/>
    <w:rsid w:val="006329ED"/>
    <w:rsid w:val="00632A2D"/>
    <w:rsid w:val="00632A3E"/>
    <w:rsid w:val="00632B15"/>
    <w:rsid w:val="00632E47"/>
    <w:rsid w:val="00633004"/>
    <w:rsid w:val="0063313A"/>
    <w:rsid w:val="006331A7"/>
    <w:rsid w:val="006331ED"/>
    <w:rsid w:val="00633270"/>
    <w:rsid w:val="0063358B"/>
    <w:rsid w:val="00633601"/>
    <w:rsid w:val="00633657"/>
    <w:rsid w:val="0063374E"/>
    <w:rsid w:val="00633803"/>
    <w:rsid w:val="00633A80"/>
    <w:rsid w:val="00633B6A"/>
    <w:rsid w:val="00633B70"/>
    <w:rsid w:val="00633D9C"/>
    <w:rsid w:val="00633DB8"/>
    <w:rsid w:val="006340EB"/>
    <w:rsid w:val="006341B2"/>
    <w:rsid w:val="0063427B"/>
    <w:rsid w:val="006343F0"/>
    <w:rsid w:val="00634494"/>
    <w:rsid w:val="006344D4"/>
    <w:rsid w:val="006344EF"/>
    <w:rsid w:val="0063456D"/>
    <w:rsid w:val="00634640"/>
    <w:rsid w:val="006347E0"/>
    <w:rsid w:val="00634915"/>
    <w:rsid w:val="00634AB3"/>
    <w:rsid w:val="00634C3F"/>
    <w:rsid w:val="00634C78"/>
    <w:rsid w:val="00634C8B"/>
    <w:rsid w:val="00634D04"/>
    <w:rsid w:val="00634D05"/>
    <w:rsid w:val="00635084"/>
    <w:rsid w:val="0063513D"/>
    <w:rsid w:val="006353C2"/>
    <w:rsid w:val="00635427"/>
    <w:rsid w:val="0063547F"/>
    <w:rsid w:val="006354D9"/>
    <w:rsid w:val="006356F8"/>
    <w:rsid w:val="00635A32"/>
    <w:rsid w:val="00635A41"/>
    <w:rsid w:val="00635A8A"/>
    <w:rsid w:val="00635AA4"/>
    <w:rsid w:val="00635ACD"/>
    <w:rsid w:val="00635AE9"/>
    <w:rsid w:val="00635E08"/>
    <w:rsid w:val="00635F13"/>
    <w:rsid w:val="00635F25"/>
    <w:rsid w:val="00635FB0"/>
    <w:rsid w:val="00636067"/>
    <w:rsid w:val="00636209"/>
    <w:rsid w:val="00636289"/>
    <w:rsid w:val="006363CC"/>
    <w:rsid w:val="006365D4"/>
    <w:rsid w:val="0063667A"/>
    <w:rsid w:val="006366BF"/>
    <w:rsid w:val="00636810"/>
    <w:rsid w:val="00636C09"/>
    <w:rsid w:val="00636CFB"/>
    <w:rsid w:val="00636D0F"/>
    <w:rsid w:val="00636F0E"/>
    <w:rsid w:val="00636F13"/>
    <w:rsid w:val="00637003"/>
    <w:rsid w:val="00637220"/>
    <w:rsid w:val="00637223"/>
    <w:rsid w:val="00637285"/>
    <w:rsid w:val="006373B2"/>
    <w:rsid w:val="00637403"/>
    <w:rsid w:val="006374D2"/>
    <w:rsid w:val="0063771C"/>
    <w:rsid w:val="00637728"/>
    <w:rsid w:val="0063775C"/>
    <w:rsid w:val="00637843"/>
    <w:rsid w:val="0063785A"/>
    <w:rsid w:val="0063787C"/>
    <w:rsid w:val="006379A4"/>
    <w:rsid w:val="00637A29"/>
    <w:rsid w:val="00637A2F"/>
    <w:rsid w:val="00637A4E"/>
    <w:rsid w:val="00637A72"/>
    <w:rsid w:val="00637B4C"/>
    <w:rsid w:val="00637B84"/>
    <w:rsid w:val="00637C4D"/>
    <w:rsid w:val="00637CA6"/>
    <w:rsid w:val="00637DB4"/>
    <w:rsid w:val="00637EFF"/>
    <w:rsid w:val="00637FE4"/>
    <w:rsid w:val="006402C3"/>
    <w:rsid w:val="006402E2"/>
    <w:rsid w:val="006402E7"/>
    <w:rsid w:val="00640306"/>
    <w:rsid w:val="0064033C"/>
    <w:rsid w:val="00640377"/>
    <w:rsid w:val="006403C8"/>
    <w:rsid w:val="00640409"/>
    <w:rsid w:val="00640561"/>
    <w:rsid w:val="006405C8"/>
    <w:rsid w:val="006407F9"/>
    <w:rsid w:val="00640878"/>
    <w:rsid w:val="00640883"/>
    <w:rsid w:val="00640980"/>
    <w:rsid w:val="006409AB"/>
    <w:rsid w:val="00640A74"/>
    <w:rsid w:val="00640B0A"/>
    <w:rsid w:val="00640CEB"/>
    <w:rsid w:val="00640E58"/>
    <w:rsid w:val="00640EFC"/>
    <w:rsid w:val="00640F38"/>
    <w:rsid w:val="00640F6D"/>
    <w:rsid w:val="00640FC1"/>
    <w:rsid w:val="00640FC9"/>
    <w:rsid w:val="0064103A"/>
    <w:rsid w:val="00641052"/>
    <w:rsid w:val="00641137"/>
    <w:rsid w:val="0064115E"/>
    <w:rsid w:val="00641215"/>
    <w:rsid w:val="006413AB"/>
    <w:rsid w:val="0064143A"/>
    <w:rsid w:val="006414C5"/>
    <w:rsid w:val="006414F4"/>
    <w:rsid w:val="006414F8"/>
    <w:rsid w:val="00641937"/>
    <w:rsid w:val="006419A9"/>
    <w:rsid w:val="00641A0C"/>
    <w:rsid w:val="00641A9D"/>
    <w:rsid w:val="00641AB5"/>
    <w:rsid w:val="00641B1B"/>
    <w:rsid w:val="00641BAC"/>
    <w:rsid w:val="00641BD0"/>
    <w:rsid w:val="00641CB9"/>
    <w:rsid w:val="00641CEC"/>
    <w:rsid w:val="00641D36"/>
    <w:rsid w:val="00641E31"/>
    <w:rsid w:val="00641FE5"/>
    <w:rsid w:val="0064213A"/>
    <w:rsid w:val="0064214C"/>
    <w:rsid w:val="006421F7"/>
    <w:rsid w:val="006422DB"/>
    <w:rsid w:val="0064253F"/>
    <w:rsid w:val="0064256C"/>
    <w:rsid w:val="006425BA"/>
    <w:rsid w:val="006426CB"/>
    <w:rsid w:val="006426D9"/>
    <w:rsid w:val="00642716"/>
    <w:rsid w:val="0064294E"/>
    <w:rsid w:val="00642A22"/>
    <w:rsid w:val="00642A85"/>
    <w:rsid w:val="00642A86"/>
    <w:rsid w:val="00642A9D"/>
    <w:rsid w:val="00642B8F"/>
    <w:rsid w:val="00642BEB"/>
    <w:rsid w:val="00642BEC"/>
    <w:rsid w:val="00642C04"/>
    <w:rsid w:val="00642CA9"/>
    <w:rsid w:val="00642E3A"/>
    <w:rsid w:val="00642EA5"/>
    <w:rsid w:val="00642F25"/>
    <w:rsid w:val="00643039"/>
    <w:rsid w:val="006430AD"/>
    <w:rsid w:val="00643232"/>
    <w:rsid w:val="00643235"/>
    <w:rsid w:val="00643236"/>
    <w:rsid w:val="00643324"/>
    <w:rsid w:val="0064342A"/>
    <w:rsid w:val="006434CD"/>
    <w:rsid w:val="006434D1"/>
    <w:rsid w:val="00643560"/>
    <w:rsid w:val="006435A1"/>
    <w:rsid w:val="006435CE"/>
    <w:rsid w:val="0064379C"/>
    <w:rsid w:val="00643851"/>
    <w:rsid w:val="0064387F"/>
    <w:rsid w:val="0064394F"/>
    <w:rsid w:val="00643A6C"/>
    <w:rsid w:val="00643BF2"/>
    <w:rsid w:val="00643D8A"/>
    <w:rsid w:val="00643D8B"/>
    <w:rsid w:val="00643F79"/>
    <w:rsid w:val="00643F9E"/>
    <w:rsid w:val="00643FB2"/>
    <w:rsid w:val="00644002"/>
    <w:rsid w:val="0064420C"/>
    <w:rsid w:val="00644379"/>
    <w:rsid w:val="006443B9"/>
    <w:rsid w:val="00644473"/>
    <w:rsid w:val="00644524"/>
    <w:rsid w:val="0064454B"/>
    <w:rsid w:val="006445A1"/>
    <w:rsid w:val="006445BA"/>
    <w:rsid w:val="006445E5"/>
    <w:rsid w:val="00644627"/>
    <w:rsid w:val="0064466F"/>
    <w:rsid w:val="0064487B"/>
    <w:rsid w:val="00644A73"/>
    <w:rsid w:val="00644A99"/>
    <w:rsid w:val="00644AF1"/>
    <w:rsid w:val="00644B53"/>
    <w:rsid w:val="00644DD4"/>
    <w:rsid w:val="00644DFB"/>
    <w:rsid w:val="00644E12"/>
    <w:rsid w:val="00644E9F"/>
    <w:rsid w:val="0064503D"/>
    <w:rsid w:val="00645088"/>
    <w:rsid w:val="006451D3"/>
    <w:rsid w:val="00645260"/>
    <w:rsid w:val="006453DA"/>
    <w:rsid w:val="006454DB"/>
    <w:rsid w:val="00645683"/>
    <w:rsid w:val="00645714"/>
    <w:rsid w:val="00645721"/>
    <w:rsid w:val="0064578A"/>
    <w:rsid w:val="006458EA"/>
    <w:rsid w:val="006459E1"/>
    <w:rsid w:val="00645A11"/>
    <w:rsid w:val="00645AF6"/>
    <w:rsid w:val="00645C54"/>
    <w:rsid w:val="00645DFB"/>
    <w:rsid w:val="00645E6B"/>
    <w:rsid w:val="00645EBB"/>
    <w:rsid w:val="00645F26"/>
    <w:rsid w:val="006460BD"/>
    <w:rsid w:val="0064618C"/>
    <w:rsid w:val="0064619F"/>
    <w:rsid w:val="0064629C"/>
    <w:rsid w:val="006463C4"/>
    <w:rsid w:val="006463C8"/>
    <w:rsid w:val="00646494"/>
    <w:rsid w:val="006464D7"/>
    <w:rsid w:val="0064650B"/>
    <w:rsid w:val="006465F5"/>
    <w:rsid w:val="006466B8"/>
    <w:rsid w:val="0064671C"/>
    <w:rsid w:val="006467FE"/>
    <w:rsid w:val="006468C2"/>
    <w:rsid w:val="00646926"/>
    <w:rsid w:val="00646F54"/>
    <w:rsid w:val="00646FF9"/>
    <w:rsid w:val="00647085"/>
    <w:rsid w:val="006470A9"/>
    <w:rsid w:val="00647182"/>
    <w:rsid w:val="006471C4"/>
    <w:rsid w:val="006471C9"/>
    <w:rsid w:val="00647294"/>
    <w:rsid w:val="006472A8"/>
    <w:rsid w:val="00647575"/>
    <w:rsid w:val="006475B7"/>
    <w:rsid w:val="006476C2"/>
    <w:rsid w:val="00647716"/>
    <w:rsid w:val="00647819"/>
    <w:rsid w:val="00647AAF"/>
    <w:rsid w:val="00647CF1"/>
    <w:rsid w:val="00647E8E"/>
    <w:rsid w:val="00647EAB"/>
    <w:rsid w:val="00647ED3"/>
    <w:rsid w:val="00647F95"/>
    <w:rsid w:val="006500CA"/>
    <w:rsid w:val="00650252"/>
    <w:rsid w:val="0065040A"/>
    <w:rsid w:val="00650506"/>
    <w:rsid w:val="00650515"/>
    <w:rsid w:val="006505E0"/>
    <w:rsid w:val="00650617"/>
    <w:rsid w:val="006506F2"/>
    <w:rsid w:val="006508B5"/>
    <w:rsid w:val="00650939"/>
    <w:rsid w:val="00650B52"/>
    <w:rsid w:val="00650B71"/>
    <w:rsid w:val="00650B8D"/>
    <w:rsid w:val="00650BF4"/>
    <w:rsid w:val="00650C26"/>
    <w:rsid w:val="00650D66"/>
    <w:rsid w:val="00651028"/>
    <w:rsid w:val="00651093"/>
    <w:rsid w:val="006511FC"/>
    <w:rsid w:val="00651226"/>
    <w:rsid w:val="00651324"/>
    <w:rsid w:val="006513AA"/>
    <w:rsid w:val="006513D7"/>
    <w:rsid w:val="0065140B"/>
    <w:rsid w:val="00651499"/>
    <w:rsid w:val="0065152C"/>
    <w:rsid w:val="006515BC"/>
    <w:rsid w:val="00651767"/>
    <w:rsid w:val="006517A9"/>
    <w:rsid w:val="0065199E"/>
    <w:rsid w:val="00651B3D"/>
    <w:rsid w:val="00651BFB"/>
    <w:rsid w:val="00651C6F"/>
    <w:rsid w:val="00651D88"/>
    <w:rsid w:val="00651D8D"/>
    <w:rsid w:val="00651ED6"/>
    <w:rsid w:val="00651FFF"/>
    <w:rsid w:val="006520EE"/>
    <w:rsid w:val="0065216E"/>
    <w:rsid w:val="00652199"/>
    <w:rsid w:val="006522E8"/>
    <w:rsid w:val="006523E5"/>
    <w:rsid w:val="00652450"/>
    <w:rsid w:val="0065248B"/>
    <w:rsid w:val="00652782"/>
    <w:rsid w:val="00652933"/>
    <w:rsid w:val="00652949"/>
    <w:rsid w:val="00652C91"/>
    <w:rsid w:val="00652D15"/>
    <w:rsid w:val="00652D33"/>
    <w:rsid w:val="00652E7A"/>
    <w:rsid w:val="00652EB9"/>
    <w:rsid w:val="00653114"/>
    <w:rsid w:val="0065326E"/>
    <w:rsid w:val="00653303"/>
    <w:rsid w:val="0065337D"/>
    <w:rsid w:val="00653488"/>
    <w:rsid w:val="0065355D"/>
    <w:rsid w:val="006535B9"/>
    <w:rsid w:val="006535BC"/>
    <w:rsid w:val="006535C5"/>
    <w:rsid w:val="006535D7"/>
    <w:rsid w:val="006535E8"/>
    <w:rsid w:val="006535FD"/>
    <w:rsid w:val="00653851"/>
    <w:rsid w:val="00653A53"/>
    <w:rsid w:val="00653AF7"/>
    <w:rsid w:val="00653B22"/>
    <w:rsid w:val="00653D77"/>
    <w:rsid w:val="00653DF1"/>
    <w:rsid w:val="00653E57"/>
    <w:rsid w:val="00653F21"/>
    <w:rsid w:val="00653F6B"/>
    <w:rsid w:val="00654001"/>
    <w:rsid w:val="00654002"/>
    <w:rsid w:val="0065400A"/>
    <w:rsid w:val="00654081"/>
    <w:rsid w:val="0065416B"/>
    <w:rsid w:val="00654245"/>
    <w:rsid w:val="00654390"/>
    <w:rsid w:val="006543DE"/>
    <w:rsid w:val="006543DF"/>
    <w:rsid w:val="00654449"/>
    <w:rsid w:val="006544D6"/>
    <w:rsid w:val="00654516"/>
    <w:rsid w:val="0065454E"/>
    <w:rsid w:val="00654626"/>
    <w:rsid w:val="0065478A"/>
    <w:rsid w:val="006547BE"/>
    <w:rsid w:val="00654816"/>
    <w:rsid w:val="006548C9"/>
    <w:rsid w:val="006549A5"/>
    <w:rsid w:val="00654A0A"/>
    <w:rsid w:val="00654A89"/>
    <w:rsid w:val="00654F44"/>
    <w:rsid w:val="00654FBC"/>
    <w:rsid w:val="006550B3"/>
    <w:rsid w:val="00655371"/>
    <w:rsid w:val="00655524"/>
    <w:rsid w:val="00655537"/>
    <w:rsid w:val="0065575A"/>
    <w:rsid w:val="006557A3"/>
    <w:rsid w:val="006558F9"/>
    <w:rsid w:val="00655B92"/>
    <w:rsid w:val="00655C6E"/>
    <w:rsid w:val="00655C81"/>
    <w:rsid w:val="00655CAD"/>
    <w:rsid w:val="00655D6E"/>
    <w:rsid w:val="00655D7C"/>
    <w:rsid w:val="00655FF9"/>
    <w:rsid w:val="006560AF"/>
    <w:rsid w:val="00656128"/>
    <w:rsid w:val="006561D5"/>
    <w:rsid w:val="006562E5"/>
    <w:rsid w:val="00656406"/>
    <w:rsid w:val="00656473"/>
    <w:rsid w:val="00656479"/>
    <w:rsid w:val="006564F9"/>
    <w:rsid w:val="00656711"/>
    <w:rsid w:val="006569E1"/>
    <w:rsid w:val="00656A66"/>
    <w:rsid w:val="00656AAB"/>
    <w:rsid w:val="00656C26"/>
    <w:rsid w:val="00656C71"/>
    <w:rsid w:val="00656CF4"/>
    <w:rsid w:val="00656D79"/>
    <w:rsid w:val="00656F16"/>
    <w:rsid w:val="00656F6C"/>
    <w:rsid w:val="00657004"/>
    <w:rsid w:val="00657021"/>
    <w:rsid w:val="00657029"/>
    <w:rsid w:val="00657094"/>
    <w:rsid w:val="00657345"/>
    <w:rsid w:val="0065747C"/>
    <w:rsid w:val="00657663"/>
    <w:rsid w:val="0065768D"/>
    <w:rsid w:val="006576FE"/>
    <w:rsid w:val="00657775"/>
    <w:rsid w:val="006578D1"/>
    <w:rsid w:val="006578D3"/>
    <w:rsid w:val="006579E9"/>
    <w:rsid w:val="00657ACF"/>
    <w:rsid w:val="00657BC1"/>
    <w:rsid w:val="00657E55"/>
    <w:rsid w:val="00660105"/>
    <w:rsid w:val="0066019D"/>
    <w:rsid w:val="00660295"/>
    <w:rsid w:val="006602AF"/>
    <w:rsid w:val="006602D1"/>
    <w:rsid w:val="0066030A"/>
    <w:rsid w:val="00660416"/>
    <w:rsid w:val="0066041D"/>
    <w:rsid w:val="006604AF"/>
    <w:rsid w:val="006604FD"/>
    <w:rsid w:val="0066071C"/>
    <w:rsid w:val="0066075F"/>
    <w:rsid w:val="00660999"/>
    <w:rsid w:val="00660A8A"/>
    <w:rsid w:val="00660B04"/>
    <w:rsid w:val="00660BE8"/>
    <w:rsid w:val="00660C7B"/>
    <w:rsid w:val="00660CED"/>
    <w:rsid w:val="00660D34"/>
    <w:rsid w:val="00660F93"/>
    <w:rsid w:val="00661087"/>
    <w:rsid w:val="00661115"/>
    <w:rsid w:val="0066133D"/>
    <w:rsid w:val="0066154A"/>
    <w:rsid w:val="0066189C"/>
    <w:rsid w:val="006619CB"/>
    <w:rsid w:val="006619E0"/>
    <w:rsid w:val="00661B9E"/>
    <w:rsid w:val="00661BBC"/>
    <w:rsid w:val="00661D8B"/>
    <w:rsid w:val="00661ED7"/>
    <w:rsid w:val="00661F15"/>
    <w:rsid w:val="00661F45"/>
    <w:rsid w:val="0066203C"/>
    <w:rsid w:val="00662048"/>
    <w:rsid w:val="0066204F"/>
    <w:rsid w:val="006620BB"/>
    <w:rsid w:val="0066216E"/>
    <w:rsid w:val="00662179"/>
    <w:rsid w:val="00662180"/>
    <w:rsid w:val="0066218F"/>
    <w:rsid w:val="006621D6"/>
    <w:rsid w:val="0066238D"/>
    <w:rsid w:val="0066243B"/>
    <w:rsid w:val="006624A7"/>
    <w:rsid w:val="00662852"/>
    <w:rsid w:val="006629E8"/>
    <w:rsid w:val="006629FE"/>
    <w:rsid w:val="00662A32"/>
    <w:rsid w:val="00662A7C"/>
    <w:rsid w:val="00662B16"/>
    <w:rsid w:val="00662B7B"/>
    <w:rsid w:val="00662BA9"/>
    <w:rsid w:val="00662BF2"/>
    <w:rsid w:val="00662BFF"/>
    <w:rsid w:val="00662C82"/>
    <w:rsid w:val="00662DF8"/>
    <w:rsid w:val="00662E21"/>
    <w:rsid w:val="00662EFC"/>
    <w:rsid w:val="00662F4F"/>
    <w:rsid w:val="00662F7B"/>
    <w:rsid w:val="00663083"/>
    <w:rsid w:val="0066319D"/>
    <w:rsid w:val="00663262"/>
    <w:rsid w:val="0066334D"/>
    <w:rsid w:val="006634FF"/>
    <w:rsid w:val="00663583"/>
    <w:rsid w:val="006635A7"/>
    <w:rsid w:val="006635D1"/>
    <w:rsid w:val="0066386A"/>
    <w:rsid w:val="0066392D"/>
    <w:rsid w:val="00663955"/>
    <w:rsid w:val="00663A24"/>
    <w:rsid w:val="00663B32"/>
    <w:rsid w:val="00663C0F"/>
    <w:rsid w:val="00663C7E"/>
    <w:rsid w:val="00663CA8"/>
    <w:rsid w:val="00663FCA"/>
    <w:rsid w:val="006640CB"/>
    <w:rsid w:val="00664260"/>
    <w:rsid w:val="00664301"/>
    <w:rsid w:val="0066431B"/>
    <w:rsid w:val="00664435"/>
    <w:rsid w:val="00664441"/>
    <w:rsid w:val="0066448E"/>
    <w:rsid w:val="0066460D"/>
    <w:rsid w:val="006646A4"/>
    <w:rsid w:val="006646C8"/>
    <w:rsid w:val="00664871"/>
    <w:rsid w:val="00664983"/>
    <w:rsid w:val="006649B2"/>
    <w:rsid w:val="00664A65"/>
    <w:rsid w:val="00664B14"/>
    <w:rsid w:val="00664B54"/>
    <w:rsid w:val="00664E48"/>
    <w:rsid w:val="00664E7A"/>
    <w:rsid w:val="00664F11"/>
    <w:rsid w:val="0066501D"/>
    <w:rsid w:val="006651BA"/>
    <w:rsid w:val="006651C4"/>
    <w:rsid w:val="006651E1"/>
    <w:rsid w:val="00665367"/>
    <w:rsid w:val="006654D5"/>
    <w:rsid w:val="006654E1"/>
    <w:rsid w:val="00665576"/>
    <w:rsid w:val="00665618"/>
    <w:rsid w:val="00665704"/>
    <w:rsid w:val="00665744"/>
    <w:rsid w:val="00665769"/>
    <w:rsid w:val="00665B13"/>
    <w:rsid w:val="00665B42"/>
    <w:rsid w:val="00665B79"/>
    <w:rsid w:val="00665DD9"/>
    <w:rsid w:val="00665E6B"/>
    <w:rsid w:val="00665EE4"/>
    <w:rsid w:val="0066607F"/>
    <w:rsid w:val="0066631C"/>
    <w:rsid w:val="0066640C"/>
    <w:rsid w:val="0066641B"/>
    <w:rsid w:val="0066641E"/>
    <w:rsid w:val="0066644F"/>
    <w:rsid w:val="006664C5"/>
    <w:rsid w:val="006664DD"/>
    <w:rsid w:val="00666553"/>
    <w:rsid w:val="006665B7"/>
    <w:rsid w:val="00666608"/>
    <w:rsid w:val="0066660A"/>
    <w:rsid w:val="0066663C"/>
    <w:rsid w:val="006666D0"/>
    <w:rsid w:val="006666F6"/>
    <w:rsid w:val="00666903"/>
    <w:rsid w:val="00666A2C"/>
    <w:rsid w:val="00666C43"/>
    <w:rsid w:val="00666C8C"/>
    <w:rsid w:val="00666D94"/>
    <w:rsid w:val="00666E03"/>
    <w:rsid w:val="00666E51"/>
    <w:rsid w:val="006671CB"/>
    <w:rsid w:val="00667558"/>
    <w:rsid w:val="006676FF"/>
    <w:rsid w:val="00667724"/>
    <w:rsid w:val="00667933"/>
    <w:rsid w:val="00667939"/>
    <w:rsid w:val="006679A0"/>
    <w:rsid w:val="006679D6"/>
    <w:rsid w:val="006679E7"/>
    <w:rsid w:val="00667A02"/>
    <w:rsid w:val="00667A14"/>
    <w:rsid w:val="00667AD7"/>
    <w:rsid w:val="00667B40"/>
    <w:rsid w:val="00667B58"/>
    <w:rsid w:val="00667C0F"/>
    <w:rsid w:val="00667CC6"/>
    <w:rsid w:val="00667DAE"/>
    <w:rsid w:val="00667DC8"/>
    <w:rsid w:val="00667DCA"/>
    <w:rsid w:val="00667FB6"/>
    <w:rsid w:val="00670199"/>
    <w:rsid w:val="00670496"/>
    <w:rsid w:val="0067051D"/>
    <w:rsid w:val="006706DD"/>
    <w:rsid w:val="00670743"/>
    <w:rsid w:val="0067074A"/>
    <w:rsid w:val="006707DB"/>
    <w:rsid w:val="006709E1"/>
    <w:rsid w:val="006709F1"/>
    <w:rsid w:val="006709F9"/>
    <w:rsid w:val="00670AF6"/>
    <w:rsid w:val="00670BBA"/>
    <w:rsid w:val="00670BBB"/>
    <w:rsid w:val="00670CD4"/>
    <w:rsid w:val="00670E5F"/>
    <w:rsid w:val="00671318"/>
    <w:rsid w:val="00671354"/>
    <w:rsid w:val="006713EC"/>
    <w:rsid w:val="0067166D"/>
    <w:rsid w:val="006718E5"/>
    <w:rsid w:val="00671A1E"/>
    <w:rsid w:val="00671A36"/>
    <w:rsid w:val="00671B0F"/>
    <w:rsid w:val="00671D17"/>
    <w:rsid w:val="00671D2A"/>
    <w:rsid w:val="00671D36"/>
    <w:rsid w:val="00671DDF"/>
    <w:rsid w:val="00671E91"/>
    <w:rsid w:val="00671EAF"/>
    <w:rsid w:val="00672040"/>
    <w:rsid w:val="00672146"/>
    <w:rsid w:val="0067234E"/>
    <w:rsid w:val="00672375"/>
    <w:rsid w:val="006723D0"/>
    <w:rsid w:val="006723D9"/>
    <w:rsid w:val="00672474"/>
    <w:rsid w:val="00672508"/>
    <w:rsid w:val="0067250C"/>
    <w:rsid w:val="00672535"/>
    <w:rsid w:val="0067265B"/>
    <w:rsid w:val="006726E9"/>
    <w:rsid w:val="0067281E"/>
    <w:rsid w:val="006728CC"/>
    <w:rsid w:val="00672A34"/>
    <w:rsid w:val="00672A9E"/>
    <w:rsid w:val="00672B1C"/>
    <w:rsid w:val="00672B4B"/>
    <w:rsid w:val="00672B4C"/>
    <w:rsid w:val="00672BBB"/>
    <w:rsid w:val="00672C56"/>
    <w:rsid w:val="00672C7A"/>
    <w:rsid w:val="00672CFC"/>
    <w:rsid w:val="00672EC3"/>
    <w:rsid w:val="00672FAD"/>
    <w:rsid w:val="00673054"/>
    <w:rsid w:val="006731CA"/>
    <w:rsid w:val="00673342"/>
    <w:rsid w:val="0067334B"/>
    <w:rsid w:val="0067339A"/>
    <w:rsid w:val="0067380F"/>
    <w:rsid w:val="0067390B"/>
    <w:rsid w:val="0067393D"/>
    <w:rsid w:val="00673955"/>
    <w:rsid w:val="006739E5"/>
    <w:rsid w:val="00673CE0"/>
    <w:rsid w:val="00673D99"/>
    <w:rsid w:val="00673DB7"/>
    <w:rsid w:val="00673E75"/>
    <w:rsid w:val="00673E90"/>
    <w:rsid w:val="00673F27"/>
    <w:rsid w:val="00673FB4"/>
    <w:rsid w:val="0067407E"/>
    <w:rsid w:val="006740F7"/>
    <w:rsid w:val="00674258"/>
    <w:rsid w:val="0067440B"/>
    <w:rsid w:val="00674417"/>
    <w:rsid w:val="0067444F"/>
    <w:rsid w:val="00674523"/>
    <w:rsid w:val="0067454A"/>
    <w:rsid w:val="00674610"/>
    <w:rsid w:val="0067471A"/>
    <w:rsid w:val="00674A7D"/>
    <w:rsid w:val="00674CF9"/>
    <w:rsid w:val="00674D02"/>
    <w:rsid w:val="00674E18"/>
    <w:rsid w:val="00674E74"/>
    <w:rsid w:val="00674F18"/>
    <w:rsid w:val="006750D4"/>
    <w:rsid w:val="006751BA"/>
    <w:rsid w:val="00675221"/>
    <w:rsid w:val="00675251"/>
    <w:rsid w:val="00675382"/>
    <w:rsid w:val="006754FB"/>
    <w:rsid w:val="00675528"/>
    <w:rsid w:val="00675625"/>
    <w:rsid w:val="00675668"/>
    <w:rsid w:val="00675757"/>
    <w:rsid w:val="006757E6"/>
    <w:rsid w:val="00675839"/>
    <w:rsid w:val="0067583D"/>
    <w:rsid w:val="006759CF"/>
    <w:rsid w:val="00675A4C"/>
    <w:rsid w:val="00675A54"/>
    <w:rsid w:val="00675AA6"/>
    <w:rsid w:val="00675B0F"/>
    <w:rsid w:val="00675B3F"/>
    <w:rsid w:val="00675C1F"/>
    <w:rsid w:val="00675C93"/>
    <w:rsid w:val="00675D35"/>
    <w:rsid w:val="00675D43"/>
    <w:rsid w:val="00675DBD"/>
    <w:rsid w:val="00675E97"/>
    <w:rsid w:val="00675F9B"/>
    <w:rsid w:val="00676000"/>
    <w:rsid w:val="00676193"/>
    <w:rsid w:val="006761AC"/>
    <w:rsid w:val="00676226"/>
    <w:rsid w:val="0067635C"/>
    <w:rsid w:val="00676584"/>
    <w:rsid w:val="006765E7"/>
    <w:rsid w:val="00676663"/>
    <w:rsid w:val="006766EB"/>
    <w:rsid w:val="006767FB"/>
    <w:rsid w:val="0067685B"/>
    <w:rsid w:val="00676879"/>
    <w:rsid w:val="00676926"/>
    <w:rsid w:val="0067697B"/>
    <w:rsid w:val="00676A0C"/>
    <w:rsid w:val="00676A81"/>
    <w:rsid w:val="00676A90"/>
    <w:rsid w:val="00676AD3"/>
    <w:rsid w:val="00676B95"/>
    <w:rsid w:val="00676BCD"/>
    <w:rsid w:val="00676C6F"/>
    <w:rsid w:val="00676CFB"/>
    <w:rsid w:val="00676D8E"/>
    <w:rsid w:val="00676E58"/>
    <w:rsid w:val="00676E61"/>
    <w:rsid w:val="00676EC8"/>
    <w:rsid w:val="00676F09"/>
    <w:rsid w:val="00676F59"/>
    <w:rsid w:val="00676FAF"/>
    <w:rsid w:val="00676FD6"/>
    <w:rsid w:val="006772CA"/>
    <w:rsid w:val="00677599"/>
    <w:rsid w:val="00677629"/>
    <w:rsid w:val="00677658"/>
    <w:rsid w:val="00677720"/>
    <w:rsid w:val="00677839"/>
    <w:rsid w:val="0067788F"/>
    <w:rsid w:val="00677D09"/>
    <w:rsid w:val="00677D7A"/>
    <w:rsid w:val="00677E42"/>
    <w:rsid w:val="006800E7"/>
    <w:rsid w:val="006800E8"/>
    <w:rsid w:val="0068029B"/>
    <w:rsid w:val="006803C8"/>
    <w:rsid w:val="00680433"/>
    <w:rsid w:val="00680517"/>
    <w:rsid w:val="006805A3"/>
    <w:rsid w:val="00680633"/>
    <w:rsid w:val="006807E2"/>
    <w:rsid w:val="006809B4"/>
    <w:rsid w:val="006809BF"/>
    <w:rsid w:val="00680AF5"/>
    <w:rsid w:val="00680B45"/>
    <w:rsid w:val="00680D1D"/>
    <w:rsid w:val="00680F3C"/>
    <w:rsid w:val="00681087"/>
    <w:rsid w:val="006810F4"/>
    <w:rsid w:val="006812C2"/>
    <w:rsid w:val="006812F6"/>
    <w:rsid w:val="0068148F"/>
    <w:rsid w:val="006814D9"/>
    <w:rsid w:val="00681505"/>
    <w:rsid w:val="00681532"/>
    <w:rsid w:val="00681535"/>
    <w:rsid w:val="00681586"/>
    <w:rsid w:val="00681716"/>
    <w:rsid w:val="0068181D"/>
    <w:rsid w:val="00681B9F"/>
    <w:rsid w:val="00681D18"/>
    <w:rsid w:val="00681E03"/>
    <w:rsid w:val="00681EF1"/>
    <w:rsid w:val="00681F99"/>
    <w:rsid w:val="00681FB1"/>
    <w:rsid w:val="00681FF5"/>
    <w:rsid w:val="00682004"/>
    <w:rsid w:val="00682130"/>
    <w:rsid w:val="0068236F"/>
    <w:rsid w:val="006823F7"/>
    <w:rsid w:val="0068249C"/>
    <w:rsid w:val="0068265F"/>
    <w:rsid w:val="006826FA"/>
    <w:rsid w:val="0068289F"/>
    <w:rsid w:val="00682918"/>
    <w:rsid w:val="00682941"/>
    <w:rsid w:val="00682C61"/>
    <w:rsid w:val="00682E40"/>
    <w:rsid w:val="00683076"/>
    <w:rsid w:val="00683284"/>
    <w:rsid w:val="006837A7"/>
    <w:rsid w:val="006837E5"/>
    <w:rsid w:val="00683839"/>
    <w:rsid w:val="006838FA"/>
    <w:rsid w:val="006839CC"/>
    <w:rsid w:val="00683A12"/>
    <w:rsid w:val="00683AC1"/>
    <w:rsid w:val="00683B0E"/>
    <w:rsid w:val="00683B4A"/>
    <w:rsid w:val="00683C39"/>
    <w:rsid w:val="00683CC2"/>
    <w:rsid w:val="00683CD5"/>
    <w:rsid w:val="00683E1B"/>
    <w:rsid w:val="006840BD"/>
    <w:rsid w:val="00684149"/>
    <w:rsid w:val="0068424E"/>
    <w:rsid w:val="0068426C"/>
    <w:rsid w:val="00684399"/>
    <w:rsid w:val="006843E8"/>
    <w:rsid w:val="00684649"/>
    <w:rsid w:val="006846C1"/>
    <w:rsid w:val="006847B2"/>
    <w:rsid w:val="006847B8"/>
    <w:rsid w:val="006848A6"/>
    <w:rsid w:val="006849F8"/>
    <w:rsid w:val="00684CD3"/>
    <w:rsid w:val="00684CE4"/>
    <w:rsid w:val="00684DFA"/>
    <w:rsid w:val="00684E22"/>
    <w:rsid w:val="00684FF7"/>
    <w:rsid w:val="006851FB"/>
    <w:rsid w:val="0068523D"/>
    <w:rsid w:val="00685276"/>
    <w:rsid w:val="0068528E"/>
    <w:rsid w:val="006852E2"/>
    <w:rsid w:val="0068537B"/>
    <w:rsid w:val="0068556C"/>
    <w:rsid w:val="006856AA"/>
    <w:rsid w:val="0068570B"/>
    <w:rsid w:val="006859FD"/>
    <w:rsid w:val="00685A1B"/>
    <w:rsid w:val="00685B23"/>
    <w:rsid w:val="00685BCF"/>
    <w:rsid w:val="00685C76"/>
    <w:rsid w:val="00685CCC"/>
    <w:rsid w:val="00685D3B"/>
    <w:rsid w:val="00685D76"/>
    <w:rsid w:val="00685E5F"/>
    <w:rsid w:val="00685FEC"/>
    <w:rsid w:val="0068636B"/>
    <w:rsid w:val="006863AF"/>
    <w:rsid w:val="0068642B"/>
    <w:rsid w:val="0068649C"/>
    <w:rsid w:val="006865FC"/>
    <w:rsid w:val="00686702"/>
    <w:rsid w:val="006867F9"/>
    <w:rsid w:val="00686821"/>
    <w:rsid w:val="00686887"/>
    <w:rsid w:val="006869D4"/>
    <w:rsid w:val="00686B44"/>
    <w:rsid w:val="00686BF0"/>
    <w:rsid w:val="00686D1D"/>
    <w:rsid w:val="00686D1F"/>
    <w:rsid w:val="00686D3B"/>
    <w:rsid w:val="00686F32"/>
    <w:rsid w:val="0068703A"/>
    <w:rsid w:val="006870E0"/>
    <w:rsid w:val="006871AE"/>
    <w:rsid w:val="006872F7"/>
    <w:rsid w:val="00687319"/>
    <w:rsid w:val="00687653"/>
    <w:rsid w:val="006876D5"/>
    <w:rsid w:val="0068772C"/>
    <w:rsid w:val="006878FB"/>
    <w:rsid w:val="00687957"/>
    <w:rsid w:val="00687AE1"/>
    <w:rsid w:val="00687AFA"/>
    <w:rsid w:val="00687B2E"/>
    <w:rsid w:val="00687E6E"/>
    <w:rsid w:val="00687F8C"/>
    <w:rsid w:val="00687FB2"/>
    <w:rsid w:val="00687FC5"/>
    <w:rsid w:val="00687FF8"/>
    <w:rsid w:val="00690187"/>
    <w:rsid w:val="006901DB"/>
    <w:rsid w:val="0069021B"/>
    <w:rsid w:val="0069035C"/>
    <w:rsid w:val="00690563"/>
    <w:rsid w:val="0069064E"/>
    <w:rsid w:val="0069075C"/>
    <w:rsid w:val="00690813"/>
    <w:rsid w:val="00690A1D"/>
    <w:rsid w:val="00690AD1"/>
    <w:rsid w:val="00690BFC"/>
    <w:rsid w:val="00690C31"/>
    <w:rsid w:val="00690D40"/>
    <w:rsid w:val="00690E09"/>
    <w:rsid w:val="00690E56"/>
    <w:rsid w:val="00690EE7"/>
    <w:rsid w:val="00691099"/>
    <w:rsid w:val="0069136C"/>
    <w:rsid w:val="006913D1"/>
    <w:rsid w:val="00691409"/>
    <w:rsid w:val="00691465"/>
    <w:rsid w:val="006915F4"/>
    <w:rsid w:val="00691833"/>
    <w:rsid w:val="006918B2"/>
    <w:rsid w:val="006918E7"/>
    <w:rsid w:val="00691965"/>
    <w:rsid w:val="00691968"/>
    <w:rsid w:val="00691BE4"/>
    <w:rsid w:val="00691DA1"/>
    <w:rsid w:val="00691EBC"/>
    <w:rsid w:val="00691F5E"/>
    <w:rsid w:val="00691FA5"/>
    <w:rsid w:val="006920D9"/>
    <w:rsid w:val="006920E2"/>
    <w:rsid w:val="0069214D"/>
    <w:rsid w:val="0069222A"/>
    <w:rsid w:val="00692250"/>
    <w:rsid w:val="006922D5"/>
    <w:rsid w:val="0069242E"/>
    <w:rsid w:val="006924DD"/>
    <w:rsid w:val="00692615"/>
    <w:rsid w:val="00692764"/>
    <w:rsid w:val="006928A3"/>
    <w:rsid w:val="00692ACB"/>
    <w:rsid w:val="00692B0E"/>
    <w:rsid w:val="00692C10"/>
    <w:rsid w:val="00692D44"/>
    <w:rsid w:val="00692F7C"/>
    <w:rsid w:val="00693175"/>
    <w:rsid w:val="00693184"/>
    <w:rsid w:val="00693240"/>
    <w:rsid w:val="00693282"/>
    <w:rsid w:val="0069343D"/>
    <w:rsid w:val="00693778"/>
    <w:rsid w:val="00693A6E"/>
    <w:rsid w:val="00693FAE"/>
    <w:rsid w:val="00693FCA"/>
    <w:rsid w:val="0069405A"/>
    <w:rsid w:val="006942C8"/>
    <w:rsid w:val="006943F8"/>
    <w:rsid w:val="0069445B"/>
    <w:rsid w:val="0069448C"/>
    <w:rsid w:val="006944E1"/>
    <w:rsid w:val="0069451B"/>
    <w:rsid w:val="006946C8"/>
    <w:rsid w:val="006949D0"/>
    <w:rsid w:val="00694A21"/>
    <w:rsid w:val="00694B3E"/>
    <w:rsid w:val="00694B66"/>
    <w:rsid w:val="00694CBE"/>
    <w:rsid w:val="00694D55"/>
    <w:rsid w:val="00694F8D"/>
    <w:rsid w:val="00694FCA"/>
    <w:rsid w:val="006950A3"/>
    <w:rsid w:val="0069513E"/>
    <w:rsid w:val="0069517D"/>
    <w:rsid w:val="006952B7"/>
    <w:rsid w:val="00695380"/>
    <w:rsid w:val="006954F4"/>
    <w:rsid w:val="00695561"/>
    <w:rsid w:val="00695610"/>
    <w:rsid w:val="00695731"/>
    <w:rsid w:val="00695814"/>
    <w:rsid w:val="00695A40"/>
    <w:rsid w:val="00695B85"/>
    <w:rsid w:val="00695C4A"/>
    <w:rsid w:val="00695C91"/>
    <w:rsid w:val="00695D68"/>
    <w:rsid w:val="00695FB6"/>
    <w:rsid w:val="006961DD"/>
    <w:rsid w:val="00696572"/>
    <w:rsid w:val="00696584"/>
    <w:rsid w:val="0069664C"/>
    <w:rsid w:val="006966D4"/>
    <w:rsid w:val="00696737"/>
    <w:rsid w:val="00696864"/>
    <w:rsid w:val="0069689D"/>
    <w:rsid w:val="006969FE"/>
    <w:rsid w:val="00696A01"/>
    <w:rsid w:val="00696B09"/>
    <w:rsid w:val="00696B46"/>
    <w:rsid w:val="00696BE8"/>
    <w:rsid w:val="00696CED"/>
    <w:rsid w:val="00696D32"/>
    <w:rsid w:val="00696F55"/>
    <w:rsid w:val="00696FF0"/>
    <w:rsid w:val="00696FFA"/>
    <w:rsid w:val="0069711E"/>
    <w:rsid w:val="00697138"/>
    <w:rsid w:val="00697173"/>
    <w:rsid w:val="006971E2"/>
    <w:rsid w:val="006974A8"/>
    <w:rsid w:val="006974B4"/>
    <w:rsid w:val="0069765E"/>
    <w:rsid w:val="00697687"/>
    <w:rsid w:val="006976FF"/>
    <w:rsid w:val="00697707"/>
    <w:rsid w:val="00697748"/>
    <w:rsid w:val="006977C2"/>
    <w:rsid w:val="00697A0E"/>
    <w:rsid w:val="00697A7E"/>
    <w:rsid w:val="00697A88"/>
    <w:rsid w:val="00697AFC"/>
    <w:rsid w:val="00697B32"/>
    <w:rsid w:val="00697D4C"/>
    <w:rsid w:val="00697E70"/>
    <w:rsid w:val="00697E76"/>
    <w:rsid w:val="00697F9F"/>
    <w:rsid w:val="006A00A0"/>
    <w:rsid w:val="006A0156"/>
    <w:rsid w:val="006A015E"/>
    <w:rsid w:val="006A02FD"/>
    <w:rsid w:val="006A0368"/>
    <w:rsid w:val="006A04B4"/>
    <w:rsid w:val="006A0504"/>
    <w:rsid w:val="006A056C"/>
    <w:rsid w:val="006A0611"/>
    <w:rsid w:val="006A0645"/>
    <w:rsid w:val="006A0713"/>
    <w:rsid w:val="006A07D3"/>
    <w:rsid w:val="006A07EC"/>
    <w:rsid w:val="006A09A5"/>
    <w:rsid w:val="006A0A4E"/>
    <w:rsid w:val="006A0A6B"/>
    <w:rsid w:val="006A0C13"/>
    <w:rsid w:val="006A0D28"/>
    <w:rsid w:val="006A0E1C"/>
    <w:rsid w:val="006A0E45"/>
    <w:rsid w:val="006A0FEF"/>
    <w:rsid w:val="006A106A"/>
    <w:rsid w:val="006A1125"/>
    <w:rsid w:val="006A1197"/>
    <w:rsid w:val="006A1214"/>
    <w:rsid w:val="006A1314"/>
    <w:rsid w:val="006A1604"/>
    <w:rsid w:val="006A16CB"/>
    <w:rsid w:val="006A16D2"/>
    <w:rsid w:val="006A1737"/>
    <w:rsid w:val="006A1A2E"/>
    <w:rsid w:val="006A1A31"/>
    <w:rsid w:val="006A1AF3"/>
    <w:rsid w:val="006A1B3C"/>
    <w:rsid w:val="006A1BDD"/>
    <w:rsid w:val="006A1BFB"/>
    <w:rsid w:val="006A1C88"/>
    <w:rsid w:val="006A1CD7"/>
    <w:rsid w:val="006A1DA7"/>
    <w:rsid w:val="006A1F8C"/>
    <w:rsid w:val="006A20CC"/>
    <w:rsid w:val="006A212B"/>
    <w:rsid w:val="006A2200"/>
    <w:rsid w:val="006A228B"/>
    <w:rsid w:val="006A229B"/>
    <w:rsid w:val="006A22AD"/>
    <w:rsid w:val="006A2314"/>
    <w:rsid w:val="006A2366"/>
    <w:rsid w:val="006A2374"/>
    <w:rsid w:val="006A2397"/>
    <w:rsid w:val="006A23F3"/>
    <w:rsid w:val="006A2483"/>
    <w:rsid w:val="006A288A"/>
    <w:rsid w:val="006A2912"/>
    <w:rsid w:val="006A2942"/>
    <w:rsid w:val="006A2A39"/>
    <w:rsid w:val="006A2B2E"/>
    <w:rsid w:val="006A2BE8"/>
    <w:rsid w:val="006A2E96"/>
    <w:rsid w:val="006A2FAB"/>
    <w:rsid w:val="006A2FE4"/>
    <w:rsid w:val="006A2FF9"/>
    <w:rsid w:val="006A303F"/>
    <w:rsid w:val="006A3375"/>
    <w:rsid w:val="006A342B"/>
    <w:rsid w:val="006A3506"/>
    <w:rsid w:val="006A352C"/>
    <w:rsid w:val="006A3537"/>
    <w:rsid w:val="006A35DD"/>
    <w:rsid w:val="006A36E3"/>
    <w:rsid w:val="006A3830"/>
    <w:rsid w:val="006A386E"/>
    <w:rsid w:val="006A38C9"/>
    <w:rsid w:val="006A3A13"/>
    <w:rsid w:val="006A3A86"/>
    <w:rsid w:val="006A3BE0"/>
    <w:rsid w:val="006A3CC6"/>
    <w:rsid w:val="006A3EB9"/>
    <w:rsid w:val="006A3F61"/>
    <w:rsid w:val="006A4067"/>
    <w:rsid w:val="006A4153"/>
    <w:rsid w:val="006A419B"/>
    <w:rsid w:val="006A41DD"/>
    <w:rsid w:val="006A4226"/>
    <w:rsid w:val="006A426D"/>
    <w:rsid w:val="006A4424"/>
    <w:rsid w:val="006A445A"/>
    <w:rsid w:val="006A44CD"/>
    <w:rsid w:val="006A44D1"/>
    <w:rsid w:val="006A45CB"/>
    <w:rsid w:val="006A45FF"/>
    <w:rsid w:val="006A4646"/>
    <w:rsid w:val="006A4656"/>
    <w:rsid w:val="006A4670"/>
    <w:rsid w:val="006A46A4"/>
    <w:rsid w:val="006A4722"/>
    <w:rsid w:val="006A4741"/>
    <w:rsid w:val="006A478C"/>
    <w:rsid w:val="006A492F"/>
    <w:rsid w:val="006A4AF1"/>
    <w:rsid w:val="006A4B82"/>
    <w:rsid w:val="006A4C06"/>
    <w:rsid w:val="006A4D2B"/>
    <w:rsid w:val="006A4D96"/>
    <w:rsid w:val="006A4E52"/>
    <w:rsid w:val="006A4E95"/>
    <w:rsid w:val="006A4EE3"/>
    <w:rsid w:val="006A52D6"/>
    <w:rsid w:val="006A5398"/>
    <w:rsid w:val="006A542B"/>
    <w:rsid w:val="006A54AF"/>
    <w:rsid w:val="006A54C9"/>
    <w:rsid w:val="006A54EE"/>
    <w:rsid w:val="006A576A"/>
    <w:rsid w:val="006A57BB"/>
    <w:rsid w:val="006A58CF"/>
    <w:rsid w:val="006A58F9"/>
    <w:rsid w:val="006A5B48"/>
    <w:rsid w:val="006A5B9F"/>
    <w:rsid w:val="006A5C15"/>
    <w:rsid w:val="006A5CFF"/>
    <w:rsid w:val="006A5FAD"/>
    <w:rsid w:val="006A5FF7"/>
    <w:rsid w:val="006A601D"/>
    <w:rsid w:val="006A6112"/>
    <w:rsid w:val="006A61AD"/>
    <w:rsid w:val="006A620D"/>
    <w:rsid w:val="006A63BB"/>
    <w:rsid w:val="006A6408"/>
    <w:rsid w:val="006A6473"/>
    <w:rsid w:val="006A64B8"/>
    <w:rsid w:val="006A64ED"/>
    <w:rsid w:val="006A650B"/>
    <w:rsid w:val="006A654C"/>
    <w:rsid w:val="006A659D"/>
    <w:rsid w:val="006A6671"/>
    <w:rsid w:val="006A6795"/>
    <w:rsid w:val="006A679E"/>
    <w:rsid w:val="006A680A"/>
    <w:rsid w:val="006A685F"/>
    <w:rsid w:val="006A6A36"/>
    <w:rsid w:val="006A6B62"/>
    <w:rsid w:val="006A6B71"/>
    <w:rsid w:val="006A6DF3"/>
    <w:rsid w:val="006A6F6E"/>
    <w:rsid w:val="006A6F87"/>
    <w:rsid w:val="006A70DA"/>
    <w:rsid w:val="006A71A9"/>
    <w:rsid w:val="006A71F1"/>
    <w:rsid w:val="006A722E"/>
    <w:rsid w:val="006A7240"/>
    <w:rsid w:val="006A7643"/>
    <w:rsid w:val="006A77A1"/>
    <w:rsid w:val="006A77EB"/>
    <w:rsid w:val="006A77F2"/>
    <w:rsid w:val="006A7851"/>
    <w:rsid w:val="006A78D1"/>
    <w:rsid w:val="006A7C62"/>
    <w:rsid w:val="006A7FDF"/>
    <w:rsid w:val="006B0159"/>
    <w:rsid w:val="006B0289"/>
    <w:rsid w:val="006B0366"/>
    <w:rsid w:val="006B0378"/>
    <w:rsid w:val="006B0526"/>
    <w:rsid w:val="006B060E"/>
    <w:rsid w:val="006B0613"/>
    <w:rsid w:val="006B0735"/>
    <w:rsid w:val="006B088C"/>
    <w:rsid w:val="006B0951"/>
    <w:rsid w:val="006B0C31"/>
    <w:rsid w:val="006B0D94"/>
    <w:rsid w:val="006B0DFF"/>
    <w:rsid w:val="006B0E43"/>
    <w:rsid w:val="006B0E96"/>
    <w:rsid w:val="006B0E98"/>
    <w:rsid w:val="006B0F08"/>
    <w:rsid w:val="006B106D"/>
    <w:rsid w:val="006B1106"/>
    <w:rsid w:val="006B1341"/>
    <w:rsid w:val="006B13AE"/>
    <w:rsid w:val="006B15CE"/>
    <w:rsid w:val="006B1619"/>
    <w:rsid w:val="006B1640"/>
    <w:rsid w:val="006B1840"/>
    <w:rsid w:val="006B18AC"/>
    <w:rsid w:val="006B198D"/>
    <w:rsid w:val="006B1A8B"/>
    <w:rsid w:val="006B1AEA"/>
    <w:rsid w:val="006B1B41"/>
    <w:rsid w:val="006B1B46"/>
    <w:rsid w:val="006B1BCC"/>
    <w:rsid w:val="006B1D30"/>
    <w:rsid w:val="006B1DB0"/>
    <w:rsid w:val="006B1E25"/>
    <w:rsid w:val="006B1E45"/>
    <w:rsid w:val="006B1EC4"/>
    <w:rsid w:val="006B1F1E"/>
    <w:rsid w:val="006B1F3E"/>
    <w:rsid w:val="006B2097"/>
    <w:rsid w:val="006B21A4"/>
    <w:rsid w:val="006B2221"/>
    <w:rsid w:val="006B22FD"/>
    <w:rsid w:val="006B2369"/>
    <w:rsid w:val="006B23A8"/>
    <w:rsid w:val="006B255F"/>
    <w:rsid w:val="006B28DA"/>
    <w:rsid w:val="006B29D9"/>
    <w:rsid w:val="006B2B67"/>
    <w:rsid w:val="006B2B73"/>
    <w:rsid w:val="006B2BD4"/>
    <w:rsid w:val="006B307E"/>
    <w:rsid w:val="006B3192"/>
    <w:rsid w:val="006B3207"/>
    <w:rsid w:val="006B3265"/>
    <w:rsid w:val="006B3362"/>
    <w:rsid w:val="006B3369"/>
    <w:rsid w:val="006B338A"/>
    <w:rsid w:val="006B3566"/>
    <w:rsid w:val="006B36A8"/>
    <w:rsid w:val="006B36C6"/>
    <w:rsid w:val="006B3716"/>
    <w:rsid w:val="006B3727"/>
    <w:rsid w:val="006B3746"/>
    <w:rsid w:val="006B376C"/>
    <w:rsid w:val="006B37DD"/>
    <w:rsid w:val="006B384F"/>
    <w:rsid w:val="006B38D5"/>
    <w:rsid w:val="006B3934"/>
    <w:rsid w:val="006B3962"/>
    <w:rsid w:val="006B3B74"/>
    <w:rsid w:val="006B3C1F"/>
    <w:rsid w:val="006B3D7E"/>
    <w:rsid w:val="006B3D99"/>
    <w:rsid w:val="006B3E5A"/>
    <w:rsid w:val="006B4014"/>
    <w:rsid w:val="006B4155"/>
    <w:rsid w:val="006B4159"/>
    <w:rsid w:val="006B42FF"/>
    <w:rsid w:val="006B4382"/>
    <w:rsid w:val="006B442A"/>
    <w:rsid w:val="006B44E0"/>
    <w:rsid w:val="006B469E"/>
    <w:rsid w:val="006B471C"/>
    <w:rsid w:val="006B4731"/>
    <w:rsid w:val="006B4765"/>
    <w:rsid w:val="006B4957"/>
    <w:rsid w:val="006B4975"/>
    <w:rsid w:val="006B4F10"/>
    <w:rsid w:val="006B4FF7"/>
    <w:rsid w:val="006B5123"/>
    <w:rsid w:val="006B521F"/>
    <w:rsid w:val="006B5380"/>
    <w:rsid w:val="006B5416"/>
    <w:rsid w:val="006B544D"/>
    <w:rsid w:val="006B5495"/>
    <w:rsid w:val="006B5527"/>
    <w:rsid w:val="006B5567"/>
    <w:rsid w:val="006B577A"/>
    <w:rsid w:val="006B5B60"/>
    <w:rsid w:val="006B5C45"/>
    <w:rsid w:val="006B5D08"/>
    <w:rsid w:val="006B5D16"/>
    <w:rsid w:val="006B5D66"/>
    <w:rsid w:val="006B5D8E"/>
    <w:rsid w:val="006B60A8"/>
    <w:rsid w:val="006B60D2"/>
    <w:rsid w:val="006B61B5"/>
    <w:rsid w:val="006B6284"/>
    <w:rsid w:val="006B6326"/>
    <w:rsid w:val="006B64CB"/>
    <w:rsid w:val="006B6882"/>
    <w:rsid w:val="006B68A6"/>
    <w:rsid w:val="006B68B4"/>
    <w:rsid w:val="006B6958"/>
    <w:rsid w:val="006B6A2D"/>
    <w:rsid w:val="006B6A38"/>
    <w:rsid w:val="006B6A52"/>
    <w:rsid w:val="006B6A89"/>
    <w:rsid w:val="006B6CAE"/>
    <w:rsid w:val="006B6D16"/>
    <w:rsid w:val="006B6DD0"/>
    <w:rsid w:val="006B6E57"/>
    <w:rsid w:val="006B6EDD"/>
    <w:rsid w:val="006B6F12"/>
    <w:rsid w:val="006B7095"/>
    <w:rsid w:val="006B733B"/>
    <w:rsid w:val="006B7411"/>
    <w:rsid w:val="006B7430"/>
    <w:rsid w:val="006B75AA"/>
    <w:rsid w:val="006B7631"/>
    <w:rsid w:val="006B7749"/>
    <w:rsid w:val="006B7855"/>
    <w:rsid w:val="006B78AB"/>
    <w:rsid w:val="006B7A08"/>
    <w:rsid w:val="006B7C37"/>
    <w:rsid w:val="006B7C3A"/>
    <w:rsid w:val="006B7C7C"/>
    <w:rsid w:val="006B7CFB"/>
    <w:rsid w:val="006B7F26"/>
    <w:rsid w:val="006B7FC9"/>
    <w:rsid w:val="006B7FE5"/>
    <w:rsid w:val="006C0093"/>
    <w:rsid w:val="006C01C4"/>
    <w:rsid w:val="006C02A4"/>
    <w:rsid w:val="006C043A"/>
    <w:rsid w:val="006C056B"/>
    <w:rsid w:val="006C08ED"/>
    <w:rsid w:val="006C09B1"/>
    <w:rsid w:val="006C0B1F"/>
    <w:rsid w:val="006C0B51"/>
    <w:rsid w:val="006C0B64"/>
    <w:rsid w:val="006C0B66"/>
    <w:rsid w:val="006C0BEB"/>
    <w:rsid w:val="006C0C91"/>
    <w:rsid w:val="006C0DF8"/>
    <w:rsid w:val="006C0FC6"/>
    <w:rsid w:val="006C108A"/>
    <w:rsid w:val="006C1166"/>
    <w:rsid w:val="006C11FE"/>
    <w:rsid w:val="006C1214"/>
    <w:rsid w:val="006C1363"/>
    <w:rsid w:val="006C1438"/>
    <w:rsid w:val="006C14C7"/>
    <w:rsid w:val="006C14F0"/>
    <w:rsid w:val="006C15EE"/>
    <w:rsid w:val="006C1638"/>
    <w:rsid w:val="006C1896"/>
    <w:rsid w:val="006C19B5"/>
    <w:rsid w:val="006C1A0E"/>
    <w:rsid w:val="006C1AE7"/>
    <w:rsid w:val="006C1B43"/>
    <w:rsid w:val="006C1B91"/>
    <w:rsid w:val="006C1C58"/>
    <w:rsid w:val="006C1C67"/>
    <w:rsid w:val="006C1D73"/>
    <w:rsid w:val="006C1E3D"/>
    <w:rsid w:val="006C1EFE"/>
    <w:rsid w:val="006C1F1B"/>
    <w:rsid w:val="006C200C"/>
    <w:rsid w:val="006C2148"/>
    <w:rsid w:val="006C2316"/>
    <w:rsid w:val="006C23C1"/>
    <w:rsid w:val="006C257E"/>
    <w:rsid w:val="006C26E5"/>
    <w:rsid w:val="006C281A"/>
    <w:rsid w:val="006C28FB"/>
    <w:rsid w:val="006C2992"/>
    <w:rsid w:val="006C2ABB"/>
    <w:rsid w:val="006C2AE9"/>
    <w:rsid w:val="006C2AF2"/>
    <w:rsid w:val="006C2B5C"/>
    <w:rsid w:val="006C2BDC"/>
    <w:rsid w:val="006C2C67"/>
    <w:rsid w:val="006C2D84"/>
    <w:rsid w:val="006C31C5"/>
    <w:rsid w:val="006C3386"/>
    <w:rsid w:val="006C33B3"/>
    <w:rsid w:val="006C33C2"/>
    <w:rsid w:val="006C360F"/>
    <w:rsid w:val="006C3795"/>
    <w:rsid w:val="006C37B7"/>
    <w:rsid w:val="006C3932"/>
    <w:rsid w:val="006C3A03"/>
    <w:rsid w:val="006C3B22"/>
    <w:rsid w:val="006C3B74"/>
    <w:rsid w:val="006C3D6B"/>
    <w:rsid w:val="006C3DA7"/>
    <w:rsid w:val="006C3DBD"/>
    <w:rsid w:val="006C3E67"/>
    <w:rsid w:val="006C3EA6"/>
    <w:rsid w:val="006C3EC5"/>
    <w:rsid w:val="006C406F"/>
    <w:rsid w:val="006C410F"/>
    <w:rsid w:val="006C42A2"/>
    <w:rsid w:val="006C4385"/>
    <w:rsid w:val="006C43D7"/>
    <w:rsid w:val="006C44EF"/>
    <w:rsid w:val="006C4799"/>
    <w:rsid w:val="006C481A"/>
    <w:rsid w:val="006C49EA"/>
    <w:rsid w:val="006C4A40"/>
    <w:rsid w:val="006C4A5E"/>
    <w:rsid w:val="006C4AFF"/>
    <w:rsid w:val="006C4C3A"/>
    <w:rsid w:val="006C4C7E"/>
    <w:rsid w:val="006C4D26"/>
    <w:rsid w:val="006C4DBD"/>
    <w:rsid w:val="006C504B"/>
    <w:rsid w:val="006C50B6"/>
    <w:rsid w:val="006C521A"/>
    <w:rsid w:val="006C52C4"/>
    <w:rsid w:val="006C544B"/>
    <w:rsid w:val="006C545B"/>
    <w:rsid w:val="006C5464"/>
    <w:rsid w:val="006C5525"/>
    <w:rsid w:val="006C5556"/>
    <w:rsid w:val="006C588D"/>
    <w:rsid w:val="006C598D"/>
    <w:rsid w:val="006C59FC"/>
    <w:rsid w:val="006C5A72"/>
    <w:rsid w:val="006C5B2C"/>
    <w:rsid w:val="006C5C6D"/>
    <w:rsid w:val="006C5D46"/>
    <w:rsid w:val="006C6305"/>
    <w:rsid w:val="006C63BA"/>
    <w:rsid w:val="006C646C"/>
    <w:rsid w:val="006C64C0"/>
    <w:rsid w:val="006C651B"/>
    <w:rsid w:val="006C6572"/>
    <w:rsid w:val="006C657F"/>
    <w:rsid w:val="006C66CF"/>
    <w:rsid w:val="006C67D5"/>
    <w:rsid w:val="006C6827"/>
    <w:rsid w:val="006C682B"/>
    <w:rsid w:val="006C6934"/>
    <w:rsid w:val="006C698A"/>
    <w:rsid w:val="006C6D25"/>
    <w:rsid w:val="006C6D42"/>
    <w:rsid w:val="006C6F85"/>
    <w:rsid w:val="006C6FAF"/>
    <w:rsid w:val="006C7071"/>
    <w:rsid w:val="006C70A2"/>
    <w:rsid w:val="006C70BE"/>
    <w:rsid w:val="006C70CC"/>
    <w:rsid w:val="006C71C8"/>
    <w:rsid w:val="006C7357"/>
    <w:rsid w:val="006C74E8"/>
    <w:rsid w:val="006C764A"/>
    <w:rsid w:val="006C7679"/>
    <w:rsid w:val="006C7901"/>
    <w:rsid w:val="006C79A8"/>
    <w:rsid w:val="006C7A60"/>
    <w:rsid w:val="006C7D46"/>
    <w:rsid w:val="006C7EE0"/>
    <w:rsid w:val="006C7F76"/>
    <w:rsid w:val="006C7FA4"/>
    <w:rsid w:val="006D01B1"/>
    <w:rsid w:val="006D037D"/>
    <w:rsid w:val="006D03A4"/>
    <w:rsid w:val="006D048B"/>
    <w:rsid w:val="006D06AF"/>
    <w:rsid w:val="006D06D8"/>
    <w:rsid w:val="006D0882"/>
    <w:rsid w:val="006D0A80"/>
    <w:rsid w:val="006D0BC8"/>
    <w:rsid w:val="006D0CCE"/>
    <w:rsid w:val="006D0CED"/>
    <w:rsid w:val="006D0F42"/>
    <w:rsid w:val="006D10BB"/>
    <w:rsid w:val="006D10DC"/>
    <w:rsid w:val="006D1178"/>
    <w:rsid w:val="006D1232"/>
    <w:rsid w:val="006D140A"/>
    <w:rsid w:val="006D14D6"/>
    <w:rsid w:val="006D1569"/>
    <w:rsid w:val="006D185E"/>
    <w:rsid w:val="006D1870"/>
    <w:rsid w:val="006D1932"/>
    <w:rsid w:val="006D1AC5"/>
    <w:rsid w:val="006D1B08"/>
    <w:rsid w:val="006D1C24"/>
    <w:rsid w:val="006D1C25"/>
    <w:rsid w:val="006D1C86"/>
    <w:rsid w:val="006D20E8"/>
    <w:rsid w:val="006D240A"/>
    <w:rsid w:val="006D2573"/>
    <w:rsid w:val="006D25C5"/>
    <w:rsid w:val="006D27F1"/>
    <w:rsid w:val="006D2882"/>
    <w:rsid w:val="006D29EA"/>
    <w:rsid w:val="006D2A52"/>
    <w:rsid w:val="006D2B4C"/>
    <w:rsid w:val="006D2B5C"/>
    <w:rsid w:val="006D2BE5"/>
    <w:rsid w:val="006D2D67"/>
    <w:rsid w:val="006D2D7C"/>
    <w:rsid w:val="006D2D8C"/>
    <w:rsid w:val="006D307C"/>
    <w:rsid w:val="006D313B"/>
    <w:rsid w:val="006D319A"/>
    <w:rsid w:val="006D3221"/>
    <w:rsid w:val="006D32D9"/>
    <w:rsid w:val="006D3486"/>
    <w:rsid w:val="006D34C9"/>
    <w:rsid w:val="006D35FA"/>
    <w:rsid w:val="006D3691"/>
    <w:rsid w:val="006D36D4"/>
    <w:rsid w:val="006D3716"/>
    <w:rsid w:val="006D3756"/>
    <w:rsid w:val="006D3972"/>
    <w:rsid w:val="006D3C4F"/>
    <w:rsid w:val="006D3D87"/>
    <w:rsid w:val="006D3DA9"/>
    <w:rsid w:val="006D3DB5"/>
    <w:rsid w:val="006D3E06"/>
    <w:rsid w:val="006D3F5B"/>
    <w:rsid w:val="006D3FCF"/>
    <w:rsid w:val="006D3FF1"/>
    <w:rsid w:val="006D3FF9"/>
    <w:rsid w:val="006D43C7"/>
    <w:rsid w:val="006D4410"/>
    <w:rsid w:val="006D44CA"/>
    <w:rsid w:val="006D4585"/>
    <w:rsid w:val="006D45EA"/>
    <w:rsid w:val="006D4658"/>
    <w:rsid w:val="006D48A7"/>
    <w:rsid w:val="006D4B90"/>
    <w:rsid w:val="006D4BF6"/>
    <w:rsid w:val="006D4C40"/>
    <w:rsid w:val="006D4D0E"/>
    <w:rsid w:val="006D4DB6"/>
    <w:rsid w:val="006D4DD0"/>
    <w:rsid w:val="006D4E79"/>
    <w:rsid w:val="006D4EB3"/>
    <w:rsid w:val="006D500E"/>
    <w:rsid w:val="006D505E"/>
    <w:rsid w:val="006D50B7"/>
    <w:rsid w:val="006D519E"/>
    <w:rsid w:val="006D5602"/>
    <w:rsid w:val="006D57DC"/>
    <w:rsid w:val="006D585C"/>
    <w:rsid w:val="006D5885"/>
    <w:rsid w:val="006D588B"/>
    <w:rsid w:val="006D58CA"/>
    <w:rsid w:val="006D593F"/>
    <w:rsid w:val="006D59E6"/>
    <w:rsid w:val="006D59FC"/>
    <w:rsid w:val="006D5A71"/>
    <w:rsid w:val="006D5A7F"/>
    <w:rsid w:val="006D5AFF"/>
    <w:rsid w:val="006D5BBE"/>
    <w:rsid w:val="006D5E7C"/>
    <w:rsid w:val="006D5E8A"/>
    <w:rsid w:val="006D5F08"/>
    <w:rsid w:val="006D6079"/>
    <w:rsid w:val="006D60B9"/>
    <w:rsid w:val="006D6126"/>
    <w:rsid w:val="006D6166"/>
    <w:rsid w:val="006D61A3"/>
    <w:rsid w:val="006D61D3"/>
    <w:rsid w:val="006D627B"/>
    <w:rsid w:val="006D6300"/>
    <w:rsid w:val="006D6336"/>
    <w:rsid w:val="006D6340"/>
    <w:rsid w:val="006D658A"/>
    <w:rsid w:val="006D6704"/>
    <w:rsid w:val="006D6743"/>
    <w:rsid w:val="006D6C0D"/>
    <w:rsid w:val="006D6C61"/>
    <w:rsid w:val="006D6CB4"/>
    <w:rsid w:val="006D6DE8"/>
    <w:rsid w:val="006D6F44"/>
    <w:rsid w:val="006D6FB7"/>
    <w:rsid w:val="006D7341"/>
    <w:rsid w:val="006D73E6"/>
    <w:rsid w:val="006D7469"/>
    <w:rsid w:val="006D74D7"/>
    <w:rsid w:val="006D757D"/>
    <w:rsid w:val="006D7606"/>
    <w:rsid w:val="006D77E4"/>
    <w:rsid w:val="006D787A"/>
    <w:rsid w:val="006D78C5"/>
    <w:rsid w:val="006D78E6"/>
    <w:rsid w:val="006D79A7"/>
    <w:rsid w:val="006D7A46"/>
    <w:rsid w:val="006D7A4F"/>
    <w:rsid w:val="006D7AAD"/>
    <w:rsid w:val="006D7EFE"/>
    <w:rsid w:val="006D7F36"/>
    <w:rsid w:val="006D7FDC"/>
    <w:rsid w:val="006D7FE9"/>
    <w:rsid w:val="006D7FF2"/>
    <w:rsid w:val="006E0039"/>
    <w:rsid w:val="006E0052"/>
    <w:rsid w:val="006E00D5"/>
    <w:rsid w:val="006E00F1"/>
    <w:rsid w:val="006E0185"/>
    <w:rsid w:val="006E021B"/>
    <w:rsid w:val="006E0244"/>
    <w:rsid w:val="006E04A5"/>
    <w:rsid w:val="006E04C1"/>
    <w:rsid w:val="006E0514"/>
    <w:rsid w:val="006E0561"/>
    <w:rsid w:val="006E05D9"/>
    <w:rsid w:val="006E0678"/>
    <w:rsid w:val="006E06B3"/>
    <w:rsid w:val="006E0892"/>
    <w:rsid w:val="006E08AA"/>
    <w:rsid w:val="006E090E"/>
    <w:rsid w:val="006E093C"/>
    <w:rsid w:val="006E0A44"/>
    <w:rsid w:val="006E0B09"/>
    <w:rsid w:val="006E0B47"/>
    <w:rsid w:val="006E0BEE"/>
    <w:rsid w:val="006E0D04"/>
    <w:rsid w:val="006E0D49"/>
    <w:rsid w:val="006E106E"/>
    <w:rsid w:val="006E110A"/>
    <w:rsid w:val="006E1164"/>
    <w:rsid w:val="006E1367"/>
    <w:rsid w:val="006E13EE"/>
    <w:rsid w:val="006E1448"/>
    <w:rsid w:val="006E14F4"/>
    <w:rsid w:val="006E156F"/>
    <w:rsid w:val="006E1655"/>
    <w:rsid w:val="006E16D4"/>
    <w:rsid w:val="006E16F6"/>
    <w:rsid w:val="006E1821"/>
    <w:rsid w:val="006E184D"/>
    <w:rsid w:val="006E1911"/>
    <w:rsid w:val="006E197C"/>
    <w:rsid w:val="006E199A"/>
    <w:rsid w:val="006E1B5C"/>
    <w:rsid w:val="006E1B65"/>
    <w:rsid w:val="006E1EE4"/>
    <w:rsid w:val="006E1EED"/>
    <w:rsid w:val="006E1FE2"/>
    <w:rsid w:val="006E1FF9"/>
    <w:rsid w:val="006E23CD"/>
    <w:rsid w:val="006E25B1"/>
    <w:rsid w:val="006E2603"/>
    <w:rsid w:val="006E266F"/>
    <w:rsid w:val="006E269B"/>
    <w:rsid w:val="006E271B"/>
    <w:rsid w:val="006E28E6"/>
    <w:rsid w:val="006E295F"/>
    <w:rsid w:val="006E2A17"/>
    <w:rsid w:val="006E2AE7"/>
    <w:rsid w:val="006E2BCB"/>
    <w:rsid w:val="006E2D3E"/>
    <w:rsid w:val="006E2D6E"/>
    <w:rsid w:val="006E2D7E"/>
    <w:rsid w:val="006E2DDB"/>
    <w:rsid w:val="006E2E51"/>
    <w:rsid w:val="006E2EB8"/>
    <w:rsid w:val="006E30E9"/>
    <w:rsid w:val="006E30F9"/>
    <w:rsid w:val="006E320D"/>
    <w:rsid w:val="006E3293"/>
    <w:rsid w:val="006E333D"/>
    <w:rsid w:val="006E33F7"/>
    <w:rsid w:val="006E348D"/>
    <w:rsid w:val="006E34B5"/>
    <w:rsid w:val="006E365B"/>
    <w:rsid w:val="006E36A0"/>
    <w:rsid w:val="006E3771"/>
    <w:rsid w:val="006E39D0"/>
    <w:rsid w:val="006E39FA"/>
    <w:rsid w:val="006E39FC"/>
    <w:rsid w:val="006E3AAF"/>
    <w:rsid w:val="006E3B58"/>
    <w:rsid w:val="006E3B5D"/>
    <w:rsid w:val="006E3CD2"/>
    <w:rsid w:val="006E3CF6"/>
    <w:rsid w:val="006E3D8B"/>
    <w:rsid w:val="006E3E3B"/>
    <w:rsid w:val="006E3FF4"/>
    <w:rsid w:val="006E414B"/>
    <w:rsid w:val="006E4227"/>
    <w:rsid w:val="006E4236"/>
    <w:rsid w:val="006E44ED"/>
    <w:rsid w:val="006E4554"/>
    <w:rsid w:val="006E45C0"/>
    <w:rsid w:val="006E4619"/>
    <w:rsid w:val="006E4625"/>
    <w:rsid w:val="006E472B"/>
    <w:rsid w:val="006E48EE"/>
    <w:rsid w:val="006E494B"/>
    <w:rsid w:val="006E4950"/>
    <w:rsid w:val="006E49DE"/>
    <w:rsid w:val="006E49E8"/>
    <w:rsid w:val="006E4C84"/>
    <w:rsid w:val="006E4ED7"/>
    <w:rsid w:val="006E507D"/>
    <w:rsid w:val="006E50B2"/>
    <w:rsid w:val="006E524F"/>
    <w:rsid w:val="006E53C2"/>
    <w:rsid w:val="006E542A"/>
    <w:rsid w:val="006E5493"/>
    <w:rsid w:val="006E5619"/>
    <w:rsid w:val="006E5687"/>
    <w:rsid w:val="006E56A7"/>
    <w:rsid w:val="006E57A3"/>
    <w:rsid w:val="006E57B0"/>
    <w:rsid w:val="006E5802"/>
    <w:rsid w:val="006E5811"/>
    <w:rsid w:val="006E59B7"/>
    <w:rsid w:val="006E5B30"/>
    <w:rsid w:val="006E5BE8"/>
    <w:rsid w:val="006E5BED"/>
    <w:rsid w:val="006E5F0F"/>
    <w:rsid w:val="006E5F1F"/>
    <w:rsid w:val="006E5FF3"/>
    <w:rsid w:val="006E60F8"/>
    <w:rsid w:val="006E6119"/>
    <w:rsid w:val="006E645C"/>
    <w:rsid w:val="006E6525"/>
    <w:rsid w:val="006E6555"/>
    <w:rsid w:val="006E6593"/>
    <w:rsid w:val="006E6621"/>
    <w:rsid w:val="006E668C"/>
    <w:rsid w:val="006E66D7"/>
    <w:rsid w:val="006E66F5"/>
    <w:rsid w:val="006E6784"/>
    <w:rsid w:val="006E683F"/>
    <w:rsid w:val="006E6A24"/>
    <w:rsid w:val="006E6AC8"/>
    <w:rsid w:val="006E6B83"/>
    <w:rsid w:val="006E6D34"/>
    <w:rsid w:val="006E6ECE"/>
    <w:rsid w:val="006E6F9E"/>
    <w:rsid w:val="006E6FCF"/>
    <w:rsid w:val="006E7044"/>
    <w:rsid w:val="006E7046"/>
    <w:rsid w:val="006E714B"/>
    <w:rsid w:val="006E71A1"/>
    <w:rsid w:val="006E71F7"/>
    <w:rsid w:val="006E7226"/>
    <w:rsid w:val="006E727F"/>
    <w:rsid w:val="006E72CB"/>
    <w:rsid w:val="006E73D7"/>
    <w:rsid w:val="006E759D"/>
    <w:rsid w:val="006E786E"/>
    <w:rsid w:val="006E79A6"/>
    <w:rsid w:val="006E7A2B"/>
    <w:rsid w:val="006E7BA7"/>
    <w:rsid w:val="006E7C99"/>
    <w:rsid w:val="006E7D79"/>
    <w:rsid w:val="006E7DF0"/>
    <w:rsid w:val="006E7DF3"/>
    <w:rsid w:val="006F0002"/>
    <w:rsid w:val="006F00E9"/>
    <w:rsid w:val="006F010F"/>
    <w:rsid w:val="006F0288"/>
    <w:rsid w:val="006F0299"/>
    <w:rsid w:val="006F032E"/>
    <w:rsid w:val="006F0366"/>
    <w:rsid w:val="006F042D"/>
    <w:rsid w:val="006F04A9"/>
    <w:rsid w:val="006F0713"/>
    <w:rsid w:val="006F0757"/>
    <w:rsid w:val="006F0770"/>
    <w:rsid w:val="006F0925"/>
    <w:rsid w:val="006F098A"/>
    <w:rsid w:val="006F09BF"/>
    <w:rsid w:val="006F0B90"/>
    <w:rsid w:val="006F0BAA"/>
    <w:rsid w:val="006F11A7"/>
    <w:rsid w:val="006F1275"/>
    <w:rsid w:val="006F12C7"/>
    <w:rsid w:val="006F13A3"/>
    <w:rsid w:val="006F13EF"/>
    <w:rsid w:val="006F154E"/>
    <w:rsid w:val="006F1551"/>
    <w:rsid w:val="006F182E"/>
    <w:rsid w:val="006F1A87"/>
    <w:rsid w:val="006F1AA6"/>
    <w:rsid w:val="006F1AC8"/>
    <w:rsid w:val="006F1C53"/>
    <w:rsid w:val="006F1D46"/>
    <w:rsid w:val="006F1D6D"/>
    <w:rsid w:val="006F1E0E"/>
    <w:rsid w:val="006F1E21"/>
    <w:rsid w:val="006F20F8"/>
    <w:rsid w:val="006F2187"/>
    <w:rsid w:val="006F22CC"/>
    <w:rsid w:val="006F2386"/>
    <w:rsid w:val="006F2402"/>
    <w:rsid w:val="006F24AA"/>
    <w:rsid w:val="006F24C4"/>
    <w:rsid w:val="006F24E5"/>
    <w:rsid w:val="006F258F"/>
    <w:rsid w:val="006F25CC"/>
    <w:rsid w:val="006F26C2"/>
    <w:rsid w:val="006F284A"/>
    <w:rsid w:val="006F285D"/>
    <w:rsid w:val="006F29A3"/>
    <w:rsid w:val="006F2A27"/>
    <w:rsid w:val="006F2AFC"/>
    <w:rsid w:val="006F2E6E"/>
    <w:rsid w:val="006F2FE0"/>
    <w:rsid w:val="006F3033"/>
    <w:rsid w:val="006F3255"/>
    <w:rsid w:val="006F332E"/>
    <w:rsid w:val="006F3387"/>
    <w:rsid w:val="006F359A"/>
    <w:rsid w:val="006F3944"/>
    <w:rsid w:val="006F39CC"/>
    <w:rsid w:val="006F39D2"/>
    <w:rsid w:val="006F3ADD"/>
    <w:rsid w:val="006F3D08"/>
    <w:rsid w:val="006F3DD9"/>
    <w:rsid w:val="006F420C"/>
    <w:rsid w:val="006F4405"/>
    <w:rsid w:val="006F4433"/>
    <w:rsid w:val="006F44A5"/>
    <w:rsid w:val="006F44BF"/>
    <w:rsid w:val="006F4521"/>
    <w:rsid w:val="006F4526"/>
    <w:rsid w:val="006F453D"/>
    <w:rsid w:val="006F46B9"/>
    <w:rsid w:val="006F47C0"/>
    <w:rsid w:val="006F494C"/>
    <w:rsid w:val="006F4984"/>
    <w:rsid w:val="006F4A32"/>
    <w:rsid w:val="006F4A81"/>
    <w:rsid w:val="006F4B0C"/>
    <w:rsid w:val="006F4C8F"/>
    <w:rsid w:val="006F4E5D"/>
    <w:rsid w:val="006F4E81"/>
    <w:rsid w:val="006F526E"/>
    <w:rsid w:val="006F527B"/>
    <w:rsid w:val="006F5352"/>
    <w:rsid w:val="006F5468"/>
    <w:rsid w:val="006F5499"/>
    <w:rsid w:val="006F54AF"/>
    <w:rsid w:val="006F54DE"/>
    <w:rsid w:val="006F54FF"/>
    <w:rsid w:val="006F5521"/>
    <w:rsid w:val="006F5638"/>
    <w:rsid w:val="006F57AD"/>
    <w:rsid w:val="006F57FC"/>
    <w:rsid w:val="006F583A"/>
    <w:rsid w:val="006F590F"/>
    <w:rsid w:val="006F598F"/>
    <w:rsid w:val="006F5C3D"/>
    <w:rsid w:val="006F5C6B"/>
    <w:rsid w:val="006F5C86"/>
    <w:rsid w:val="006F5C94"/>
    <w:rsid w:val="006F5E3C"/>
    <w:rsid w:val="006F5FBB"/>
    <w:rsid w:val="006F5FDD"/>
    <w:rsid w:val="006F60A0"/>
    <w:rsid w:val="006F614D"/>
    <w:rsid w:val="006F6232"/>
    <w:rsid w:val="006F631B"/>
    <w:rsid w:val="006F63AF"/>
    <w:rsid w:val="006F63B8"/>
    <w:rsid w:val="006F650A"/>
    <w:rsid w:val="006F65F1"/>
    <w:rsid w:val="006F677A"/>
    <w:rsid w:val="006F68C6"/>
    <w:rsid w:val="006F695E"/>
    <w:rsid w:val="006F699C"/>
    <w:rsid w:val="006F6A3A"/>
    <w:rsid w:val="006F6A41"/>
    <w:rsid w:val="006F6A5D"/>
    <w:rsid w:val="006F6ADB"/>
    <w:rsid w:val="006F6BD5"/>
    <w:rsid w:val="006F6BE8"/>
    <w:rsid w:val="006F6C6A"/>
    <w:rsid w:val="006F6F07"/>
    <w:rsid w:val="006F6F23"/>
    <w:rsid w:val="006F6FDA"/>
    <w:rsid w:val="006F705D"/>
    <w:rsid w:val="006F7271"/>
    <w:rsid w:val="006F73A3"/>
    <w:rsid w:val="006F74BC"/>
    <w:rsid w:val="006F773E"/>
    <w:rsid w:val="006F7766"/>
    <w:rsid w:val="006F7894"/>
    <w:rsid w:val="006F7919"/>
    <w:rsid w:val="006F7A8F"/>
    <w:rsid w:val="006F7AC3"/>
    <w:rsid w:val="006F7B13"/>
    <w:rsid w:val="006F7BB2"/>
    <w:rsid w:val="006F7D7F"/>
    <w:rsid w:val="006F7E92"/>
    <w:rsid w:val="006F7EFC"/>
    <w:rsid w:val="006F7F5D"/>
    <w:rsid w:val="00700167"/>
    <w:rsid w:val="007002DB"/>
    <w:rsid w:val="00700309"/>
    <w:rsid w:val="00700350"/>
    <w:rsid w:val="0070037B"/>
    <w:rsid w:val="00700445"/>
    <w:rsid w:val="00700457"/>
    <w:rsid w:val="00700464"/>
    <w:rsid w:val="007004C6"/>
    <w:rsid w:val="00700846"/>
    <w:rsid w:val="00700B59"/>
    <w:rsid w:val="00700BF3"/>
    <w:rsid w:val="00700C04"/>
    <w:rsid w:val="00700C05"/>
    <w:rsid w:val="00700C65"/>
    <w:rsid w:val="00700CF8"/>
    <w:rsid w:val="00700D08"/>
    <w:rsid w:val="00700E4E"/>
    <w:rsid w:val="00700EE2"/>
    <w:rsid w:val="00700F19"/>
    <w:rsid w:val="00701080"/>
    <w:rsid w:val="00701129"/>
    <w:rsid w:val="0070124E"/>
    <w:rsid w:val="00701273"/>
    <w:rsid w:val="007013D1"/>
    <w:rsid w:val="00701403"/>
    <w:rsid w:val="007014F2"/>
    <w:rsid w:val="0070158D"/>
    <w:rsid w:val="00701591"/>
    <w:rsid w:val="00701674"/>
    <w:rsid w:val="007016CF"/>
    <w:rsid w:val="00701795"/>
    <w:rsid w:val="0070186B"/>
    <w:rsid w:val="007019C4"/>
    <w:rsid w:val="00701B35"/>
    <w:rsid w:val="00701BFD"/>
    <w:rsid w:val="00701E06"/>
    <w:rsid w:val="00701E12"/>
    <w:rsid w:val="00701E3B"/>
    <w:rsid w:val="00701E8A"/>
    <w:rsid w:val="00701F8B"/>
    <w:rsid w:val="00702071"/>
    <w:rsid w:val="00702081"/>
    <w:rsid w:val="00702136"/>
    <w:rsid w:val="007021BD"/>
    <w:rsid w:val="0070226A"/>
    <w:rsid w:val="007022D3"/>
    <w:rsid w:val="0070254D"/>
    <w:rsid w:val="007026A8"/>
    <w:rsid w:val="007029C2"/>
    <w:rsid w:val="00702A58"/>
    <w:rsid w:val="00702AF0"/>
    <w:rsid w:val="00702CC3"/>
    <w:rsid w:val="00702D1E"/>
    <w:rsid w:val="00702DAC"/>
    <w:rsid w:val="00702E6B"/>
    <w:rsid w:val="00702F18"/>
    <w:rsid w:val="00702FFD"/>
    <w:rsid w:val="00703032"/>
    <w:rsid w:val="007031CE"/>
    <w:rsid w:val="0070320A"/>
    <w:rsid w:val="0070320D"/>
    <w:rsid w:val="0070340A"/>
    <w:rsid w:val="00703410"/>
    <w:rsid w:val="007034BA"/>
    <w:rsid w:val="00703504"/>
    <w:rsid w:val="00703533"/>
    <w:rsid w:val="007035DE"/>
    <w:rsid w:val="00703613"/>
    <w:rsid w:val="00703670"/>
    <w:rsid w:val="00703674"/>
    <w:rsid w:val="007036F1"/>
    <w:rsid w:val="007037DE"/>
    <w:rsid w:val="00703926"/>
    <w:rsid w:val="00703A0A"/>
    <w:rsid w:val="00703B29"/>
    <w:rsid w:val="00703B2E"/>
    <w:rsid w:val="00703BF9"/>
    <w:rsid w:val="00703C59"/>
    <w:rsid w:val="00703CCD"/>
    <w:rsid w:val="00703E1D"/>
    <w:rsid w:val="00703EC4"/>
    <w:rsid w:val="00703EE4"/>
    <w:rsid w:val="00704107"/>
    <w:rsid w:val="007041BF"/>
    <w:rsid w:val="007041C1"/>
    <w:rsid w:val="0070420C"/>
    <w:rsid w:val="007043EC"/>
    <w:rsid w:val="0070453B"/>
    <w:rsid w:val="0070485B"/>
    <w:rsid w:val="00704B09"/>
    <w:rsid w:val="00704B28"/>
    <w:rsid w:val="00704BF7"/>
    <w:rsid w:val="00704C6E"/>
    <w:rsid w:val="00704C75"/>
    <w:rsid w:val="00704DE6"/>
    <w:rsid w:val="00704E03"/>
    <w:rsid w:val="00704E26"/>
    <w:rsid w:val="00704E5B"/>
    <w:rsid w:val="00704E8F"/>
    <w:rsid w:val="00704EAA"/>
    <w:rsid w:val="00704F0D"/>
    <w:rsid w:val="00704F2A"/>
    <w:rsid w:val="00704FD0"/>
    <w:rsid w:val="00704FE1"/>
    <w:rsid w:val="00705025"/>
    <w:rsid w:val="0070511C"/>
    <w:rsid w:val="0070515B"/>
    <w:rsid w:val="00705174"/>
    <w:rsid w:val="00705314"/>
    <w:rsid w:val="007053E4"/>
    <w:rsid w:val="00705544"/>
    <w:rsid w:val="007056A8"/>
    <w:rsid w:val="00705767"/>
    <w:rsid w:val="007057C7"/>
    <w:rsid w:val="00705813"/>
    <w:rsid w:val="00705A0C"/>
    <w:rsid w:val="00705A23"/>
    <w:rsid w:val="00705A27"/>
    <w:rsid w:val="00705A3C"/>
    <w:rsid w:val="00705A95"/>
    <w:rsid w:val="00705B4D"/>
    <w:rsid w:val="00705C85"/>
    <w:rsid w:val="00705D4E"/>
    <w:rsid w:val="00705E8D"/>
    <w:rsid w:val="00705EC9"/>
    <w:rsid w:val="00705F83"/>
    <w:rsid w:val="00706019"/>
    <w:rsid w:val="00706127"/>
    <w:rsid w:val="0070618E"/>
    <w:rsid w:val="00706216"/>
    <w:rsid w:val="007063A2"/>
    <w:rsid w:val="007064BB"/>
    <w:rsid w:val="007064DA"/>
    <w:rsid w:val="007065C4"/>
    <w:rsid w:val="007065CB"/>
    <w:rsid w:val="007065D3"/>
    <w:rsid w:val="0070664C"/>
    <w:rsid w:val="007066A9"/>
    <w:rsid w:val="007066BB"/>
    <w:rsid w:val="007066FF"/>
    <w:rsid w:val="007067CA"/>
    <w:rsid w:val="0070685B"/>
    <w:rsid w:val="0070691F"/>
    <w:rsid w:val="00706A5C"/>
    <w:rsid w:val="00706A71"/>
    <w:rsid w:val="00706A73"/>
    <w:rsid w:val="00706ACA"/>
    <w:rsid w:val="00706B24"/>
    <w:rsid w:val="00706B4E"/>
    <w:rsid w:val="00706C21"/>
    <w:rsid w:val="00706C9E"/>
    <w:rsid w:val="00706CC9"/>
    <w:rsid w:val="00706D65"/>
    <w:rsid w:val="00707041"/>
    <w:rsid w:val="007071CA"/>
    <w:rsid w:val="00707239"/>
    <w:rsid w:val="00707280"/>
    <w:rsid w:val="00707286"/>
    <w:rsid w:val="00707292"/>
    <w:rsid w:val="00707425"/>
    <w:rsid w:val="007074DC"/>
    <w:rsid w:val="007074E8"/>
    <w:rsid w:val="00707553"/>
    <w:rsid w:val="00707595"/>
    <w:rsid w:val="00707815"/>
    <w:rsid w:val="00707879"/>
    <w:rsid w:val="007078D3"/>
    <w:rsid w:val="0070794A"/>
    <w:rsid w:val="00707969"/>
    <w:rsid w:val="00707991"/>
    <w:rsid w:val="00707B7A"/>
    <w:rsid w:val="00707BAD"/>
    <w:rsid w:val="00707BEC"/>
    <w:rsid w:val="00707E1E"/>
    <w:rsid w:val="00707FE7"/>
    <w:rsid w:val="0071000C"/>
    <w:rsid w:val="00710010"/>
    <w:rsid w:val="00710114"/>
    <w:rsid w:val="0071018C"/>
    <w:rsid w:val="00710250"/>
    <w:rsid w:val="00710302"/>
    <w:rsid w:val="0071042E"/>
    <w:rsid w:val="0071057F"/>
    <w:rsid w:val="0071058A"/>
    <w:rsid w:val="00710653"/>
    <w:rsid w:val="0071077C"/>
    <w:rsid w:val="00710949"/>
    <w:rsid w:val="00710B5E"/>
    <w:rsid w:val="00710C04"/>
    <w:rsid w:val="00710DD2"/>
    <w:rsid w:val="00710DF6"/>
    <w:rsid w:val="00710E14"/>
    <w:rsid w:val="0071107C"/>
    <w:rsid w:val="00711103"/>
    <w:rsid w:val="0071118A"/>
    <w:rsid w:val="00711264"/>
    <w:rsid w:val="00711290"/>
    <w:rsid w:val="0071129E"/>
    <w:rsid w:val="0071148F"/>
    <w:rsid w:val="00711539"/>
    <w:rsid w:val="007116D0"/>
    <w:rsid w:val="00711703"/>
    <w:rsid w:val="0071184E"/>
    <w:rsid w:val="007118FF"/>
    <w:rsid w:val="00711908"/>
    <w:rsid w:val="00711934"/>
    <w:rsid w:val="0071196D"/>
    <w:rsid w:val="00711CB7"/>
    <w:rsid w:val="00711D6F"/>
    <w:rsid w:val="00711D79"/>
    <w:rsid w:val="00711F26"/>
    <w:rsid w:val="0071207C"/>
    <w:rsid w:val="007121A8"/>
    <w:rsid w:val="00712204"/>
    <w:rsid w:val="007122DA"/>
    <w:rsid w:val="0071233F"/>
    <w:rsid w:val="00712478"/>
    <w:rsid w:val="007124EE"/>
    <w:rsid w:val="007124F4"/>
    <w:rsid w:val="00712535"/>
    <w:rsid w:val="00712602"/>
    <w:rsid w:val="00712708"/>
    <w:rsid w:val="007127A6"/>
    <w:rsid w:val="007127B3"/>
    <w:rsid w:val="007128BC"/>
    <w:rsid w:val="007128BD"/>
    <w:rsid w:val="00712923"/>
    <w:rsid w:val="00712A78"/>
    <w:rsid w:val="00712A9E"/>
    <w:rsid w:val="00712AC3"/>
    <w:rsid w:val="00712AD3"/>
    <w:rsid w:val="00712AFA"/>
    <w:rsid w:val="00712B76"/>
    <w:rsid w:val="00712B93"/>
    <w:rsid w:val="00712BCE"/>
    <w:rsid w:val="00712C5D"/>
    <w:rsid w:val="00712C66"/>
    <w:rsid w:val="00712C8C"/>
    <w:rsid w:val="00712CA5"/>
    <w:rsid w:val="00712DCD"/>
    <w:rsid w:val="00712E78"/>
    <w:rsid w:val="00712ED0"/>
    <w:rsid w:val="00712FD2"/>
    <w:rsid w:val="00712FEA"/>
    <w:rsid w:val="0071312A"/>
    <w:rsid w:val="0071317E"/>
    <w:rsid w:val="0071321D"/>
    <w:rsid w:val="00713332"/>
    <w:rsid w:val="007135F0"/>
    <w:rsid w:val="0071367D"/>
    <w:rsid w:val="007136F6"/>
    <w:rsid w:val="00713745"/>
    <w:rsid w:val="007137FE"/>
    <w:rsid w:val="0071386A"/>
    <w:rsid w:val="00713898"/>
    <w:rsid w:val="00713925"/>
    <w:rsid w:val="00713945"/>
    <w:rsid w:val="00713AA9"/>
    <w:rsid w:val="00713B34"/>
    <w:rsid w:val="00713D49"/>
    <w:rsid w:val="00713E3E"/>
    <w:rsid w:val="007140C0"/>
    <w:rsid w:val="0071414A"/>
    <w:rsid w:val="0071423B"/>
    <w:rsid w:val="00714305"/>
    <w:rsid w:val="0071430A"/>
    <w:rsid w:val="00714399"/>
    <w:rsid w:val="007143CE"/>
    <w:rsid w:val="00714417"/>
    <w:rsid w:val="007144B8"/>
    <w:rsid w:val="00714586"/>
    <w:rsid w:val="0071458B"/>
    <w:rsid w:val="00714599"/>
    <w:rsid w:val="0071460E"/>
    <w:rsid w:val="007146D3"/>
    <w:rsid w:val="007147E4"/>
    <w:rsid w:val="00714A64"/>
    <w:rsid w:val="00714CC2"/>
    <w:rsid w:val="00714D55"/>
    <w:rsid w:val="00714E53"/>
    <w:rsid w:val="00714EB9"/>
    <w:rsid w:val="00714F6D"/>
    <w:rsid w:val="00714F9A"/>
    <w:rsid w:val="00714FF3"/>
    <w:rsid w:val="007150BF"/>
    <w:rsid w:val="007150F4"/>
    <w:rsid w:val="0071535F"/>
    <w:rsid w:val="00715430"/>
    <w:rsid w:val="007154E9"/>
    <w:rsid w:val="00715512"/>
    <w:rsid w:val="00715559"/>
    <w:rsid w:val="00715854"/>
    <w:rsid w:val="007158E9"/>
    <w:rsid w:val="007159C5"/>
    <w:rsid w:val="007159D4"/>
    <w:rsid w:val="00715ADD"/>
    <w:rsid w:val="00715B18"/>
    <w:rsid w:val="00715C93"/>
    <w:rsid w:val="00715CBF"/>
    <w:rsid w:val="00715DAB"/>
    <w:rsid w:val="00715DFD"/>
    <w:rsid w:val="00715ED0"/>
    <w:rsid w:val="00715F3D"/>
    <w:rsid w:val="00715F62"/>
    <w:rsid w:val="00716198"/>
    <w:rsid w:val="007161D6"/>
    <w:rsid w:val="0071621D"/>
    <w:rsid w:val="007162CE"/>
    <w:rsid w:val="0071632A"/>
    <w:rsid w:val="0071641D"/>
    <w:rsid w:val="0071649D"/>
    <w:rsid w:val="00716568"/>
    <w:rsid w:val="00716690"/>
    <w:rsid w:val="00716694"/>
    <w:rsid w:val="007166B7"/>
    <w:rsid w:val="007166D6"/>
    <w:rsid w:val="007166EB"/>
    <w:rsid w:val="00716707"/>
    <w:rsid w:val="00716746"/>
    <w:rsid w:val="00716760"/>
    <w:rsid w:val="00716767"/>
    <w:rsid w:val="00716777"/>
    <w:rsid w:val="007168B8"/>
    <w:rsid w:val="00716BF0"/>
    <w:rsid w:val="00716C71"/>
    <w:rsid w:val="00716D1E"/>
    <w:rsid w:val="00716D6C"/>
    <w:rsid w:val="00716E3B"/>
    <w:rsid w:val="00716F31"/>
    <w:rsid w:val="00717076"/>
    <w:rsid w:val="007171F5"/>
    <w:rsid w:val="007172DC"/>
    <w:rsid w:val="00717371"/>
    <w:rsid w:val="0071760B"/>
    <w:rsid w:val="007176E9"/>
    <w:rsid w:val="00717716"/>
    <w:rsid w:val="00717812"/>
    <w:rsid w:val="00717A83"/>
    <w:rsid w:val="00717B5A"/>
    <w:rsid w:val="00717D98"/>
    <w:rsid w:val="00717DEB"/>
    <w:rsid w:val="00717E19"/>
    <w:rsid w:val="00717FD4"/>
    <w:rsid w:val="00717FD5"/>
    <w:rsid w:val="00720020"/>
    <w:rsid w:val="00720034"/>
    <w:rsid w:val="007200A0"/>
    <w:rsid w:val="00720142"/>
    <w:rsid w:val="007202E5"/>
    <w:rsid w:val="007203D8"/>
    <w:rsid w:val="00720472"/>
    <w:rsid w:val="00720637"/>
    <w:rsid w:val="007206A7"/>
    <w:rsid w:val="00720827"/>
    <w:rsid w:val="00720854"/>
    <w:rsid w:val="007209AF"/>
    <w:rsid w:val="00720A2B"/>
    <w:rsid w:val="00720B44"/>
    <w:rsid w:val="00720B7C"/>
    <w:rsid w:val="00720C1C"/>
    <w:rsid w:val="00720C71"/>
    <w:rsid w:val="00720CB9"/>
    <w:rsid w:val="00720EC0"/>
    <w:rsid w:val="00720EE3"/>
    <w:rsid w:val="00720F3B"/>
    <w:rsid w:val="00720F44"/>
    <w:rsid w:val="007210DF"/>
    <w:rsid w:val="007211C8"/>
    <w:rsid w:val="00721220"/>
    <w:rsid w:val="00721396"/>
    <w:rsid w:val="00721541"/>
    <w:rsid w:val="007218FF"/>
    <w:rsid w:val="00721A47"/>
    <w:rsid w:val="00721A56"/>
    <w:rsid w:val="00721A7C"/>
    <w:rsid w:val="00721B85"/>
    <w:rsid w:val="00721E9B"/>
    <w:rsid w:val="00721ED7"/>
    <w:rsid w:val="0072205A"/>
    <w:rsid w:val="007223DA"/>
    <w:rsid w:val="00722429"/>
    <w:rsid w:val="00722580"/>
    <w:rsid w:val="00722590"/>
    <w:rsid w:val="007225BB"/>
    <w:rsid w:val="007225C3"/>
    <w:rsid w:val="0072267E"/>
    <w:rsid w:val="007226B1"/>
    <w:rsid w:val="0072270B"/>
    <w:rsid w:val="00722888"/>
    <w:rsid w:val="00722966"/>
    <w:rsid w:val="0072296D"/>
    <w:rsid w:val="00722E5D"/>
    <w:rsid w:val="00722E84"/>
    <w:rsid w:val="00722ECA"/>
    <w:rsid w:val="00722FA0"/>
    <w:rsid w:val="00722FDF"/>
    <w:rsid w:val="00722FF5"/>
    <w:rsid w:val="0072320F"/>
    <w:rsid w:val="00723231"/>
    <w:rsid w:val="0072328F"/>
    <w:rsid w:val="00723411"/>
    <w:rsid w:val="00723441"/>
    <w:rsid w:val="00723592"/>
    <w:rsid w:val="007235B5"/>
    <w:rsid w:val="00723824"/>
    <w:rsid w:val="0072386B"/>
    <w:rsid w:val="007238BA"/>
    <w:rsid w:val="007238E9"/>
    <w:rsid w:val="00723B49"/>
    <w:rsid w:val="00723C7E"/>
    <w:rsid w:val="00723CB2"/>
    <w:rsid w:val="00723D1A"/>
    <w:rsid w:val="00723D9C"/>
    <w:rsid w:val="00723DF8"/>
    <w:rsid w:val="00723EDC"/>
    <w:rsid w:val="00723FAA"/>
    <w:rsid w:val="00723FE1"/>
    <w:rsid w:val="007240E5"/>
    <w:rsid w:val="007241F7"/>
    <w:rsid w:val="007242A5"/>
    <w:rsid w:val="007242F0"/>
    <w:rsid w:val="00724373"/>
    <w:rsid w:val="0072490E"/>
    <w:rsid w:val="007249E2"/>
    <w:rsid w:val="00724A1C"/>
    <w:rsid w:val="00724B07"/>
    <w:rsid w:val="00724BB3"/>
    <w:rsid w:val="00724BB8"/>
    <w:rsid w:val="00724BDF"/>
    <w:rsid w:val="00724BF9"/>
    <w:rsid w:val="00724C32"/>
    <w:rsid w:val="00724CB6"/>
    <w:rsid w:val="00724D6E"/>
    <w:rsid w:val="00724DC6"/>
    <w:rsid w:val="00724F90"/>
    <w:rsid w:val="00725220"/>
    <w:rsid w:val="007252D5"/>
    <w:rsid w:val="007253EB"/>
    <w:rsid w:val="0072545B"/>
    <w:rsid w:val="00725623"/>
    <w:rsid w:val="0072562D"/>
    <w:rsid w:val="007256DB"/>
    <w:rsid w:val="007256E6"/>
    <w:rsid w:val="007256F0"/>
    <w:rsid w:val="00725859"/>
    <w:rsid w:val="00725B0A"/>
    <w:rsid w:val="00725C19"/>
    <w:rsid w:val="00725D3A"/>
    <w:rsid w:val="00725D7E"/>
    <w:rsid w:val="00725FB1"/>
    <w:rsid w:val="007261FF"/>
    <w:rsid w:val="00726409"/>
    <w:rsid w:val="00726419"/>
    <w:rsid w:val="00726442"/>
    <w:rsid w:val="00726459"/>
    <w:rsid w:val="0072656C"/>
    <w:rsid w:val="00726579"/>
    <w:rsid w:val="00726587"/>
    <w:rsid w:val="007266B9"/>
    <w:rsid w:val="00726734"/>
    <w:rsid w:val="00726803"/>
    <w:rsid w:val="00726A1F"/>
    <w:rsid w:val="00726F56"/>
    <w:rsid w:val="00726FD9"/>
    <w:rsid w:val="0072706A"/>
    <w:rsid w:val="0072707C"/>
    <w:rsid w:val="007270BB"/>
    <w:rsid w:val="0072716D"/>
    <w:rsid w:val="00727173"/>
    <w:rsid w:val="0072722D"/>
    <w:rsid w:val="00727279"/>
    <w:rsid w:val="0072727A"/>
    <w:rsid w:val="007272D6"/>
    <w:rsid w:val="00727324"/>
    <w:rsid w:val="00727479"/>
    <w:rsid w:val="007275F2"/>
    <w:rsid w:val="007275F7"/>
    <w:rsid w:val="007277C4"/>
    <w:rsid w:val="007277DD"/>
    <w:rsid w:val="007277FB"/>
    <w:rsid w:val="00727818"/>
    <w:rsid w:val="0072784D"/>
    <w:rsid w:val="00727915"/>
    <w:rsid w:val="00727A90"/>
    <w:rsid w:val="00727B26"/>
    <w:rsid w:val="00727B31"/>
    <w:rsid w:val="00727B42"/>
    <w:rsid w:val="00727D4B"/>
    <w:rsid w:val="00727E5C"/>
    <w:rsid w:val="00727F2B"/>
    <w:rsid w:val="007300EA"/>
    <w:rsid w:val="00730368"/>
    <w:rsid w:val="007303AC"/>
    <w:rsid w:val="007303CA"/>
    <w:rsid w:val="0073041B"/>
    <w:rsid w:val="007304A5"/>
    <w:rsid w:val="00730674"/>
    <w:rsid w:val="00730678"/>
    <w:rsid w:val="00730791"/>
    <w:rsid w:val="00730983"/>
    <w:rsid w:val="00730A98"/>
    <w:rsid w:val="00730B02"/>
    <w:rsid w:val="00730B88"/>
    <w:rsid w:val="00730BB8"/>
    <w:rsid w:val="00730C45"/>
    <w:rsid w:val="00730DE5"/>
    <w:rsid w:val="00730E63"/>
    <w:rsid w:val="00730EA4"/>
    <w:rsid w:val="007311AF"/>
    <w:rsid w:val="00731207"/>
    <w:rsid w:val="0073130A"/>
    <w:rsid w:val="007313C0"/>
    <w:rsid w:val="007313EB"/>
    <w:rsid w:val="0073153C"/>
    <w:rsid w:val="007315E9"/>
    <w:rsid w:val="00731681"/>
    <w:rsid w:val="00731753"/>
    <w:rsid w:val="007317B5"/>
    <w:rsid w:val="00731849"/>
    <w:rsid w:val="00731911"/>
    <w:rsid w:val="00731927"/>
    <w:rsid w:val="00731A24"/>
    <w:rsid w:val="00731C90"/>
    <w:rsid w:val="00731D4A"/>
    <w:rsid w:val="00731D9B"/>
    <w:rsid w:val="00731DC7"/>
    <w:rsid w:val="00731E9B"/>
    <w:rsid w:val="00731EF8"/>
    <w:rsid w:val="00731FE8"/>
    <w:rsid w:val="00731FEE"/>
    <w:rsid w:val="00732063"/>
    <w:rsid w:val="00732144"/>
    <w:rsid w:val="0073221E"/>
    <w:rsid w:val="0073228B"/>
    <w:rsid w:val="0073236C"/>
    <w:rsid w:val="007323F9"/>
    <w:rsid w:val="007327CD"/>
    <w:rsid w:val="00732BBB"/>
    <w:rsid w:val="00732C25"/>
    <w:rsid w:val="00733080"/>
    <w:rsid w:val="007330CC"/>
    <w:rsid w:val="00733120"/>
    <w:rsid w:val="00733139"/>
    <w:rsid w:val="00733247"/>
    <w:rsid w:val="0073331F"/>
    <w:rsid w:val="0073334F"/>
    <w:rsid w:val="00733403"/>
    <w:rsid w:val="00733478"/>
    <w:rsid w:val="00733497"/>
    <w:rsid w:val="007336D0"/>
    <w:rsid w:val="0073376E"/>
    <w:rsid w:val="00733799"/>
    <w:rsid w:val="0073388F"/>
    <w:rsid w:val="00733BF2"/>
    <w:rsid w:val="00733C2F"/>
    <w:rsid w:val="00733D36"/>
    <w:rsid w:val="00733D58"/>
    <w:rsid w:val="00733E70"/>
    <w:rsid w:val="0073408F"/>
    <w:rsid w:val="0073428C"/>
    <w:rsid w:val="00734393"/>
    <w:rsid w:val="00734446"/>
    <w:rsid w:val="0073447C"/>
    <w:rsid w:val="00734639"/>
    <w:rsid w:val="00734670"/>
    <w:rsid w:val="007346A5"/>
    <w:rsid w:val="007346AD"/>
    <w:rsid w:val="00734750"/>
    <w:rsid w:val="007347ED"/>
    <w:rsid w:val="00734805"/>
    <w:rsid w:val="00734A53"/>
    <w:rsid w:val="00734A7F"/>
    <w:rsid w:val="00734D0B"/>
    <w:rsid w:val="00734F6B"/>
    <w:rsid w:val="0073500C"/>
    <w:rsid w:val="007350F4"/>
    <w:rsid w:val="00735127"/>
    <w:rsid w:val="00735190"/>
    <w:rsid w:val="0073538A"/>
    <w:rsid w:val="00735476"/>
    <w:rsid w:val="0073576E"/>
    <w:rsid w:val="00735B88"/>
    <w:rsid w:val="00735BB1"/>
    <w:rsid w:val="00735E72"/>
    <w:rsid w:val="00735F31"/>
    <w:rsid w:val="00735F6B"/>
    <w:rsid w:val="00735F8F"/>
    <w:rsid w:val="0073609A"/>
    <w:rsid w:val="007361A0"/>
    <w:rsid w:val="0073622E"/>
    <w:rsid w:val="00736243"/>
    <w:rsid w:val="0073629C"/>
    <w:rsid w:val="0073642D"/>
    <w:rsid w:val="00736455"/>
    <w:rsid w:val="00736518"/>
    <w:rsid w:val="007365D9"/>
    <w:rsid w:val="00736722"/>
    <w:rsid w:val="007367A5"/>
    <w:rsid w:val="0073690C"/>
    <w:rsid w:val="0073695E"/>
    <w:rsid w:val="00736A37"/>
    <w:rsid w:val="00736B8E"/>
    <w:rsid w:val="00736D58"/>
    <w:rsid w:val="00736E30"/>
    <w:rsid w:val="00736EA5"/>
    <w:rsid w:val="00736F48"/>
    <w:rsid w:val="00736FBB"/>
    <w:rsid w:val="0073702D"/>
    <w:rsid w:val="00737323"/>
    <w:rsid w:val="00737361"/>
    <w:rsid w:val="0073790A"/>
    <w:rsid w:val="00737A7A"/>
    <w:rsid w:val="00737AF9"/>
    <w:rsid w:val="00737C10"/>
    <w:rsid w:val="00737C5E"/>
    <w:rsid w:val="00737D22"/>
    <w:rsid w:val="00737D24"/>
    <w:rsid w:val="00737E17"/>
    <w:rsid w:val="00737E1C"/>
    <w:rsid w:val="0074009F"/>
    <w:rsid w:val="00740357"/>
    <w:rsid w:val="00740378"/>
    <w:rsid w:val="00740492"/>
    <w:rsid w:val="007405F4"/>
    <w:rsid w:val="0074065D"/>
    <w:rsid w:val="00740759"/>
    <w:rsid w:val="00740883"/>
    <w:rsid w:val="0074088E"/>
    <w:rsid w:val="00740968"/>
    <w:rsid w:val="00740A35"/>
    <w:rsid w:val="00740A85"/>
    <w:rsid w:val="00740B2C"/>
    <w:rsid w:val="00740B37"/>
    <w:rsid w:val="00740B89"/>
    <w:rsid w:val="00740BCE"/>
    <w:rsid w:val="00740DCE"/>
    <w:rsid w:val="00740FBB"/>
    <w:rsid w:val="00741089"/>
    <w:rsid w:val="0074111D"/>
    <w:rsid w:val="00741447"/>
    <w:rsid w:val="0074144A"/>
    <w:rsid w:val="0074151B"/>
    <w:rsid w:val="007415DF"/>
    <w:rsid w:val="00741618"/>
    <w:rsid w:val="00741628"/>
    <w:rsid w:val="0074171E"/>
    <w:rsid w:val="00741806"/>
    <w:rsid w:val="00741999"/>
    <w:rsid w:val="00741ACF"/>
    <w:rsid w:val="00741B0A"/>
    <w:rsid w:val="00741B7D"/>
    <w:rsid w:val="00741C96"/>
    <w:rsid w:val="00741E43"/>
    <w:rsid w:val="00741F08"/>
    <w:rsid w:val="00741F25"/>
    <w:rsid w:val="00741F8B"/>
    <w:rsid w:val="00741F94"/>
    <w:rsid w:val="0074203D"/>
    <w:rsid w:val="00742175"/>
    <w:rsid w:val="0074234B"/>
    <w:rsid w:val="0074245D"/>
    <w:rsid w:val="007426E5"/>
    <w:rsid w:val="00742747"/>
    <w:rsid w:val="007428D0"/>
    <w:rsid w:val="00742CA4"/>
    <w:rsid w:val="00742CBD"/>
    <w:rsid w:val="00742DA3"/>
    <w:rsid w:val="00742E5B"/>
    <w:rsid w:val="00742E91"/>
    <w:rsid w:val="00742FC7"/>
    <w:rsid w:val="007431A6"/>
    <w:rsid w:val="0074325B"/>
    <w:rsid w:val="0074326D"/>
    <w:rsid w:val="007434DF"/>
    <w:rsid w:val="007435C2"/>
    <w:rsid w:val="0074360A"/>
    <w:rsid w:val="0074379B"/>
    <w:rsid w:val="00743823"/>
    <w:rsid w:val="00743829"/>
    <w:rsid w:val="007438DC"/>
    <w:rsid w:val="007438E3"/>
    <w:rsid w:val="0074392B"/>
    <w:rsid w:val="00743936"/>
    <w:rsid w:val="00743B01"/>
    <w:rsid w:val="00743B0A"/>
    <w:rsid w:val="00743BEE"/>
    <w:rsid w:val="00743DEF"/>
    <w:rsid w:val="00743E6A"/>
    <w:rsid w:val="00743EF1"/>
    <w:rsid w:val="00743F13"/>
    <w:rsid w:val="00744111"/>
    <w:rsid w:val="0074415C"/>
    <w:rsid w:val="007441D0"/>
    <w:rsid w:val="00744249"/>
    <w:rsid w:val="00744531"/>
    <w:rsid w:val="00744560"/>
    <w:rsid w:val="0074460F"/>
    <w:rsid w:val="007446D0"/>
    <w:rsid w:val="00744740"/>
    <w:rsid w:val="00744938"/>
    <w:rsid w:val="00744A21"/>
    <w:rsid w:val="00744AB1"/>
    <w:rsid w:val="00744BF1"/>
    <w:rsid w:val="00744C1E"/>
    <w:rsid w:val="00744C71"/>
    <w:rsid w:val="00744EEA"/>
    <w:rsid w:val="00745014"/>
    <w:rsid w:val="00745021"/>
    <w:rsid w:val="0074509E"/>
    <w:rsid w:val="007450D0"/>
    <w:rsid w:val="007451FF"/>
    <w:rsid w:val="00745309"/>
    <w:rsid w:val="007453AC"/>
    <w:rsid w:val="007453F4"/>
    <w:rsid w:val="007453FC"/>
    <w:rsid w:val="0074542C"/>
    <w:rsid w:val="00745447"/>
    <w:rsid w:val="007454D6"/>
    <w:rsid w:val="00745526"/>
    <w:rsid w:val="0074559E"/>
    <w:rsid w:val="007455F1"/>
    <w:rsid w:val="0074565A"/>
    <w:rsid w:val="00745715"/>
    <w:rsid w:val="00745943"/>
    <w:rsid w:val="00745A78"/>
    <w:rsid w:val="00745B50"/>
    <w:rsid w:val="00745C12"/>
    <w:rsid w:val="00745EB2"/>
    <w:rsid w:val="00745F19"/>
    <w:rsid w:val="00746029"/>
    <w:rsid w:val="00746104"/>
    <w:rsid w:val="0074614D"/>
    <w:rsid w:val="0074614E"/>
    <w:rsid w:val="007462A3"/>
    <w:rsid w:val="007462D2"/>
    <w:rsid w:val="007463E2"/>
    <w:rsid w:val="007463F1"/>
    <w:rsid w:val="007464C6"/>
    <w:rsid w:val="00746518"/>
    <w:rsid w:val="00746674"/>
    <w:rsid w:val="007468C9"/>
    <w:rsid w:val="00746984"/>
    <w:rsid w:val="00746A2E"/>
    <w:rsid w:val="00746C4F"/>
    <w:rsid w:val="00746E71"/>
    <w:rsid w:val="00746F35"/>
    <w:rsid w:val="007470CB"/>
    <w:rsid w:val="007471D9"/>
    <w:rsid w:val="007471E8"/>
    <w:rsid w:val="00747230"/>
    <w:rsid w:val="007472B3"/>
    <w:rsid w:val="007472C5"/>
    <w:rsid w:val="007473D6"/>
    <w:rsid w:val="007473E7"/>
    <w:rsid w:val="00747440"/>
    <w:rsid w:val="00747468"/>
    <w:rsid w:val="007474A6"/>
    <w:rsid w:val="007474A9"/>
    <w:rsid w:val="007474CB"/>
    <w:rsid w:val="007475C8"/>
    <w:rsid w:val="007476BC"/>
    <w:rsid w:val="007478E4"/>
    <w:rsid w:val="007478EA"/>
    <w:rsid w:val="00747A21"/>
    <w:rsid w:val="00747AC4"/>
    <w:rsid w:val="00747C41"/>
    <w:rsid w:val="00747CCA"/>
    <w:rsid w:val="00747D50"/>
    <w:rsid w:val="00747D60"/>
    <w:rsid w:val="00747DD1"/>
    <w:rsid w:val="00747DDC"/>
    <w:rsid w:val="00747E14"/>
    <w:rsid w:val="00747E19"/>
    <w:rsid w:val="00750024"/>
    <w:rsid w:val="00750052"/>
    <w:rsid w:val="00750069"/>
    <w:rsid w:val="0075009C"/>
    <w:rsid w:val="007500F1"/>
    <w:rsid w:val="00750104"/>
    <w:rsid w:val="00750179"/>
    <w:rsid w:val="007502F2"/>
    <w:rsid w:val="00750637"/>
    <w:rsid w:val="007506D0"/>
    <w:rsid w:val="00750725"/>
    <w:rsid w:val="00750793"/>
    <w:rsid w:val="007507B4"/>
    <w:rsid w:val="0075084D"/>
    <w:rsid w:val="00750A61"/>
    <w:rsid w:val="00750A82"/>
    <w:rsid w:val="00750A86"/>
    <w:rsid w:val="00750AF2"/>
    <w:rsid w:val="00750B11"/>
    <w:rsid w:val="00750D02"/>
    <w:rsid w:val="00750D0F"/>
    <w:rsid w:val="00750D9C"/>
    <w:rsid w:val="00750D9D"/>
    <w:rsid w:val="00750E66"/>
    <w:rsid w:val="00750EE3"/>
    <w:rsid w:val="00750F9D"/>
    <w:rsid w:val="00750FBA"/>
    <w:rsid w:val="00751048"/>
    <w:rsid w:val="00751106"/>
    <w:rsid w:val="00751307"/>
    <w:rsid w:val="007513D7"/>
    <w:rsid w:val="007515C7"/>
    <w:rsid w:val="00751660"/>
    <w:rsid w:val="0075175D"/>
    <w:rsid w:val="0075176D"/>
    <w:rsid w:val="0075192E"/>
    <w:rsid w:val="00751A48"/>
    <w:rsid w:val="00751B0B"/>
    <w:rsid w:val="00751B11"/>
    <w:rsid w:val="00751BBE"/>
    <w:rsid w:val="00751BE6"/>
    <w:rsid w:val="00751CFA"/>
    <w:rsid w:val="00751F7E"/>
    <w:rsid w:val="0075203A"/>
    <w:rsid w:val="0075209B"/>
    <w:rsid w:val="00752179"/>
    <w:rsid w:val="00752237"/>
    <w:rsid w:val="0075233A"/>
    <w:rsid w:val="0075234E"/>
    <w:rsid w:val="00752378"/>
    <w:rsid w:val="00752619"/>
    <w:rsid w:val="00752738"/>
    <w:rsid w:val="00752747"/>
    <w:rsid w:val="007527A9"/>
    <w:rsid w:val="00752814"/>
    <w:rsid w:val="00752863"/>
    <w:rsid w:val="00752946"/>
    <w:rsid w:val="007529B8"/>
    <w:rsid w:val="00752A07"/>
    <w:rsid w:val="00752A41"/>
    <w:rsid w:val="00752B98"/>
    <w:rsid w:val="00752C06"/>
    <w:rsid w:val="00752C3D"/>
    <w:rsid w:val="00752DED"/>
    <w:rsid w:val="00752DEE"/>
    <w:rsid w:val="00752EEA"/>
    <w:rsid w:val="00753069"/>
    <w:rsid w:val="00753145"/>
    <w:rsid w:val="00753221"/>
    <w:rsid w:val="007532CB"/>
    <w:rsid w:val="0075342B"/>
    <w:rsid w:val="00753538"/>
    <w:rsid w:val="007535E4"/>
    <w:rsid w:val="007535F7"/>
    <w:rsid w:val="0075362B"/>
    <w:rsid w:val="00753748"/>
    <w:rsid w:val="0075376D"/>
    <w:rsid w:val="007537B0"/>
    <w:rsid w:val="007537BC"/>
    <w:rsid w:val="00753821"/>
    <w:rsid w:val="00753B22"/>
    <w:rsid w:val="00753C04"/>
    <w:rsid w:val="00753D5B"/>
    <w:rsid w:val="00753F27"/>
    <w:rsid w:val="00753F40"/>
    <w:rsid w:val="00754001"/>
    <w:rsid w:val="00754078"/>
    <w:rsid w:val="007540C5"/>
    <w:rsid w:val="0075422A"/>
    <w:rsid w:val="0075424F"/>
    <w:rsid w:val="00754259"/>
    <w:rsid w:val="007542EE"/>
    <w:rsid w:val="0075435E"/>
    <w:rsid w:val="0075453C"/>
    <w:rsid w:val="00754593"/>
    <w:rsid w:val="00754613"/>
    <w:rsid w:val="00754700"/>
    <w:rsid w:val="007547DC"/>
    <w:rsid w:val="00754872"/>
    <w:rsid w:val="00754900"/>
    <w:rsid w:val="00754937"/>
    <w:rsid w:val="00754A21"/>
    <w:rsid w:val="00754B26"/>
    <w:rsid w:val="00754B77"/>
    <w:rsid w:val="00754BE6"/>
    <w:rsid w:val="00754C72"/>
    <w:rsid w:val="00754C7F"/>
    <w:rsid w:val="00754CF9"/>
    <w:rsid w:val="00754D48"/>
    <w:rsid w:val="00754DAD"/>
    <w:rsid w:val="00754DB0"/>
    <w:rsid w:val="00754DBE"/>
    <w:rsid w:val="00754F96"/>
    <w:rsid w:val="00755007"/>
    <w:rsid w:val="0075507A"/>
    <w:rsid w:val="007550B1"/>
    <w:rsid w:val="007551A7"/>
    <w:rsid w:val="00755324"/>
    <w:rsid w:val="007553DA"/>
    <w:rsid w:val="00755514"/>
    <w:rsid w:val="007555E9"/>
    <w:rsid w:val="007556A9"/>
    <w:rsid w:val="007556B6"/>
    <w:rsid w:val="0075571C"/>
    <w:rsid w:val="0075572B"/>
    <w:rsid w:val="00755822"/>
    <w:rsid w:val="0075582F"/>
    <w:rsid w:val="00755AF5"/>
    <w:rsid w:val="00755B06"/>
    <w:rsid w:val="00755BE3"/>
    <w:rsid w:val="00755BF1"/>
    <w:rsid w:val="00755C3D"/>
    <w:rsid w:val="00755C51"/>
    <w:rsid w:val="00755C6D"/>
    <w:rsid w:val="00755CC0"/>
    <w:rsid w:val="00755DA6"/>
    <w:rsid w:val="00755DDB"/>
    <w:rsid w:val="00755E14"/>
    <w:rsid w:val="00755E73"/>
    <w:rsid w:val="00755FCE"/>
    <w:rsid w:val="00756175"/>
    <w:rsid w:val="00756188"/>
    <w:rsid w:val="007562BC"/>
    <w:rsid w:val="0075642D"/>
    <w:rsid w:val="00756456"/>
    <w:rsid w:val="00756532"/>
    <w:rsid w:val="007566A1"/>
    <w:rsid w:val="0075691B"/>
    <w:rsid w:val="007569C3"/>
    <w:rsid w:val="00756A96"/>
    <w:rsid w:val="00756AD0"/>
    <w:rsid w:val="00756AFE"/>
    <w:rsid w:val="00756C3F"/>
    <w:rsid w:val="00756D40"/>
    <w:rsid w:val="00756E7A"/>
    <w:rsid w:val="00756E9F"/>
    <w:rsid w:val="00756ED9"/>
    <w:rsid w:val="00756EEC"/>
    <w:rsid w:val="00756EF5"/>
    <w:rsid w:val="00756FA9"/>
    <w:rsid w:val="007570A9"/>
    <w:rsid w:val="00757180"/>
    <w:rsid w:val="007571A6"/>
    <w:rsid w:val="0075720E"/>
    <w:rsid w:val="00757322"/>
    <w:rsid w:val="00757349"/>
    <w:rsid w:val="00757382"/>
    <w:rsid w:val="00757498"/>
    <w:rsid w:val="007574E4"/>
    <w:rsid w:val="0075756F"/>
    <w:rsid w:val="00757660"/>
    <w:rsid w:val="007576DE"/>
    <w:rsid w:val="00757845"/>
    <w:rsid w:val="00757895"/>
    <w:rsid w:val="007579DD"/>
    <w:rsid w:val="00757C2F"/>
    <w:rsid w:val="00757D80"/>
    <w:rsid w:val="00757F15"/>
    <w:rsid w:val="00760430"/>
    <w:rsid w:val="007604DB"/>
    <w:rsid w:val="0076051E"/>
    <w:rsid w:val="007607AE"/>
    <w:rsid w:val="007607C6"/>
    <w:rsid w:val="007608C4"/>
    <w:rsid w:val="00760956"/>
    <w:rsid w:val="00760B47"/>
    <w:rsid w:val="00760C0E"/>
    <w:rsid w:val="00760CDD"/>
    <w:rsid w:val="00760E01"/>
    <w:rsid w:val="00760F0B"/>
    <w:rsid w:val="00760F10"/>
    <w:rsid w:val="00760F17"/>
    <w:rsid w:val="007611A5"/>
    <w:rsid w:val="0076134D"/>
    <w:rsid w:val="007613C2"/>
    <w:rsid w:val="00761525"/>
    <w:rsid w:val="0076176C"/>
    <w:rsid w:val="00761837"/>
    <w:rsid w:val="00761889"/>
    <w:rsid w:val="007619F4"/>
    <w:rsid w:val="00761AF9"/>
    <w:rsid w:val="00761B2D"/>
    <w:rsid w:val="00761B8F"/>
    <w:rsid w:val="00761C81"/>
    <w:rsid w:val="00761F6F"/>
    <w:rsid w:val="00762087"/>
    <w:rsid w:val="007620F6"/>
    <w:rsid w:val="00762136"/>
    <w:rsid w:val="00762193"/>
    <w:rsid w:val="0076227C"/>
    <w:rsid w:val="0076230A"/>
    <w:rsid w:val="00762332"/>
    <w:rsid w:val="00762429"/>
    <w:rsid w:val="007624FC"/>
    <w:rsid w:val="00762733"/>
    <w:rsid w:val="00762851"/>
    <w:rsid w:val="00762904"/>
    <w:rsid w:val="0076291A"/>
    <w:rsid w:val="0076293C"/>
    <w:rsid w:val="007629BE"/>
    <w:rsid w:val="007629BF"/>
    <w:rsid w:val="007629D0"/>
    <w:rsid w:val="007629E3"/>
    <w:rsid w:val="00762A05"/>
    <w:rsid w:val="00762A36"/>
    <w:rsid w:val="00762A8B"/>
    <w:rsid w:val="00762BDD"/>
    <w:rsid w:val="00762D1C"/>
    <w:rsid w:val="00762D62"/>
    <w:rsid w:val="00762DE1"/>
    <w:rsid w:val="00762DEB"/>
    <w:rsid w:val="00762E2A"/>
    <w:rsid w:val="007630B8"/>
    <w:rsid w:val="0076341D"/>
    <w:rsid w:val="00763428"/>
    <w:rsid w:val="007634B4"/>
    <w:rsid w:val="007635D5"/>
    <w:rsid w:val="007635E5"/>
    <w:rsid w:val="0076365F"/>
    <w:rsid w:val="00763798"/>
    <w:rsid w:val="00763A0E"/>
    <w:rsid w:val="00763A3D"/>
    <w:rsid w:val="00763CBD"/>
    <w:rsid w:val="00763D66"/>
    <w:rsid w:val="00763F12"/>
    <w:rsid w:val="00763FF7"/>
    <w:rsid w:val="007640CE"/>
    <w:rsid w:val="00764107"/>
    <w:rsid w:val="007641AA"/>
    <w:rsid w:val="00764226"/>
    <w:rsid w:val="00764355"/>
    <w:rsid w:val="00764398"/>
    <w:rsid w:val="0076444F"/>
    <w:rsid w:val="007644D2"/>
    <w:rsid w:val="007644DB"/>
    <w:rsid w:val="007645C2"/>
    <w:rsid w:val="00764607"/>
    <w:rsid w:val="00764812"/>
    <w:rsid w:val="00764858"/>
    <w:rsid w:val="00764B2E"/>
    <w:rsid w:val="00764B42"/>
    <w:rsid w:val="00764E25"/>
    <w:rsid w:val="00764E70"/>
    <w:rsid w:val="00764FCE"/>
    <w:rsid w:val="00765014"/>
    <w:rsid w:val="0076509E"/>
    <w:rsid w:val="0076547A"/>
    <w:rsid w:val="007654EE"/>
    <w:rsid w:val="007655ED"/>
    <w:rsid w:val="00765623"/>
    <w:rsid w:val="007656BB"/>
    <w:rsid w:val="0076570B"/>
    <w:rsid w:val="00765729"/>
    <w:rsid w:val="007657C7"/>
    <w:rsid w:val="00765977"/>
    <w:rsid w:val="0076598D"/>
    <w:rsid w:val="00765A5F"/>
    <w:rsid w:val="00765A84"/>
    <w:rsid w:val="00765B8E"/>
    <w:rsid w:val="00765B96"/>
    <w:rsid w:val="00765BB8"/>
    <w:rsid w:val="00765C12"/>
    <w:rsid w:val="00765D4F"/>
    <w:rsid w:val="00765DC3"/>
    <w:rsid w:val="00765E88"/>
    <w:rsid w:val="00765EB3"/>
    <w:rsid w:val="00765ED2"/>
    <w:rsid w:val="007660AF"/>
    <w:rsid w:val="007661B7"/>
    <w:rsid w:val="007662BE"/>
    <w:rsid w:val="0076634C"/>
    <w:rsid w:val="007663A2"/>
    <w:rsid w:val="0076671E"/>
    <w:rsid w:val="007667F0"/>
    <w:rsid w:val="0076688A"/>
    <w:rsid w:val="007668D2"/>
    <w:rsid w:val="00766985"/>
    <w:rsid w:val="007669F5"/>
    <w:rsid w:val="00766B2F"/>
    <w:rsid w:val="00766B40"/>
    <w:rsid w:val="00766BD7"/>
    <w:rsid w:val="00766C5F"/>
    <w:rsid w:val="00766C88"/>
    <w:rsid w:val="00766D36"/>
    <w:rsid w:val="00766D58"/>
    <w:rsid w:val="00766D78"/>
    <w:rsid w:val="00766E8F"/>
    <w:rsid w:val="00766EF6"/>
    <w:rsid w:val="00766FBE"/>
    <w:rsid w:val="007670CF"/>
    <w:rsid w:val="0076737F"/>
    <w:rsid w:val="0076752B"/>
    <w:rsid w:val="007676AA"/>
    <w:rsid w:val="007676C5"/>
    <w:rsid w:val="00767848"/>
    <w:rsid w:val="00767861"/>
    <w:rsid w:val="00767891"/>
    <w:rsid w:val="00767A9C"/>
    <w:rsid w:val="00767B46"/>
    <w:rsid w:val="00767C2C"/>
    <w:rsid w:val="00767CFE"/>
    <w:rsid w:val="00767DCF"/>
    <w:rsid w:val="00767E34"/>
    <w:rsid w:val="007700E1"/>
    <w:rsid w:val="0077033E"/>
    <w:rsid w:val="007704AB"/>
    <w:rsid w:val="00770585"/>
    <w:rsid w:val="0077063F"/>
    <w:rsid w:val="0077066D"/>
    <w:rsid w:val="007707A3"/>
    <w:rsid w:val="00770A61"/>
    <w:rsid w:val="00770B0C"/>
    <w:rsid w:val="00770B1D"/>
    <w:rsid w:val="00770CAC"/>
    <w:rsid w:val="00770CDE"/>
    <w:rsid w:val="00770D23"/>
    <w:rsid w:val="00770EFC"/>
    <w:rsid w:val="00770F32"/>
    <w:rsid w:val="00770FEE"/>
    <w:rsid w:val="0077107D"/>
    <w:rsid w:val="007710A8"/>
    <w:rsid w:val="007710F8"/>
    <w:rsid w:val="0077110A"/>
    <w:rsid w:val="00771129"/>
    <w:rsid w:val="00771164"/>
    <w:rsid w:val="00771167"/>
    <w:rsid w:val="0077117E"/>
    <w:rsid w:val="007711E5"/>
    <w:rsid w:val="0077135B"/>
    <w:rsid w:val="00771446"/>
    <w:rsid w:val="0077144D"/>
    <w:rsid w:val="00771486"/>
    <w:rsid w:val="007714B7"/>
    <w:rsid w:val="007714CE"/>
    <w:rsid w:val="007715BF"/>
    <w:rsid w:val="00771685"/>
    <w:rsid w:val="00771708"/>
    <w:rsid w:val="0077170C"/>
    <w:rsid w:val="00771759"/>
    <w:rsid w:val="00771777"/>
    <w:rsid w:val="00771846"/>
    <w:rsid w:val="007718B2"/>
    <w:rsid w:val="007719FB"/>
    <w:rsid w:val="00771A8F"/>
    <w:rsid w:val="00771C04"/>
    <w:rsid w:val="00771E17"/>
    <w:rsid w:val="00771E83"/>
    <w:rsid w:val="00771EC4"/>
    <w:rsid w:val="00771FED"/>
    <w:rsid w:val="0077200D"/>
    <w:rsid w:val="00772158"/>
    <w:rsid w:val="0077238B"/>
    <w:rsid w:val="007723D5"/>
    <w:rsid w:val="0077250B"/>
    <w:rsid w:val="007725E8"/>
    <w:rsid w:val="00772632"/>
    <w:rsid w:val="0077263C"/>
    <w:rsid w:val="0077265F"/>
    <w:rsid w:val="007726CD"/>
    <w:rsid w:val="0077273F"/>
    <w:rsid w:val="0077288C"/>
    <w:rsid w:val="00772900"/>
    <w:rsid w:val="0077290B"/>
    <w:rsid w:val="0077299D"/>
    <w:rsid w:val="00772AC8"/>
    <w:rsid w:val="00772BD0"/>
    <w:rsid w:val="00772C3E"/>
    <w:rsid w:val="00772C8B"/>
    <w:rsid w:val="00772D84"/>
    <w:rsid w:val="00772DAC"/>
    <w:rsid w:val="00772F22"/>
    <w:rsid w:val="00772F86"/>
    <w:rsid w:val="00772FBA"/>
    <w:rsid w:val="0077310F"/>
    <w:rsid w:val="0077327B"/>
    <w:rsid w:val="00773334"/>
    <w:rsid w:val="00773351"/>
    <w:rsid w:val="00773499"/>
    <w:rsid w:val="00773620"/>
    <w:rsid w:val="0077363F"/>
    <w:rsid w:val="007736C3"/>
    <w:rsid w:val="007737C5"/>
    <w:rsid w:val="0077382D"/>
    <w:rsid w:val="00773B17"/>
    <w:rsid w:val="00773C1E"/>
    <w:rsid w:val="00773C55"/>
    <w:rsid w:val="00773DAF"/>
    <w:rsid w:val="00773E57"/>
    <w:rsid w:val="00773EEF"/>
    <w:rsid w:val="00773FB6"/>
    <w:rsid w:val="00773FD6"/>
    <w:rsid w:val="00773FFB"/>
    <w:rsid w:val="007740A1"/>
    <w:rsid w:val="0077428C"/>
    <w:rsid w:val="00774347"/>
    <w:rsid w:val="00774488"/>
    <w:rsid w:val="00774588"/>
    <w:rsid w:val="00774643"/>
    <w:rsid w:val="007746E5"/>
    <w:rsid w:val="00774816"/>
    <w:rsid w:val="0077486D"/>
    <w:rsid w:val="0077495B"/>
    <w:rsid w:val="00774AF3"/>
    <w:rsid w:val="00774AF4"/>
    <w:rsid w:val="00774BE9"/>
    <w:rsid w:val="00774D44"/>
    <w:rsid w:val="00774DCB"/>
    <w:rsid w:val="00774DD2"/>
    <w:rsid w:val="00774E6E"/>
    <w:rsid w:val="00774EA7"/>
    <w:rsid w:val="00774F1D"/>
    <w:rsid w:val="00774F73"/>
    <w:rsid w:val="00775021"/>
    <w:rsid w:val="0077503D"/>
    <w:rsid w:val="00775071"/>
    <w:rsid w:val="007750A6"/>
    <w:rsid w:val="007750C2"/>
    <w:rsid w:val="00775142"/>
    <w:rsid w:val="007751C5"/>
    <w:rsid w:val="007751E4"/>
    <w:rsid w:val="00775214"/>
    <w:rsid w:val="007753A7"/>
    <w:rsid w:val="0077544A"/>
    <w:rsid w:val="00775809"/>
    <w:rsid w:val="007758B0"/>
    <w:rsid w:val="0077590C"/>
    <w:rsid w:val="00775993"/>
    <w:rsid w:val="00775A5D"/>
    <w:rsid w:val="00775AAF"/>
    <w:rsid w:val="00775B21"/>
    <w:rsid w:val="00775B54"/>
    <w:rsid w:val="00775BB9"/>
    <w:rsid w:val="00775D3E"/>
    <w:rsid w:val="00775DA9"/>
    <w:rsid w:val="00775E2E"/>
    <w:rsid w:val="00775E7C"/>
    <w:rsid w:val="00775EEF"/>
    <w:rsid w:val="007761EE"/>
    <w:rsid w:val="007761F6"/>
    <w:rsid w:val="00776200"/>
    <w:rsid w:val="007762F9"/>
    <w:rsid w:val="00776390"/>
    <w:rsid w:val="0077641D"/>
    <w:rsid w:val="00776524"/>
    <w:rsid w:val="00776676"/>
    <w:rsid w:val="0077672C"/>
    <w:rsid w:val="00776732"/>
    <w:rsid w:val="0077677D"/>
    <w:rsid w:val="007767F6"/>
    <w:rsid w:val="007768CE"/>
    <w:rsid w:val="00776987"/>
    <w:rsid w:val="007769A1"/>
    <w:rsid w:val="007769A2"/>
    <w:rsid w:val="00776A9D"/>
    <w:rsid w:val="00776B85"/>
    <w:rsid w:val="00776CC0"/>
    <w:rsid w:val="00776D2C"/>
    <w:rsid w:val="00776E2E"/>
    <w:rsid w:val="00776EAD"/>
    <w:rsid w:val="00777005"/>
    <w:rsid w:val="007770D7"/>
    <w:rsid w:val="007770FE"/>
    <w:rsid w:val="00777231"/>
    <w:rsid w:val="007773D8"/>
    <w:rsid w:val="0077745C"/>
    <w:rsid w:val="0077753E"/>
    <w:rsid w:val="0077755B"/>
    <w:rsid w:val="0077756F"/>
    <w:rsid w:val="00777750"/>
    <w:rsid w:val="00777764"/>
    <w:rsid w:val="00777921"/>
    <w:rsid w:val="00777AE9"/>
    <w:rsid w:val="00777B77"/>
    <w:rsid w:val="00777B99"/>
    <w:rsid w:val="00777C9C"/>
    <w:rsid w:val="00777D19"/>
    <w:rsid w:val="00777DDD"/>
    <w:rsid w:val="00777DFA"/>
    <w:rsid w:val="00777FA7"/>
    <w:rsid w:val="00777FA8"/>
    <w:rsid w:val="0078004B"/>
    <w:rsid w:val="0078010A"/>
    <w:rsid w:val="0078029B"/>
    <w:rsid w:val="0078030C"/>
    <w:rsid w:val="00780412"/>
    <w:rsid w:val="00780886"/>
    <w:rsid w:val="00780AA5"/>
    <w:rsid w:val="00780B0F"/>
    <w:rsid w:val="00780B7A"/>
    <w:rsid w:val="00780BD0"/>
    <w:rsid w:val="00780BFD"/>
    <w:rsid w:val="00780E2F"/>
    <w:rsid w:val="00780E4F"/>
    <w:rsid w:val="00780E6C"/>
    <w:rsid w:val="00780F2D"/>
    <w:rsid w:val="00780F41"/>
    <w:rsid w:val="00780F64"/>
    <w:rsid w:val="007810B2"/>
    <w:rsid w:val="00781134"/>
    <w:rsid w:val="00781270"/>
    <w:rsid w:val="007813E8"/>
    <w:rsid w:val="007814FE"/>
    <w:rsid w:val="00781A19"/>
    <w:rsid w:val="00781A71"/>
    <w:rsid w:val="00781B5C"/>
    <w:rsid w:val="00781BDF"/>
    <w:rsid w:val="00781C34"/>
    <w:rsid w:val="00781C63"/>
    <w:rsid w:val="00781C81"/>
    <w:rsid w:val="00781EF3"/>
    <w:rsid w:val="00782018"/>
    <w:rsid w:val="007821FE"/>
    <w:rsid w:val="007823D3"/>
    <w:rsid w:val="007825A5"/>
    <w:rsid w:val="00782662"/>
    <w:rsid w:val="007827AC"/>
    <w:rsid w:val="007827F5"/>
    <w:rsid w:val="0078281E"/>
    <w:rsid w:val="00782C47"/>
    <w:rsid w:val="00782CDC"/>
    <w:rsid w:val="00782D2B"/>
    <w:rsid w:val="00782E19"/>
    <w:rsid w:val="00782E53"/>
    <w:rsid w:val="00782F30"/>
    <w:rsid w:val="00782F62"/>
    <w:rsid w:val="007830A8"/>
    <w:rsid w:val="007831F6"/>
    <w:rsid w:val="00783281"/>
    <w:rsid w:val="0078361B"/>
    <w:rsid w:val="00783737"/>
    <w:rsid w:val="00783851"/>
    <w:rsid w:val="007838EF"/>
    <w:rsid w:val="00783AB2"/>
    <w:rsid w:val="00783AD3"/>
    <w:rsid w:val="00783C32"/>
    <w:rsid w:val="00783C89"/>
    <w:rsid w:val="00783D6C"/>
    <w:rsid w:val="00783F9F"/>
    <w:rsid w:val="00783FDA"/>
    <w:rsid w:val="00784122"/>
    <w:rsid w:val="0078421A"/>
    <w:rsid w:val="0078430C"/>
    <w:rsid w:val="00784314"/>
    <w:rsid w:val="007843D1"/>
    <w:rsid w:val="007844B2"/>
    <w:rsid w:val="00784591"/>
    <w:rsid w:val="007845CB"/>
    <w:rsid w:val="007847DB"/>
    <w:rsid w:val="0078482F"/>
    <w:rsid w:val="0078484A"/>
    <w:rsid w:val="00784914"/>
    <w:rsid w:val="00784AB1"/>
    <w:rsid w:val="00784B52"/>
    <w:rsid w:val="00784C62"/>
    <w:rsid w:val="00784CB3"/>
    <w:rsid w:val="00784CE4"/>
    <w:rsid w:val="00784F68"/>
    <w:rsid w:val="007850DB"/>
    <w:rsid w:val="007851E1"/>
    <w:rsid w:val="00785281"/>
    <w:rsid w:val="007852AF"/>
    <w:rsid w:val="00785409"/>
    <w:rsid w:val="0078542B"/>
    <w:rsid w:val="007854E8"/>
    <w:rsid w:val="00785518"/>
    <w:rsid w:val="0078551B"/>
    <w:rsid w:val="007855FA"/>
    <w:rsid w:val="0078563E"/>
    <w:rsid w:val="00785654"/>
    <w:rsid w:val="0078571F"/>
    <w:rsid w:val="0078597B"/>
    <w:rsid w:val="007859C2"/>
    <w:rsid w:val="007859C9"/>
    <w:rsid w:val="00785A69"/>
    <w:rsid w:val="00785A75"/>
    <w:rsid w:val="00785AA3"/>
    <w:rsid w:val="00785ADD"/>
    <w:rsid w:val="00785BB8"/>
    <w:rsid w:val="00785C20"/>
    <w:rsid w:val="00785C8D"/>
    <w:rsid w:val="00785CD2"/>
    <w:rsid w:val="00785CFB"/>
    <w:rsid w:val="00785DD1"/>
    <w:rsid w:val="00785EC9"/>
    <w:rsid w:val="00785ED7"/>
    <w:rsid w:val="007861E3"/>
    <w:rsid w:val="00786519"/>
    <w:rsid w:val="007867DD"/>
    <w:rsid w:val="007867E2"/>
    <w:rsid w:val="0078685F"/>
    <w:rsid w:val="007868B4"/>
    <w:rsid w:val="0078692A"/>
    <w:rsid w:val="0078692B"/>
    <w:rsid w:val="00786B0E"/>
    <w:rsid w:val="00786DF4"/>
    <w:rsid w:val="00786EF0"/>
    <w:rsid w:val="00786FAA"/>
    <w:rsid w:val="00786FC8"/>
    <w:rsid w:val="00787105"/>
    <w:rsid w:val="0078713B"/>
    <w:rsid w:val="007871EB"/>
    <w:rsid w:val="0078735A"/>
    <w:rsid w:val="007873DC"/>
    <w:rsid w:val="00787581"/>
    <w:rsid w:val="0078772D"/>
    <w:rsid w:val="00787762"/>
    <w:rsid w:val="00787793"/>
    <w:rsid w:val="007879B8"/>
    <w:rsid w:val="007879C9"/>
    <w:rsid w:val="00787A05"/>
    <w:rsid w:val="00787A2D"/>
    <w:rsid w:val="00787AE0"/>
    <w:rsid w:val="00787D4E"/>
    <w:rsid w:val="00787D57"/>
    <w:rsid w:val="00787ECA"/>
    <w:rsid w:val="00787EE7"/>
    <w:rsid w:val="00787F65"/>
    <w:rsid w:val="0079010F"/>
    <w:rsid w:val="0079012C"/>
    <w:rsid w:val="00790217"/>
    <w:rsid w:val="0079023C"/>
    <w:rsid w:val="007902C2"/>
    <w:rsid w:val="007902D2"/>
    <w:rsid w:val="007902D5"/>
    <w:rsid w:val="007902F5"/>
    <w:rsid w:val="00790405"/>
    <w:rsid w:val="0079074A"/>
    <w:rsid w:val="007907E4"/>
    <w:rsid w:val="0079080B"/>
    <w:rsid w:val="007909FF"/>
    <w:rsid w:val="00790A18"/>
    <w:rsid w:val="00790AE4"/>
    <w:rsid w:val="00790BC7"/>
    <w:rsid w:val="00790C25"/>
    <w:rsid w:val="00790DC4"/>
    <w:rsid w:val="00790F8E"/>
    <w:rsid w:val="00790F90"/>
    <w:rsid w:val="00790FFD"/>
    <w:rsid w:val="00791026"/>
    <w:rsid w:val="0079119F"/>
    <w:rsid w:val="007911F5"/>
    <w:rsid w:val="007912A3"/>
    <w:rsid w:val="007913B4"/>
    <w:rsid w:val="007915D3"/>
    <w:rsid w:val="007918F5"/>
    <w:rsid w:val="00791AE0"/>
    <w:rsid w:val="0079203C"/>
    <w:rsid w:val="00792162"/>
    <w:rsid w:val="0079241D"/>
    <w:rsid w:val="00792438"/>
    <w:rsid w:val="0079255A"/>
    <w:rsid w:val="007926CF"/>
    <w:rsid w:val="007926ED"/>
    <w:rsid w:val="0079286C"/>
    <w:rsid w:val="00792A10"/>
    <w:rsid w:val="00792A17"/>
    <w:rsid w:val="00792A59"/>
    <w:rsid w:val="00792C25"/>
    <w:rsid w:val="00792F98"/>
    <w:rsid w:val="0079315E"/>
    <w:rsid w:val="007932CD"/>
    <w:rsid w:val="007932FE"/>
    <w:rsid w:val="007934D5"/>
    <w:rsid w:val="007934F2"/>
    <w:rsid w:val="007935F9"/>
    <w:rsid w:val="00793629"/>
    <w:rsid w:val="00793696"/>
    <w:rsid w:val="007936AC"/>
    <w:rsid w:val="0079373F"/>
    <w:rsid w:val="007937BC"/>
    <w:rsid w:val="00793800"/>
    <w:rsid w:val="00793978"/>
    <w:rsid w:val="00793A93"/>
    <w:rsid w:val="00793AD6"/>
    <w:rsid w:val="00793B71"/>
    <w:rsid w:val="00793C47"/>
    <w:rsid w:val="00793D00"/>
    <w:rsid w:val="00793D63"/>
    <w:rsid w:val="00793E5C"/>
    <w:rsid w:val="00793E5F"/>
    <w:rsid w:val="00794069"/>
    <w:rsid w:val="0079425F"/>
    <w:rsid w:val="00794284"/>
    <w:rsid w:val="00794299"/>
    <w:rsid w:val="007943B5"/>
    <w:rsid w:val="0079458F"/>
    <w:rsid w:val="00794672"/>
    <w:rsid w:val="007948D4"/>
    <w:rsid w:val="00794919"/>
    <w:rsid w:val="00794A61"/>
    <w:rsid w:val="00794B5D"/>
    <w:rsid w:val="00794BC1"/>
    <w:rsid w:val="00794BC8"/>
    <w:rsid w:val="00794D43"/>
    <w:rsid w:val="00795201"/>
    <w:rsid w:val="0079524E"/>
    <w:rsid w:val="00795318"/>
    <w:rsid w:val="00795401"/>
    <w:rsid w:val="007954A3"/>
    <w:rsid w:val="0079558A"/>
    <w:rsid w:val="0079573C"/>
    <w:rsid w:val="00795787"/>
    <w:rsid w:val="007957CF"/>
    <w:rsid w:val="0079590F"/>
    <w:rsid w:val="0079597A"/>
    <w:rsid w:val="007959A2"/>
    <w:rsid w:val="00795A14"/>
    <w:rsid w:val="00795A75"/>
    <w:rsid w:val="00795AC0"/>
    <w:rsid w:val="00795B78"/>
    <w:rsid w:val="00795C13"/>
    <w:rsid w:val="00795DD6"/>
    <w:rsid w:val="00795E89"/>
    <w:rsid w:val="00795F6F"/>
    <w:rsid w:val="00795F9D"/>
    <w:rsid w:val="0079631A"/>
    <w:rsid w:val="007963C2"/>
    <w:rsid w:val="00796581"/>
    <w:rsid w:val="00796751"/>
    <w:rsid w:val="00796760"/>
    <w:rsid w:val="00796761"/>
    <w:rsid w:val="00796999"/>
    <w:rsid w:val="007969C3"/>
    <w:rsid w:val="00796A40"/>
    <w:rsid w:val="00796AEF"/>
    <w:rsid w:val="00796B5A"/>
    <w:rsid w:val="00796D49"/>
    <w:rsid w:val="00796EA1"/>
    <w:rsid w:val="00796FFC"/>
    <w:rsid w:val="00797133"/>
    <w:rsid w:val="0079717A"/>
    <w:rsid w:val="00797335"/>
    <w:rsid w:val="007973AE"/>
    <w:rsid w:val="007975AA"/>
    <w:rsid w:val="007975F5"/>
    <w:rsid w:val="00797743"/>
    <w:rsid w:val="0079784D"/>
    <w:rsid w:val="00797A44"/>
    <w:rsid w:val="00797A9E"/>
    <w:rsid w:val="00797B39"/>
    <w:rsid w:val="00797C1D"/>
    <w:rsid w:val="00797C40"/>
    <w:rsid w:val="00797E1A"/>
    <w:rsid w:val="00797E2B"/>
    <w:rsid w:val="00797F7B"/>
    <w:rsid w:val="00797FB6"/>
    <w:rsid w:val="00797FE6"/>
    <w:rsid w:val="007A00BB"/>
    <w:rsid w:val="007A01C8"/>
    <w:rsid w:val="007A01F6"/>
    <w:rsid w:val="007A029E"/>
    <w:rsid w:val="007A02AB"/>
    <w:rsid w:val="007A02B1"/>
    <w:rsid w:val="007A034E"/>
    <w:rsid w:val="007A04DA"/>
    <w:rsid w:val="007A060B"/>
    <w:rsid w:val="007A0721"/>
    <w:rsid w:val="007A07BF"/>
    <w:rsid w:val="007A07D3"/>
    <w:rsid w:val="007A0806"/>
    <w:rsid w:val="007A0A56"/>
    <w:rsid w:val="007A0AA3"/>
    <w:rsid w:val="007A0D24"/>
    <w:rsid w:val="007A0E45"/>
    <w:rsid w:val="007A0EDE"/>
    <w:rsid w:val="007A0F3F"/>
    <w:rsid w:val="007A0F97"/>
    <w:rsid w:val="007A10A5"/>
    <w:rsid w:val="007A10CA"/>
    <w:rsid w:val="007A14AA"/>
    <w:rsid w:val="007A1521"/>
    <w:rsid w:val="007A1648"/>
    <w:rsid w:val="007A1836"/>
    <w:rsid w:val="007A18AD"/>
    <w:rsid w:val="007A18B6"/>
    <w:rsid w:val="007A18E5"/>
    <w:rsid w:val="007A1BA4"/>
    <w:rsid w:val="007A1BED"/>
    <w:rsid w:val="007A1D8B"/>
    <w:rsid w:val="007A1DB9"/>
    <w:rsid w:val="007A1F37"/>
    <w:rsid w:val="007A1F77"/>
    <w:rsid w:val="007A2065"/>
    <w:rsid w:val="007A20F7"/>
    <w:rsid w:val="007A22D7"/>
    <w:rsid w:val="007A2436"/>
    <w:rsid w:val="007A24B9"/>
    <w:rsid w:val="007A256A"/>
    <w:rsid w:val="007A2577"/>
    <w:rsid w:val="007A25DA"/>
    <w:rsid w:val="007A2606"/>
    <w:rsid w:val="007A26EE"/>
    <w:rsid w:val="007A2755"/>
    <w:rsid w:val="007A29FE"/>
    <w:rsid w:val="007A2A82"/>
    <w:rsid w:val="007A2AF3"/>
    <w:rsid w:val="007A2B88"/>
    <w:rsid w:val="007A2D9C"/>
    <w:rsid w:val="007A2F01"/>
    <w:rsid w:val="007A2F3E"/>
    <w:rsid w:val="007A2FB0"/>
    <w:rsid w:val="007A30DD"/>
    <w:rsid w:val="007A32BE"/>
    <w:rsid w:val="007A3358"/>
    <w:rsid w:val="007A33AF"/>
    <w:rsid w:val="007A35E6"/>
    <w:rsid w:val="007A36A3"/>
    <w:rsid w:val="007A36A7"/>
    <w:rsid w:val="007A380B"/>
    <w:rsid w:val="007A38F0"/>
    <w:rsid w:val="007A39D3"/>
    <w:rsid w:val="007A3A9B"/>
    <w:rsid w:val="007A3B0C"/>
    <w:rsid w:val="007A3B28"/>
    <w:rsid w:val="007A3BBE"/>
    <w:rsid w:val="007A3CE7"/>
    <w:rsid w:val="007A3D11"/>
    <w:rsid w:val="007A3D3B"/>
    <w:rsid w:val="007A3E17"/>
    <w:rsid w:val="007A3F2E"/>
    <w:rsid w:val="007A3F97"/>
    <w:rsid w:val="007A42C5"/>
    <w:rsid w:val="007A4416"/>
    <w:rsid w:val="007A449B"/>
    <w:rsid w:val="007A4505"/>
    <w:rsid w:val="007A45FB"/>
    <w:rsid w:val="007A4694"/>
    <w:rsid w:val="007A46BC"/>
    <w:rsid w:val="007A47FB"/>
    <w:rsid w:val="007A47FD"/>
    <w:rsid w:val="007A4842"/>
    <w:rsid w:val="007A4A52"/>
    <w:rsid w:val="007A4B4A"/>
    <w:rsid w:val="007A4CFB"/>
    <w:rsid w:val="007A4D1C"/>
    <w:rsid w:val="007A4D9D"/>
    <w:rsid w:val="007A4DC1"/>
    <w:rsid w:val="007A4DE8"/>
    <w:rsid w:val="007A4E35"/>
    <w:rsid w:val="007A503B"/>
    <w:rsid w:val="007A50EB"/>
    <w:rsid w:val="007A53F0"/>
    <w:rsid w:val="007A542E"/>
    <w:rsid w:val="007A5594"/>
    <w:rsid w:val="007A55EC"/>
    <w:rsid w:val="007A5930"/>
    <w:rsid w:val="007A59A2"/>
    <w:rsid w:val="007A59E3"/>
    <w:rsid w:val="007A5B96"/>
    <w:rsid w:val="007A5BC4"/>
    <w:rsid w:val="007A5C31"/>
    <w:rsid w:val="007A5D3A"/>
    <w:rsid w:val="007A5F69"/>
    <w:rsid w:val="007A601F"/>
    <w:rsid w:val="007A6042"/>
    <w:rsid w:val="007A60E5"/>
    <w:rsid w:val="007A618D"/>
    <w:rsid w:val="007A6738"/>
    <w:rsid w:val="007A692B"/>
    <w:rsid w:val="007A6A78"/>
    <w:rsid w:val="007A6AE7"/>
    <w:rsid w:val="007A6BBD"/>
    <w:rsid w:val="007A6BC5"/>
    <w:rsid w:val="007A6CE6"/>
    <w:rsid w:val="007A6CEF"/>
    <w:rsid w:val="007A6D0C"/>
    <w:rsid w:val="007A6D5E"/>
    <w:rsid w:val="007A6E3A"/>
    <w:rsid w:val="007A6EAB"/>
    <w:rsid w:val="007A6F22"/>
    <w:rsid w:val="007A6F2F"/>
    <w:rsid w:val="007A6F3B"/>
    <w:rsid w:val="007A7037"/>
    <w:rsid w:val="007A7099"/>
    <w:rsid w:val="007A7135"/>
    <w:rsid w:val="007A71FC"/>
    <w:rsid w:val="007A72B7"/>
    <w:rsid w:val="007A7453"/>
    <w:rsid w:val="007A749C"/>
    <w:rsid w:val="007A760C"/>
    <w:rsid w:val="007A763F"/>
    <w:rsid w:val="007A769D"/>
    <w:rsid w:val="007A7712"/>
    <w:rsid w:val="007A7761"/>
    <w:rsid w:val="007A77C0"/>
    <w:rsid w:val="007A780C"/>
    <w:rsid w:val="007A7887"/>
    <w:rsid w:val="007A7896"/>
    <w:rsid w:val="007A78A6"/>
    <w:rsid w:val="007A7978"/>
    <w:rsid w:val="007A79DB"/>
    <w:rsid w:val="007A7AE4"/>
    <w:rsid w:val="007A7BED"/>
    <w:rsid w:val="007A7BF8"/>
    <w:rsid w:val="007A7FE5"/>
    <w:rsid w:val="007B0056"/>
    <w:rsid w:val="007B005C"/>
    <w:rsid w:val="007B0250"/>
    <w:rsid w:val="007B02AB"/>
    <w:rsid w:val="007B030F"/>
    <w:rsid w:val="007B0382"/>
    <w:rsid w:val="007B0387"/>
    <w:rsid w:val="007B0473"/>
    <w:rsid w:val="007B07B7"/>
    <w:rsid w:val="007B09AB"/>
    <w:rsid w:val="007B09D2"/>
    <w:rsid w:val="007B0A3C"/>
    <w:rsid w:val="007B0B12"/>
    <w:rsid w:val="007B0BA0"/>
    <w:rsid w:val="007B0CAB"/>
    <w:rsid w:val="007B0D40"/>
    <w:rsid w:val="007B0E84"/>
    <w:rsid w:val="007B0E8B"/>
    <w:rsid w:val="007B0E95"/>
    <w:rsid w:val="007B0ED4"/>
    <w:rsid w:val="007B0F05"/>
    <w:rsid w:val="007B0FBE"/>
    <w:rsid w:val="007B10C4"/>
    <w:rsid w:val="007B110E"/>
    <w:rsid w:val="007B1126"/>
    <w:rsid w:val="007B1384"/>
    <w:rsid w:val="007B13E0"/>
    <w:rsid w:val="007B13EA"/>
    <w:rsid w:val="007B1447"/>
    <w:rsid w:val="007B1655"/>
    <w:rsid w:val="007B17FD"/>
    <w:rsid w:val="007B1894"/>
    <w:rsid w:val="007B1898"/>
    <w:rsid w:val="007B18B7"/>
    <w:rsid w:val="007B1ACD"/>
    <w:rsid w:val="007B1B7D"/>
    <w:rsid w:val="007B1C4D"/>
    <w:rsid w:val="007B1D7A"/>
    <w:rsid w:val="007B1E8F"/>
    <w:rsid w:val="007B1FEE"/>
    <w:rsid w:val="007B2014"/>
    <w:rsid w:val="007B210D"/>
    <w:rsid w:val="007B2198"/>
    <w:rsid w:val="007B22D5"/>
    <w:rsid w:val="007B2316"/>
    <w:rsid w:val="007B234C"/>
    <w:rsid w:val="007B2387"/>
    <w:rsid w:val="007B24BD"/>
    <w:rsid w:val="007B2817"/>
    <w:rsid w:val="007B2A4D"/>
    <w:rsid w:val="007B2AB6"/>
    <w:rsid w:val="007B2B04"/>
    <w:rsid w:val="007B2C10"/>
    <w:rsid w:val="007B2C76"/>
    <w:rsid w:val="007B2C90"/>
    <w:rsid w:val="007B2CF0"/>
    <w:rsid w:val="007B2D7D"/>
    <w:rsid w:val="007B2DD1"/>
    <w:rsid w:val="007B2E35"/>
    <w:rsid w:val="007B2EAD"/>
    <w:rsid w:val="007B2EC8"/>
    <w:rsid w:val="007B2EE9"/>
    <w:rsid w:val="007B305C"/>
    <w:rsid w:val="007B3650"/>
    <w:rsid w:val="007B37E8"/>
    <w:rsid w:val="007B38E8"/>
    <w:rsid w:val="007B3BAF"/>
    <w:rsid w:val="007B3C2C"/>
    <w:rsid w:val="007B3C6E"/>
    <w:rsid w:val="007B3DE9"/>
    <w:rsid w:val="007B3DFB"/>
    <w:rsid w:val="007B3E74"/>
    <w:rsid w:val="007B3F6D"/>
    <w:rsid w:val="007B421D"/>
    <w:rsid w:val="007B4390"/>
    <w:rsid w:val="007B45D6"/>
    <w:rsid w:val="007B45D7"/>
    <w:rsid w:val="007B463C"/>
    <w:rsid w:val="007B4838"/>
    <w:rsid w:val="007B485E"/>
    <w:rsid w:val="007B4893"/>
    <w:rsid w:val="007B497F"/>
    <w:rsid w:val="007B49F4"/>
    <w:rsid w:val="007B4C8C"/>
    <w:rsid w:val="007B4E98"/>
    <w:rsid w:val="007B4EFA"/>
    <w:rsid w:val="007B4EFB"/>
    <w:rsid w:val="007B4F4E"/>
    <w:rsid w:val="007B4F66"/>
    <w:rsid w:val="007B4FCD"/>
    <w:rsid w:val="007B4FE3"/>
    <w:rsid w:val="007B5167"/>
    <w:rsid w:val="007B522C"/>
    <w:rsid w:val="007B530C"/>
    <w:rsid w:val="007B5402"/>
    <w:rsid w:val="007B540E"/>
    <w:rsid w:val="007B57E7"/>
    <w:rsid w:val="007B588F"/>
    <w:rsid w:val="007B5BB5"/>
    <w:rsid w:val="007B5C59"/>
    <w:rsid w:val="007B5E6F"/>
    <w:rsid w:val="007B5EB5"/>
    <w:rsid w:val="007B5F5A"/>
    <w:rsid w:val="007B608B"/>
    <w:rsid w:val="007B6183"/>
    <w:rsid w:val="007B6300"/>
    <w:rsid w:val="007B634B"/>
    <w:rsid w:val="007B643B"/>
    <w:rsid w:val="007B65B1"/>
    <w:rsid w:val="007B65C8"/>
    <w:rsid w:val="007B66D2"/>
    <w:rsid w:val="007B66FA"/>
    <w:rsid w:val="007B67A2"/>
    <w:rsid w:val="007B6896"/>
    <w:rsid w:val="007B69B6"/>
    <w:rsid w:val="007B69DB"/>
    <w:rsid w:val="007B6C8B"/>
    <w:rsid w:val="007B6D05"/>
    <w:rsid w:val="007B6DF2"/>
    <w:rsid w:val="007B6E21"/>
    <w:rsid w:val="007B6EFC"/>
    <w:rsid w:val="007B6F54"/>
    <w:rsid w:val="007B7086"/>
    <w:rsid w:val="007B7175"/>
    <w:rsid w:val="007B722B"/>
    <w:rsid w:val="007B723A"/>
    <w:rsid w:val="007B7438"/>
    <w:rsid w:val="007B7477"/>
    <w:rsid w:val="007B749E"/>
    <w:rsid w:val="007B751E"/>
    <w:rsid w:val="007B75BF"/>
    <w:rsid w:val="007B75C2"/>
    <w:rsid w:val="007B7694"/>
    <w:rsid w:val="007B7802"/>
    <w:rsid w:val="007B78D8"/>
    <w:rsid w:val="007B793F"/>
    <w:rsid w:val="007B7A1A"/>
    <w:rsid w:val="007B7A79"/>
    <w:rsid w:val="007B7D49"/>
    <w:rsid w:val="007B7D95"/>
    <w:rsid w:val="007B7DE8"/>
    <w:rsid w:val="007B7ECB"/>
    <w:rsid w:val="007B7F7B"/>
    <w:rsid w:val="007B7FDC"/>
    <w:rsid w:val="007C0078"/>
    <w:rsid w:val="007C0501"/>
    <w:rsid w:val="007C0604"/>
    <w:rsid w:val="007C0623"/>
    <w:rsid w:val="007C0698"/>
    <w:rsid w:val="007C08DA"/>
    <w:rsid w:val="007C092F"/>
    <w:rsid w:val="007C0AC7"/>
    <w:rsid w:val="007C0B11"/>
    <w:rsid w:val="007C0B41"/>
    <w:rsid w:val="007C0D56"/>
    <w:rsid w:val="007C0F77"/>
    <w:rsid w:val="007C0FD2"/>
    <w:rsid w:val="007C10F6"/>
    <w:rsid w:val="007C111D"/>
    <w:rsid w:val="007C1178"/>
    <w:rsid w:val="007C1183"/>
    <w:rsid w:val="007C1213"/>
    <w:rsid w:val="007C1536"/>
    <w:rsid w:val="007C1555"/>
    <w:rsid w:val="007C167F"/>
    <w:rsid w:val="007C169E"/>
    <w:rsid w:val="007C16A7"/>
    <w:rsid w:val="007C170F"/>
    <w:rsid w:val="007C1716"/>
    <w:rsid w:val="007C181D"/>
    <w:rsid w:val="007C185C"/>
    <w:rsid w:val="007C19F0"/>
    <w:rsid w:val="007C1F9B"/>
    <w:rsid w:val="007C1FC1"/>
    <w:rsid w:val="007C2086"/>
    <w:rsid w:val="007C2160"/>
    <w:rsid w:val="007C220A"/>
    <w:rsid w:val="007C2233"/>
    <w:rsid w:val="007C233C"/>
    <w:rsid w:val="007C23CF"/>
    <w:rsid w:val="007C24B4"/>
    <w:rsid w:val="007C2530"/>
    <w:rsid w:val="007C2559"/>
    <w:rsid w:val="007C2637"/>
    <w:rsid w:val="007C265F"/>
    <w:rsid w:val="007C2715"/>
    <w:rsid w:val="007C281A"/>
    <w:rsid w:val="007C28B2"/>
    <w:rsid w:val="007C29E9"/>
    <w:rsid w:val="007C2A2E"/>
    <w:rsid w:val="007C2A6E"/>
    <w:rsid w:val="007C2AAC"/>
    <w:rsid w:val="007C2EB8"/>
    <w:rsid w:val="007C2EF2"/>
    <w:rsid w:val="007C2F96"/>
    <w:rsid w:val="007C30AF"/>
    <w:rsid w:val="007C30E5"/>
    <w:rsid w:val="007C3120"/>
    <w:rsid w:val="007C320A"/>
    <w:rsid w:val="007C3337"/>
    <w:rsid w:val="007C336C"/>
    <w:rsid w:val="007C3545"/>
    <w:rsid w:val="007C3812"/>
    <w:rsid w:val="007C389F"/>
    <w:rsid w:val="007C38B3"/>
    <w:rsid w:val="007C3983"/>
    <w:rsid w:val="007C3AB7"/>
    <w:rsid w:val="007C3B66"/>
    <w:rsid w:val="007C3DC8"/>
    <w:rsid w:val="007C3DDC"/>
    <w:rsid w:val="007C3E1F"/>
    <w:rsid w:val="007C3ED7"/>
    <w:rsid w:val="007C3F6D"/>
    <w:rsid w:val="007C3FE0"/>
    <w:rsid w:val="007C4078"/>
    <w:rsid w:val="007C41C9"/>
    <w:rsid w:val="007C4323"/>
    <w:rsid w:val="007C4432"/>
    <w:rsid w:val="007C456C"/>
    <w:rsid w:val="007C4635"/>
    <w:rsid w:val="007C465D"/>
    <w:rsid w:val="007C4688"/>
    <w:rsid w:val="007C4725"/>
    <w:rsid w:val="007C4811"/>
    <w:rsid w:val="007C482C"/>
    <w:rsid w:val="007C488C"/>
    <w:rsid w:val="007C4A65"/>
    <w:rsid w:val="007C4C5B"/>
    <w:rsid w:val="007C4EFB"/>
    <w:rsid w:val="007C50B9"/>
    <w:rsid w:val="007C51F3"/>
    <w:rsid w:val="007C5311"/>
    <w:rsid w:val="007C5745"/>
    <w:rsid w:val="007C576B"/>
    <w:rsid w:val="007C5807"/>
    <w:rsid w:val="007C5817"/>
    <w:rsid w:val="007C5A4D"/>
    <w:rsid w:val="007C5AA5"/>
    <w:rsid w:val="007C5C85"/>
    <w:rsid w:val="007C5F03"/>
    <w:rsid w:val="007C5F2C"/>
    <w:rsid w:val="007C5F97"/>
    <w:rsid w:val="007C619C"/>
    <w:rsid w:val="007C6229"/>
    <w:rsid w:val="007C62AC"/>
    <w:rsid w:val="007C6382"/>
    <w:rsid w:val="007C63FB"/>
    <w:rsid w:val="007C645F"/>
    <w:rsid w:val="007C67CA"/>
    <w:rsid w:val="007C6804"/>
    <w:rsid w:val="007C6873"/>
    <w:rsid w:val="007C68D6"/>
    <w:rsid w:val="007C690D"/>
    <w:rsid w:val="007C695B"/>
    <w:rsid w:val="007C6983"/>
    <w:rsid w:val="007C69B8"/>
    <w:rsid w:val="007C6AB6"/>
    <w:rsid w:val="007C6B2E"/>
    <w:rsid w:val="007C6B6A"/>
    <w:rsid w:val="007C6DCF"/>
    <w:rsid w:val="007C6F06"/>
    <w:rsid w:val="007C7098"/>
    <w:rsid w:val="007C71ED"/>
    <w:rsid w:val="007C735D"/>
    <w:rsid w:val="007C73CC"/>
    <w:rsid w:val="007C7545"/>
    <w:rsid w:val="007C7720"/>
    <w:rsid w:val="007C77D2"/>
    <w:rsid w:val="007C7826"/>
    <w:rsid w:val="007C788A"/>
    <w:rsid w:val="007C7899"/>
    <w:rsid w:val="007C7A4A"/>
    <w:rsid w:val="007C7BA5"/>
    <w:rsid w:val="007C7C72"/>
    <w:rsid w:val="007C7D35"/>
    <w:rsid w:val="007C7D86"/>
    <w:rsid w:val="007C7E80"/>
    <w:rsid w:val="007C7EB8"/>
    <w:rsid w:val="007D0035"/>
    <w:rsid w:val="007D012C"/>
    <w:rsid w:val="007D040D"/>
    <w:rsid w:val="007D0528"/>
    <w:rsid w:val="007D0611"/>
    <w:rsid w:val="007D0760"/>
    <w:rsid w:val="007D083E"/>
    <w:rsid w:val="007D0860"/>
    <w:rsid w:val="007D0A75"/>
    <w:rsid w:val="007D0C2E"/>
    <w:rsid w:val="007D0D34"/>
    <w:rsid w:val="007D1025"/>
    <w:rsid w:val="007D10B3"/>
    <w:rsid w:val="007D1160"/>
    <w:rsid w:val="007D12A5"/>
    <w:rsid w:val="007D139C"/>
    <w:rsid w:val="007D13AD"/>
    <w:rsid w:val="007D13CB"/>
    <w:rsid w:val="007D149D"/>
    <w:rsid w:val="007D15D6"/>
    <w:rsid w:val="007D1723"/>
    <w:rsid w:val="007D18EF"/>
    <w:rsid w:val="007D1A18"/>
    <w:rsid w:val="007D1A1D"/>
    <w:rsid w:val="007D1B5C"/>
    <w:rsid w:val="007D1B84"/>
    <w:rsid w:val="007D1BE4"/>
    <w:rsid w:val="007D1BEA"/>
    <w:rsid w:val="007D1C8D"/>
    <w:rsid w:val="007D1CC0"/>
    <w:rsid w:val="007D1DF3"/>
    <w:rsid w:val="007D1E9E"/>
    <w:rsid w:val="007D1F56"/>
    <w:rsid w:val="007D1F8C"/>
    <w:rsid w:val="007D20FC"/>
    <w:rsid w:val="007D21DE"/>
    <w:rsid w:val="007D2387"/>
    <w:rsid w:val="007D2584"/>
    <w:rsid w:val="007D25B9"/>
    <w:rsid w:val="007D2758"/>
    <w:rsid w:val="007D278D"/>
    <w:rsid w:val="007D27AB"/>
    <w:rsid w:val="007D289F"/>
    <w:rsid w:val="007D29C3"/>
    <w:rsid w:val="007D2A3F"/>
    <w:rsid w:val="007D2AFB"/>
    <w:rsid w:val="007D2C11"/>
    <w:rsid w:val="007D2FC9"/>
    <w:rsid w:val="007D301C"/>
    <w:rsid w:val="007D3022"/>
    <w:rsid w:val="007D309B"/>
    <w:rsid w:val="007D30AD"/>
    <w:rsid w:val="007D3189"/>
    <w:rsid w:val="007D3325"/>
    <w:rsid w:val="007D3382"/>
    <w:rsid w:val="007D339B"/>
    <w:rsid w:val="007D33ED"/>
    <w:rsid w:val="007D34B7"/>
    <w:rsid w:val="007D360C"/>
    <w:rsid w:val="007D362D"/>
    <w:rsid w:val="007D36F9"/>
    <w:rsid w:val="007D3732"/>
    <w:rsid w:val="007D373F"/>
    <w:rsid w:val="007D378E"/>
    <w:rsid w:val="007D3872"/>
    <w:rsid w:val="007D3878"/>
    <w:rsid w:val="007D38AE"/>
    <w:rsid w:val="007D39B3"/>
    <w:rsid w:val="007D3B67"/>
    <w:rsid w:val="007D3C7E"/>
    <w:rsid w:val="007D3CC8"/>
    <w:rsid w:val="007D3D5A"/>
    <w:rsid w:val="007D3F10"/>
    <w:rsid w:val="007D4066"/>
    <w:rsid w:val="007D406B"/>
    <w:rsid w:val="007D40FD"/>
    <w:rsid w:val="007D4309"/>
    <w:rsid w:val="007D4338"/>
    <w:rsid w:val="007D4683"/>
    <w:rsid w:val="007D46B6"/>
    <w:rsid w:val="007D47A6"/>
    <w:rsid w:val="007D47B8"/>
    <w:rsid w:val="007D47DB"/>
    <w:rsid w:val="007D4896"/>
    <w:rsid w:val="007D4A66"/>
    <w:rsid w:val="007D4B36"/>
    <w:rsid w:val="007D4CCD"/>
    <w:rsid w:val="007D4E10"/>
    <w:rsid w:val="007D4F32"/>
    <w:rsid w:val="007D4F52"/>
    <w:rsid w:val="007D500A"/>
    <w:rsid w:val="007D5141"/>
    <w:rsid w:val="007D53F9"/>
    <w:rsid w:val="007D54DB"/>
    <w:rsid w:val="007D54E0"/>
    <w:rsid w:val="007D5593"/>
    <w:rsid w:val="007D55C5"/>
    <w:rsid w:val="007D5606"/>
    <w:rsid w:val="007D575D"/>
    <w:rsid w:val="007D578F"/>
    <w:rsid w:val="007D5827"/>
    <w:rsid w:val="007D5A26"/>
    <w:rsid w:val="007D5AC0"/>
    <w:rsid w:val="007D5BF6"/>
    <w:rsid w:val="007D5D6B"/>
    <w:rsid w:val="007D5E44"/>
    <w:rsid w:val="007D5F24"/>
    <w:rsid w:val="007D5F4F"/>
    <w:rsid w:val="007D6028"/>
    <w:rsid w:val="007D6103"/>
    <w:rsid w:val="007D613B"/>
    <w:rsid w:val="007D614A"/>
    <w:rsid w:val="007D6197"/>
    <w:rsid w:val="007D61E7"/>
    <w:rsid w:val="007D6469"/>
    <w:rsid w:val="007D6542"/>
    <w:rsid w:val="007D668D"/>
    <w:rsid w:val="007D6718"/>
    <w:rsid w:val="007D6996"/>
    <w:rsid w:val="007D699D"/>
    <w:rsid w:val="007D6DF3"/>
    <w:rsid w:val="007D6E80"/>
    <w:rsid w:val="007D7043"/>
    <w:rsid w:val="007D7054"/>
    <w:rsid w:val="007D7499"/>
    <w:rsid w:val="007D7549"/>
    <w:rsid w:val="007D75DC"/>
    <w:rsid w:val="007D7839"/>
    <w:rsid w:val="007D7973"/>
    <w:rsid w:val="007D7A9D"/>
    <w:rsid w:val="007D7B4A"/>
    <w:rsid w:val="007D7B4D"/>
    <w:rsid w:val="007D7CD4"/>
    <w:rsid w:val="007D7CE6"/>
    <w:rsid w:val="007D7E81"/>
    <w:rsid w:val="007D7FD5"/>
    <w:rsid w:val="007E0147"/>
    <w:rsid w:val="007E024B"/>
    <w:rsid w:val="007E02BF"/>
    <w:rsid w:val="007E03B6"/>
    <w:rsid w:val="007E0447"/>
    <w:rsid w:val="007E0630"/>
    <w:rsid w:val="007E087C"/>
    <w:rsid w:val="007E089B"/>
    <w:rsid w:val="007E08BC"/>
    <w:rsid w:val="007E08F7"/>
    <w:rsid w:val="007E09E7"/>
    <w:rsid w:val="007E0A0F"/>
    <w:rsid w:val="007E0A5E"/>
    <w:rsid w:val="007E0BAC"/>
    <w:rsid w:val="007E0BBF"/>
    <w:rsid w:val="007E0CB4"/>
    <w:rsid w:val="007E0E52"/>
    <w:rsid w:val="007E1022"/>
    <w:rsid w:val="007E103D"/>
    <w:rsid w:val="007E1173"/>
    <w:rsid w:val="007E1244"/>
    <w:rsid w:val="007E1443"/>
    <w:rsid w:val="007E15AA"/>
    <w:rsid w:val="007E1600"/>
    <w:rsid w:val="007E160A"/>
    <w:rsid w:val="007E167B"/>
    <w:rsid w:val="007E16B4"/>
    <w:rsid w:val="007E16E3"/>
    <w:rsid w:val="007E1731"/>
    <w:rsid w:val="007E1780"/>
    <w:rsid w:val="007E1782"/>
    <w:rsid w:val="007E1B96"/>
    <w:rsid w:val="007E1BD4"/>
    <w:rsid w:val="007E1DC9"/>
    <w:rsid w:val="007E1EBC"/>
    <w:rsid w:val="007E1F35"/>
    <w:rsid w:val="007E1F4E"/>
    <w:rsid w:val="007E1FA6"/>
    <w:rsid w:val="007E1FBD"/>
    <w:rsid w:val="007E20A4"/>
    <w:rsid w:val="007E20C1"/>
    <w:rsid w:val="007E21E0"/>
    <w:rsid w:val="007E21EF"/>
    <w:rsid w:val="007E22A3"/>
    <w:rsid w:val="007E23A7"/>
    <w:rsid w:val="007E2593"/>
    <w:rsid w:val="007E25C7"/>
    <w:rsid w:val="007E2664"/>
    <w:rsid w:val="007E2755"/>
    <w:rsid w:val="007E2885"/>
    <w:rsid w:val="007E2AB4"/>
    <w:rsid w:val="007E2AC4"/>
    <w:rsid w:val="007E2ACA"/>
    <w:rsid w:val="007E2D27"/>
    <w:rsid w:val="007E2DBF"/>
    <w:rsid w:val="007E2ED0"/>
    <w:rsid w:val="007E2ED5"/>
    <w:rsid w:val="007E2F6B"/>
    <w:rsid w:val="007E2FA0"/>
    <w:rsid w:val="007E30E6"/>
    <w:rsid w:val="007E3193"/>
    <w:rsid w:val="007E3216"/>
    <w:rsid w:val="007E3233"/>
    <w:rsid w:val="007E32BD"/>
    <w:rsid w:val="007E338F"/>
    <w:rsid w:val="007E35A4"/>
    <w:rsid w:val="007E38A4"/>
    <w:rsid w:val="007E38FC"/>
    <w:rsid w:val="007E3969"/>
    <w:rsid w:val="007E3A21"/>
    <w:rsid w:val="007E3A93"/>
    <w:rsid w:val="007E3B3C"/>
    <w:rsid w:val="007E3BCF"/>
    <w:rsid w:val="007E3CD6"/>
    <w:rsid w:val="007E3DFB"/>
    <w:rsid w:val="007E3E1E"/>
    <w:rsid w:val="007E3E64"/>
    <w:rsid w:val="007E3FC5"/>
    <w:rsid w:val="007E403E"/>
    <w:rsid w:val="007E4271"/>
    <w:rsid w:val="007E42B4"/>
    <w:rsid w:val="007E4412"/>
    <w:rsid w:val="007E44B7"/>
    <w:rsid w:val="007E46FF"/>
    <w:rsid w:val="007E492A"/>
    <w:rsid w:val="007E499D"/>
    <w:rsid w:val="007E49C1"/>
    <w:rsid w:val="007E49CC"/>
    <w:rsid w:val="007E4A4F"/>
    <w:rsid w:val="007E4D7D"/>
    <w:rsid w:val="007E4E5D"/>
    <w:rsid w:val="007E4EE5"/>
    <w:rsid w:val="007E4F02"/>
    <w:rsid w:val="007E4F86"/>
    <w:rsid w:val="007E4F98"/>
    <w:rsid w:val="007E52BC"/>
    <w:rsid w:val="007E530D"/>
    <w:rsid w:val="007E5343"/>
    <w:rsid w:val="007E54E6"/>
    <w:rsid w:val="007E57AC"/>
    <w:rsid w:val="007E5927"/>
    <w:rsid w:val="007E5A1C"/>
    <w:rsid w:val="007E5A7F"/>
    <w:rsid w:val="007E5AF5"/>
    <w:rsid w:val="007E5B4C"/>
    <w:rsid w:val="007E5D8E"/>
    <w:rsid w:val="007E5FD7"/>
    <w:rsid w:val="007E60C4"/>
    <w:rsid w:val="007E6268"/>
    <w:rsid w:val="007E6277"/>
    <w:rsid w:val="007E62EA"/>
    <w:rsid w:val="007E6397"/>
    <w:rsid w:val="007E6428"/>
    <w:rsid w:val="007E6457"/>
    <w:rsid w:val="007E64B8"/>
    <w:rsid w:val="007E6620"/>
    <w:rsid w:val="007E68D9"/>
    <w:rsid w:val="007E6927"/>
    <w:rsid w:val="007E69F3"/>
    <w:rsid w:val="007E6A0A"/>
    <w:rsid w:val="007E6B36"/>
    <w:rsid w:val="007E6BBF"/>
    <w:rsid w:val="007E6D61"/>
    <w:rsid w:val="007E6EFA"/>
    <w:rsid w:val="007E6FD8"/>
    <w:rsid w:val="007E7027"/>
    <w:rsid w:val="007E7087"/>
    <w:rsid w:val="007E70FC"/>
    <w:rsid w:val="007E7224"/>
    <w:rsid w:val="007E7514"/>
    <w:rsid w:val="007E76FE"/>
    <w:rsid w:val="007E7768"/>
    <w:rsid w:val="007E77C4"/>
    <w:rsid w:val="007E780C"/>
    <w:rsid w:val="007E7931"/>
    <w:rsid w:val="007E798A"/>
    <w:rsid w:val="007E79C8"/>
    <w:rsid w:val="007E7B0A"/>
    <w:rsid w:val="007E7B0B"/>
    <w:rsid w:val="007E7B6D"/>
    <w:rsid w:val="007E7B80"/>
    <w:rsid w:val="007E7BEB"/>
    <w:rsid w:val="007E7C65"/>
    <w:rsid w:val="007E7D38"/>
    <w:rsid w:val="007E7D76"/>
    <w:rsid w:val="007E7DDB"/>
    <w:rsid w:val="007E7F0E"/>
    <w:rsid w:val="007E7FA3"/>
    <w:rsid w:val="007F02C3"/>
    <w:rsid w:val="007F03D3"/>
    <w:rsid w:val="007F0465"/>
    <w:rsid w:val="007F04C5"/>
    <w:rsid w:val="007F053B"/>
    <w:rsid w:val="007F064B"/>
    <w:rsid w:val="007F0688"/>
    <w:rsid w:val="007F06D1"/>
    <w:rsid w:val="007F0895"/>
    <w:rsid w:val="007F08C5"/>
    <w:rsid w:val="007F0952"/>
    <w:rsid w:val="007F0B9A"/>
    <w:rsid w:val="007F0BE8"/>
    <w:rsid w:val="007F0D65"/>
    <w:rsid w:val="007F0EF4"/>
    <w:rsid w:val="007F0F19"/>
    <w:rsid w:val="007F0F3A"/>
    <w:rsid w:val="007F0FF1"/>
    <w:rsid w:val="007F11FA"/>
    <w:rsid w:val="007F1322"/>
    <w:rsid w:val="007F15B6"/>
    <w:rsid w:val="007F16A9"/>
    <w:rsid w:val="007F16DB"/>
    <w:rsid w:val="007F1727"/>
    <w:rsid w:val="007F1762"/>
    <w:rsid w:val="007F180F"/>
    <w:rsid w:val="007F1893"/>
    <w:rsid w:val="007F1930"/>
    <w:rsid w:val="007F1AE6"/>
    <w:rsid w:val="007F1B10"/>
    <w:rsid w:val="007F1B51"/>
    <w:rsid w:val="007F1CAC"/>
    <w:rsid w:val="007F1D8A"/>
    <w:rsid w:val="007F1ECE"/>
    <w:rsid w:val="007F1EE8"/>
    <w:rsid w:val="007F2035"/>
    <w:rsid w:val="007F20D0"/>
    <w:rsid w:val="007F212E"/>
    <w:rsid w:val="007F2188"/>
    <w:rsid w:val="007F222E"/>
    <w:rsid w:val="007F2288"/>
    <w:rsid w:val="007F22D4"/>
    <w:rsid w:val="007F233D"/>
    <w:rsid w:val="007F2385"/>
    <w:rsid w:val="007F23CA"/>
    <w:rsid w:val="007F23F8"/>
    <w:rsid w:val="007F2735"/>
    <w:rsid w:val="007F2A10"/>
    <w:rsid w:val="007F2A68"/>
    <w:rsid w:val="007F2AE8"/>
    <w:rsid w:val="007F2BB5"/>
    <w:rsid w:val="007F2BE6"/>
    <w:rsid w:val="007F2C21"/>
    <w:rsid w:val="007F2C72"/>
    <w:rsid w:val="007F2F3E"/>
    <w:rsid w:val="007F2FB1"/>
    <w:rsid w:val="007F306A"/>
    <w:rsid w:val="007F309A"/>
    <w:rsid w:val="007F328D"/>
    <w:rsid w:val="007F33EC"/>
    <w:rsid w:val="007F3569"/>
    <w:rsid w:val="007F3690"/>
    <w:rsid w:val="007F390A"/>
    <w:rsid w:val="007F39A9"/>
    <w:rsid w:val="007F39D7"/>
    <w:rsid w:val="007F3B0E"/>
    <w:rsid w:val="007F3B97"/>
    <w:rsid w:val="007F3BD1"/>
    <w:rsid w:val="007F3C3B"/>
    <w:rsid w:val="007F3C53"/>
    <w:rsid w:val="007F3D2F"/>
    <w:rsid w:val="007F3E67"/>
    <w:rsid w:val="007F3F69"/>
    <w:rsid w:val="007F4043"/>
    <w:rsid w:val="007F419C"/>
    <w:rsid w:val="007F433F"/>
    <w:rsid w:val="007F444F"/>
    <w:rsid w:val="007F44CE"/>
    <w:rsid w:val="007F46F8"/>
    <w:rsid w:val="007F4B5A"/>
    <w:rsid w:val="007F4BB8"/>
    <w:rsid w:val="007F4D29"/>
    <w:rsid w:val="007F4D46"/>
    <w:rsid w:val="007F4EF1"/>
    <w:rsid w:val="007F4FFB"/>
    <w:rsid w:val="007F5134"/>
    <w:rsid w:val="007F51AA"/>
    <w:rsid w:val="007F51D8"/>
    <w:rsid w:val="007F5257"/>
    <w:rsid w:val="007F5333"/>
    <w:rsid w:val="007F5457"/>
    <w:rsid w:val="007F54EA"/>
    <w:rsid w:val="007F5570"/>
    <w:rsid w:val="007F5652"/>
    <w:rsid w:val="007F5679"/>
    <w:rsid w:val="007F5787"/>
    <w:rsid w:val="007F583B"/>
    <w:rsid w:val="007F59B4"/>
    <w:rsid w:val="007F59BD"/>
    <w:rsid w:val="007F5AFB"/>
    <w:rsid w:val="007F5BB4"/>
    <w:rsid w:val="007F5CDF"/>
    <w:rsid w:val="007F5E67"/>
    <w:rsid w:val="007F6113"/>
    <w:rsid w:val="007F618B"/>
    <w:rsid w:val="007F6234"/>
    <w:rsid w:val="007F62D5"/>
    <w:rsid w:val="007F62DF"/>
    <w:rsid w:val="007F634E"/>
    <w:rsid w:val="007F63F0"/>
    <w:rsid w:val="007F6403"/>
    <w:rsid w:val="007F6434"/>
    <w:rsid w:val="007F6531"/>
    <w:rsid w:val="007F6610"/>
    <w:rsid w:val="007F6624"/>
    <w:rsid w:val="007F6631"/>
    <w:rsid w:val="007F67F3"/>
    <w:rsid w:val="007F6824"/>
    <w:rsid w:val="007F6962"/>
    <w:rsid w:val="007F69DA"/>
    <w:rsid w:val="007F6DBF"/>
    <w:rsid w:val="007F6DDF"/>
    <w:rsid w:val="007F6E95"/>
    <w:rsid w:val="007F6F94"/>
    <w:rsid w:val="007F703B"/>
    <w:rsid w:val="007F7463"/>
    <w:rsid w:val="007F755C"/>
    <w:rsid w:val="007F765D"/>
    <w:rsid w:val="007F794E"/>
    <w:rsid w:val="007F7A6C"/>
    <w:rsid w:val="007F7A70"/>
    <w:rsid w:val="007F7B5E"/>
    <w:rsid w:val="007F7BA6"/>
    <w:rsid w:val="007F7BC5"/>
    <w:rsid w:val="007F7CB0"/>
    <w:rsid w:val="007F7D2D"/>
    <w:rsid w:val="007F7D93"/>
    <w:rsid w:val="007F7E2D"/>
    <w:rsid w:val="007F7EBF"/>
    <w:rsid w:val="007F7ECE"/>
    <w:rsid w:val="007F7EE2"/>
    <w:rsid w:val="007F7F54"/>
    <w:rsid w:val="007F7FA4"/>
    <w:rsid w:val="008001DB"/>
    <w:rsid w:val="0080022C"/>
    <w:rsid w:val="0080044A"/>
    <w:rsid w:val="00800522"/>
    <w:rsid w:val="008005FC"/>
    <w:rsid w:val="0080067C"/>
    <w:rsid w:val="008006E6"/>
    <w:rsid w:val="0080078F"/>
    <w:rsid w:val="00800792"/>
    <w:rsid w:val="0080079B"/>
    <w:rsid w:val="0080081A"/>
    <w:rsid w:val="0080097E"/>
    <w:rsid w:val="008009D1"/>
    <w:rsid w:val="008009DA"/>
    <w:rsid w:val="00800A07"/>
    <w:rsid w:val="00800A27"/>
    <w:rsid w:val="00800B74"/>
    <w:rsid w:val="00800C31"/>
    <w:rsid w:val="00800DF3"/>
    <w:rsid w:val="00800E76"/>
    <w:rsid w:val="00800E83"/>
    <w:rsid w:val="00800F98"/>
    <w:rsid w:val="008010F7"/>
    <w:rsid w:val="0080110C"/>
    <w:rsid w:val="00801406"/>
    <w:rsid w:val="0080141F"/>
    <w:rsid w:val="00801889"/>
    <w:rsid w:val="00801A82"/>
    <w:rsid w:val="00801B63"/>
    <w:rsid w:val="00801E50"/>
    <w:rsid w:val="00801F10"/>
    <w:rsid w:val="00802011"/>
    <w:rsid w:val="00802055"/>
    <w:rsid w:val="0080205E"/>
    <w:rsid w:val="008020A3"/>
    <w:rsid w:val="00802177"/>
    <w:rsid w:val="0080217E"/>
    <w:rsid w:val="008021D6"/>
    <w:rsid w:val="00802215"/>
    <w:rsid w:val="0080222F"/>
    <w:rsid w:val="00802310"/>
    <w:rsid w:val="00802368"/>
    <w:rsid w:val="008023CA"/>
    <w:rsid w:val="008023EA"/>
    <w:rsid w:val="0080240A"/>
    <w:rsid w:val="0080247F"/>
    <w:rsid w:val="008024BA"/>
    <w:rsid w:val="008025CF"/>
    <w:rsid w:val="008025E2"/>
    <w:rsid w:val="008026EA"/>
    <w:rsid w:val="00802A67"/>
    <w:rsid w:val="00802B52"/>
    <w:rsid w:val="00802C27"/>
    <w:rsid w:val="00802C59"/>
    <w:rsid w:val="00802D85"/>
    <w:rsid w:val="00802D88"/>
    <w:rsid w:val="00802E39"/>
    <w:rsid w:val="00802E6D"/>
    <w:rsid w:val="00802F58"/>
    <w:rsid w:val="00802FD7"/>
    <w:rsid w:val="00803179"/>
    <w:rsid w:val="0080332F"/>
    <w:rsid w:val="00803460"/>
    <w:rsid w:val="008034B6"/>
    <w:rsid w:val="0080355A"/>
    <w:rsid w:val="0080362E"/>
    <w:rsid w:val="008036A7"/>
    <w:rsid w:val="008037BC"/>
    <w:rsid w:val="008037EC"/>
    <w:rsid w:val="00803975"/>
    <w:rsid w:val="0080398F"/>
    <w:rsid w:val="00803A26"/>
    <w:rsid w:val="00803D3C"/>
    <w:rsid w:val="00803D84"/>
    <w:rsid w:val="00803E84"/>
    <w:rsid w:val="00803ED0"/>
    <w:rsid w:val="008041CA"/>
    <w:rsid w:val="008042A8"/>
    <w:rsid w:val="008042F8"/>
    <w:rsid w:val="00804307"/>
    <w:rsid w:val="00804402"/>
    <w:rsid w:val="0080443A"/>
    <w:rsid w:val="0080444B"/>
    <w:rsid w:val="00804770"/>
    <w:rsid w:val="008047B9"/>
    <w:rsid w:val="00804801"/>
    <w:rsid w:val="00804A16"/>
    <w:rsid w:val="00804A74"/>
    <w:rsid w:val="00804B2A"/>
    <w:rsid w:val="00804B85"/>
    <w:rsid w:val="00804E72"/>
    <w:rsid w:val="00804F6A"/>
    <w:rsid w:val="00804F90"/>
    <w:rsid w:val="008050A9"/>
    <w:rsid w:val="00805266"/>
    <w:rsid w:val="00805315"/>
    <w:rsid w:val="0080537A"/>
    <w:rsid w:val="00805420"/>
    <w:rsid w:val="008054E0"/>
    <w:rsid w:val="00805546"/>
    <w:rsid w:val="008055F3"/>
    <w:rsid w:val="008056A3"/>
    <w:rsid w:val="008057CB"/>
    <w:rsid w:val="0080582A"/>
    <w:rsid w:val="00805881"/>
    <w:rsid w:val="00805989"/>
    <w:rsid w:val="00805A99"/>
    <w:rsid w:val="00805C6D"/>
    <w:rsid w:val="00805C72"/>
    <w:rsid w:val="00805CA3"/>
    <w:rsid w:val="00805D16"/>
    <w:rsid w:val="00805D3E"/>
    <w:rsid w:val="00805E62"/>
    <w:rsid w:val="00805F2B"/>
    <w:rsid w:val="00805F57"/>
    <w:rsid w:val="00805FDC"/>
    <w:rsid w:val="00806081"/>
    <w:rsid w:val="008060BD"/>
    <w:rsid w:val="008060F9"/>
    <w:rsid w:val="008061B7"/>
    <w:rsid w:val="00806357"/>
    <w:rsid w:val="008063AC"/>
    <w:rsid w:val="00806477"/>
    <w:rsid w:val="0080647C"/>
    <w:rsid w:val="0080665F"/>
    <w:rsid w:val="0080671E"/>
    <w:rsid w:val="00806897"/>
    <w:rsid w:val="00806B4A"/>
    <w:rsid w:val="00806BFF"/>
    <w:rsid w:val="00806F0C"/>
    <w:rsid w:val="00806FF7"/>
    <w:rsid w:val="008070BF"/>
    <w:rsid w:val="00807159"/>
    <w:rsid w:val="00807329"/>
    <w:rsid w:val="0080738D"/>
    <w:rsid w:val="0080744E"/>
    <w:rsid w:val="00807791"/>
    <w:rsid w:val="00807AD6"/>
    <w:rsid w:val="00807BD7"/>
    <w:rsid w:val="00807CF7"/>
    <w:rsid w:val="00807DD7"/>
    <w:rsid w:val="00807DD9"/>
    <w:rsid w:val="00807E6B"/>
    <w:rsid w:val="00807E87"/>
    <w:rsid w:val="00807F9B"/>
    <w:rsid w:val="00807FC1"/>
    <w:rsid w:val="0081002B"/>
    <w:rsid w:val="008100E1"/>
    <w:rsid w:val="008100E6"/>
    <w:rsid w:val="0081028C"/>
    <w:rsid w:val="00810568"/>
    <w:rsid w:val="0081059D"/>
    <w:rsid w:val="008105EA"/>
    <w:rsid w:val="00810623"/>
    <w:rsid w:val="00810707"/>
    <w:rsid w:val="008107CF"/>
    <w:rsid w:val="0081095C"/>
    <w:rsid w:val="00810A00"/>
    <w:rsid w:val="00810BDF"/>
    <w:rsid w:val="00810D5A"/>
    <w:rsid w:val="00810E7B"/>
    <w:rsid w:val="00810F5A"/>
    <w:rsid w:val="00811262"/>
    <w:rsid w:val="0081151A"/>
    <w:rsid w:val="0081162D"/>
    <w:rsid w:val="0081171E"/>
    <w:rsid w:val="0081180A"/>
    <w:rsid w:val="0081180F"/>
    <w:rsid w:val="00811880"/>
    <w:rsid w:val="00811B1F"/>
    <w:rsid w:val="00811BDE"/>
    <w:rsid w:val="00811C04"/>
    <w:rsid w:val="00811EA8"/>
    <w:rsid w:val="00811ED4"/>
    <w:rsid w:val="00811F76"/>
    <w:rsid w:val="00812119"/>
    <w:rsid w:val="00812127"/>
    <w:rsid w:val="00812130"/>
    <w:rsid w:val="008122BF"/>
    <w:rsid w:val="00812363"/>
    <w:rsid w:val="008123E9"/>
    <w:rsid w:val="0081247E"/>
    <w:rsid w:val="00812499"/>
    <w:rsid w:val="00812514"/>
    <w:rsid w:val="0081252B"/>
    <w:rsid w:val="00812563"/>
    <w:rsid w:val="00812706"/>
    <w:rsid w:val="0081284E"/>
    <w:rsid w:val="00812CF7"/>
    <w:rsid w:val="00812E31"/>
    <w:rsid w:val="00812E37"/>
    <w:rsid w:val="00812E94"/>
    <w:rsid w:val="00812F20"/>
    <w:rsid w:val="00812F2D"/>
    <w:rsid w:val="00812FA9"/>
    <w:rsid w:val="00812FB1"/>
    <w:rsid w:val="00813175"/>
    <w:rsid w:val="00813194"/>
    <w:rsid w:val="008131A9"/>
    <w:rsid w:val="0081327F"/>
    <w:rsid w:val="008133A4"/>
    <w:rsid w:val="008133BF"/>
    <w:rsid w:val="008134FD"/>
    <w:rsid w:val="00813565"/>
    <w:rsid w:val="008135C8"/>
    <w:rsid w:val="008135C9"/>
    <w:rsid w:val="00813739"/>
    <w:rsid w:val="00813B70"/>
    <w:rsid w:val="00813C0C"/>
    <w:rsid w:val="00813C39"/>
    <w:rsid w:val="00813C42"/>
    <w:rsid w:val="00813EC7"/>
    <w:rsid w:val="00814216"/>
    <w:rsid w:val="008142E9"/>
    <w:rsid w:val="008144EA"/>
    <w:rsid w:val="008145E6"/>
    <w:rsid w:val="0081468D"/>
    <w:rsid w:val="008146E5"/>
    <w:rsid w:val="00814979"/>
    <w:rsid w:val="00814A91"/>
    <w:rsid w:val="00814EE5"/>
    <w:rsid w:val="00814FFF"/>
    <w:rsid w:val="008150A6"/>
    <w:rsid w:val="008150EE"/>
    <w:rsid w:val="00815166"/>
    <w:rsid w:val="00815293"/>
    <w:rsid w:val="0081533E"/>
    <w:rsid w:val="00815443"/>
    <w:rsid w:val="008154DF"/>
    <w:rsid w:val="008155FC"/>
    <w:rsid w:val="00815687"/>
    <w:rsid w:val="008156C6"/>
    <w:rsid w:val="008156DA"/>
    <w:rsid w:val="0081580E"/>
    <w:rsid w:val="0081598A"/>
    <w:rsid w:val="008159B5"/>
    <w:rsid w:val="00815D7F"/>
    <w:rsid w:val="00815E81"/>
    <w:rsid w:val="00815EBE"/>
    <w:rsid w:val="00815F90"/>
    <w:rsid w:val="00816112"/>
    <w:rsid w:val="00816192"/>
    <w:rsid w:val="00816201"/>
    <w:rsid w:val="00816237"/>
    <w:rsid w:val="0081649C"/>
    <w:rsid w:val="008164DB"/>
    <w:rsid w:val="008164F8"/>
    <w:rsid w:val="008167D5"/>
    <w:rsid w:val="00816895"/>
    <w:rsid w:val="00816A31"/>
    <w:rsid w:val="00816B14"/>
    <w:rsid w:val="00816B8D"/>
    <w:rsid w:val="00816BC7"/>
    <w:rsid w:val="00816CAA"/>
    <w:rsid w:val="00816CE4"/>
    <w:rsid w:val="00816D91"/>
    <w:rsid w:val="00816ECC"/>
    <w:rsid w:val="00817002"/>
    <w:rsid w:val="00817015"/>
    <w:rsid w:val="00817090"/>
    <w:rsid w:val="008171FB"/>
    <w:rsid w:val="008172FE"/>
    <w:rsid w:val="0081730F"/>
    <w:rsid w:val="00817341"/>
    <w:rsid w:val="0081737C"/>
    <w:rsid w:val="008173EF"/>
    <w:rsid w:val="00817518"/>
    <w:rsid w:val="00817602"/>
    <w:rsid w:val="0081764D"/>
    <w:rsid w:val="008176EC"/>
    <w:rsid w:val="00817770"/>
    <w:rsid w:val="00817A63"/>
    <w:rsid w:val="00817ADD"/>
    <w:rsid w:val="00817CAE"/>
    <w:rsid w:val="00817CAF"/>
    <w:rsid w:val="00817DC2"/>
    <w:rsid w:val="00817DEA"/>
    <w:rsid w:val="00817EF1"/>
    <w:rsid w:val="00817F71"/>
    <w:rsid w:val="00817FD7"/>
    <w:rsid w:val="00820022"/>
    <w:rsid w:val="00820174"/>
    <w:rsid w:val="008201B3"/>
    <w:rsid w:val="0082033D"/>
    <w:rsid w:val="008203FB"/>
    <w:rsid w:val="008204B4"/>
    <w:rsid w:val="00820885"/>
    <w:rsid w:val="008208A9"/>
    <w:rsid w:val="00820A65"/>
    <w:rsid w:val="00820B4E"/>
    <w:rsid w:val="00820BA1"/>
    <w:rsid w:val="00820CE8"/>
    <w:rsid w:val="00820D58"/>
    <w:rsid w:val="00820E98"/>
    <w:rsid w:val="00820EDC"/>
    <w:rsid w:val="00821013"/>
    <w:rsid w:val="0082106E"/>
    <w:rsid w:val="008211C9"/>
    <w:rsid w:val="0082124B"/>
    <w:rsid w:val="008212F9"/>
    <w:rsid w:val="0082131D"/>
    <w:rsid w:val="00821385"/>
    <w:rsid w:val="008213A8"/>
    <w:rsid w:val="008213CE"/>
    <w:rsid w:val="00821559"/>
    <w:rsid w:val="008215C8"/>
    <w:rsid w:val="008217E5"/>
    <w:rsid w:val="008217E6"/>
    <w:rsid w:val="008217E7"/>
    <w:rsid w:val="0082185C"/>
    <w:rsid w:val="0082196D"/>
    <w:rsid w:val="00821A1C"/>
    <w:rsid w:val="00821C6A"/>
    <w:rsid w:val="00821CA1"/>
    <w:rsid w:val="00821D6E"/>
    <w:rsid w:val="00821DE2"/>
    <w:rsid w:val="00821E92"/>
    <w:rsid w:val="0082219E"/>
    <w:rsid w:val="008223A6"/>
    <w:rsid w:val="00822505"/>
    <w:rsid w:val="00822533"/>
    <w:rsid w:val="008228CF"/>
    <w:rsid w:val="008229B6"/>
    <w:rsid w:val="00822A30"/>
    <w:rsid w:val="00822A95"/>
    <w:rsid w:val="00822AA0"/>
    <w:rsid w:val="00822AE4"/>
    <w:rsid w:val="00822C64"/>
    <w:rsid w:val="00822CD5"/>
    <w:rsid w:val="00822D61"/>
    <w:rsid w:val="00822E5B"/>
    <w:rsid w:val="00822FAB"/>
    <w:rsid w:val="00823111"/>
    <w:rsid w:val="00823135"/>
    <w:rsid w:val="00823221"/>
    <w:rsid w:val="00823390"/>
    <w:rsid w:val="008234AF"/>
    <w:rsid w:val="008235C9"/>
    <w:rsid w:val="008239BE"/>
    <w:rsid w:val="00823A06"/>
    <w:rsid w:val="00823A0F"/>
    <w:rsid w:val="00823A30"/>
    <w:rsid w:val="00823A94"/>
    <w:rsid w:val="00823AE3"/>
    <w:rsid w:val="00823B53"/>
    <w:rsid w:val="00823C8C"/>
    <w:rsid w:val="00823DCF"/>
    <w:rsid w:val="00823F36"/>
    <w:rsid w:val="00823F8D"/>
    <w:rsid w:val="00824034"/>
    <w:rsid w:val="00824138"/>
    <w:rsid w:val="008241C4"/>
    <w:rsid w:val="00824396"/>
    <w:rsid w:val="008243B1"/>
    <w:rsid w:val="00824498"/>
    <w:rsid w:val="008244FC"/>
    <w:rsid w:val="00824810"/>
    <w:rsid w:val="008248A8"/>
    <w:rsid w:val="008249AC"/>
    <w:rsid w:val="008249CB"/>
    <w:rsid w:val="00824AE9"/>
    <w:rsid w:val="00824AF4"/>
    <w:rsid w:val="00824B21"/>
    <w:rsid w:val="00824B4B"/>
    <w:rsid w:val="00824B8C"/>
    <w:rsid w:val="00824BAA"/>
    <w:rsid w:val="00824CF9"/>
    <w:rsid w:val="00824D10"/>
    <w:rsid w:val="00824D51"/>
    <w:rsid w:val="00824E25"/>
    <w:rsid w:val="0082515E"/>
    <w:rsid w:val="00825324"/>
    <w:rsid w:val="00825500"/>
    <w:rsid w:val="0082564E"/>
    <w:rsid w:val="008256C8"/>
    <w:rsid w:val="0082571D"/>
    <w:rsid w:val="008257E2"/>
    <w:rsid w:val="00825866"/>
    <w:rsid w:val="00825A36"/>
    <w:rsid w:val="00825B1A"/>
    <w:rsid w:val="00825B88"/>
    <w:rsid w:val="00825C7F"/>
    <w:rsid w:val="00825D96"/>
    <w:rsid w:val="00825F5C"/>
    <w:rsid w:val="008260ED"/>
    <w:rsid w:val="008260F5"/>
    <w:rsid w:val="00826135"/>
    <w:rsid w:val="008263E5"/>
    <w:rsid w:val="0082662B"/>
    <w:rsid w:val="00826639"/>
    <w:rsid w:val="0082663A"/>
    <w:rsid w:val="00826700"/>
    <w:rsid w:val="00826800"/>
    <w:rsid w:val="00826941"/>
    <w:rsid w:val="00826B17"/>
    <w:rsid w:val="00826B76"/>
    <w:rsid w:val="00826C5D"/>
    <w:rsid w:val="00826CE7"/>
    <w:rsid w:val="00826E43"/>
    <w:rsid w:val="00826E79"/>
    <w:rsid w:val="0082703B"/>
    <w:rsid w:val="00827134"/>
    <w:rsid w:val="0082716C"/>
    <w:rsid w:val="00827187"/>
    <w:rsid w:val="008271F0"/>
    <w:rsid w:val="00827245"/>
    <w:rsid w:val="0082732F"/>
    <w:rsid w:val="00827381"/>
    <w:rsid w:val="008273DC"/>
    <w:rsid w:val="0082742C"/>
    <w:rsid w:val="008275E0"/>
    <w:rsid w:val="0082763D"/>
    <w:rsid w:val="00827647"/>
    <w:rsid w:val="00827716"/>
    <w:rsid w:val="00827ABF"/>
    <w:rsid w:val="00827D2F"/>
    <w:rsid w:val="00827D9B"/>
    <w:rsid w:val="00827F5F"/>
    <w:rsid w:val="00827F91"/>
    <w:rsid w:val="0083009B"/>
    <w:rsid w:val="008300B5"/>
    <w:rsid w:val="008301ED"/>
    <w:rsid w:val="008301EE"/>
    <w:rsid w:val="00830486"/>
    <w:rsid w:val="0083058A"/>
    <w:rsid w:val="008307A6"/>
    <w:rsid w:val="00830884"/>
    <w:rsid w:val="008308D2"/>
    <w:rsid w:val="008309C8"/>
    <w:rsid w:val="008309E3"/>
    <w:rsid w:val="00830BE6"/>
    <w:rsid w:val="00830CF6"/>
    <w:rsid w:val="00830E4E"/>
    <w:rsid w:val="00830E6C"/>
    <w:rsid w:val="008311D9"/>
    <w:rsid w:val="0083134E"/>
    <w:rsid w:val="008314CF"/>
    <w:rsid w:val="00831663"/>
    <w:rsid w:val="00831944"/>
    <w:rsid w:val="008319B6"/>
    <w:rsid w:val="00831A9B"/>
    <w:rsid w:val="00831AC7"/>
    <w:rsid w:val="00831D07"/>
    <w:rsid w:val="00831DC7"/>
    <w:rsid w:val="00831E13"/>
    <w:rsid w:val="00831E8B"/>
    <w:rsid w:val="00831FC1"/>
    <w:rsid w:val="008320C9"/>
    <w:rsid w:val="008320D8"/>
    <w:rsid w:val="00832131"/>
    <w:rsid w:val="0083247D"/>
    <w:rsid w:val="00832636"/>
    <w:rsid w:val="008327CB"/>
    <w:rsid w:val="00832A13"/>
    <w:rsid w:val="00832A6A"/>
    <w:rsid w:val="00832B09"/>
    <w:rsid w:val="00832B55"/>
    <w:rsid w:val="00832DC4"/>
    <w:rsid w:val="00833037"/>
    <w:rsid w:val="008330DF"/>
    <w:rsid w:val="00833217"/>
    <w:rsid w:val="008332C8"/>
    <w:rsid w:val="0083336A"/>
    <w:rsid w:val="008334FF"/>
    <w:rsid w:val="0083354A"/>
    <w:rsid w:val="008336AF"/>
    <w:rsid w:val="00833761"/>
    <w:rsid w:val="00833949"/>
    <w:rsid w:val="008339B9"/>
    <w:rsid w:val="008339E1"/>
    <w:rsid w:val="008339EF"/>
    <w:rsid w:val="00833E48"/>
    <w:rsid w:val="00833EDE"/>
    <w:rsid w:val="00833F4E"/>
    <w:rsid w:val="0083405B"/>
    <w:rsid w:val="00834106"/>
    <w:rsid w:val="00834195"/>
    <w:rsid w:val="008342C7"/>
    <w:rsid w:val="00834347"/>
    <w:rsid w:val="00834360"/>
    <w:rsid w:val="00834486"/>
    <w:rsid w:val="008344B1"/>
    <w:rsid w:val="008344B9"/>
    <w:rsid w:val="00834691"/>
    <w:rsid w:val="0083484E"/>
    <w:rsid w:val="00834949"/>
    <w:rsid w:val="00834BFB"/>
    <w:rsid w:val="00834C41"/>
    <w:rsid w:val="00834C64"/>
    <w:rsid w:val="00834DA3"/>
    <w:rsid w:val="00834DC2"/>
    <w:rsid w:val="00834ECC"/>
    <w:rsid w:val="00834F29"/>
    <w:rsid w:val="00834F3C"/>
    <w:rsid w:val="0083517F"/>
    <w:rsid w:val="008352C2"/>
    <w:rsid w:val="008352FE"/>
    <w:rsid w:val="00835316"/>
    <w:rsid w:val="0083537F"/>
    <w:rsid w:val="00835458"/>
    <w:rsid w:val="00835498"/>
    <w:rsid w:val="008354F6"/>
    <w:rsid w:val="00835579"/>
    <w:rsid w:val="008355C1"/>
    <w:rsid w:val="00835699"/>
    <w:rsid w:val="00835770"/>
    <w:rsid w:val="0083581F"/>
    <w:rsid w:val="00835846"/>
    <w:rsid w:val="0083584E"/>
    <w:rsid w:val="008359B2"/>
    <w:rsid w:val="00835A06"/>
    <w:rsid w:val="00835A12"/>
    <w:rsid w:val="00835C2B"/>
    <w:rsid w:val="00835CC7"/>
    <w:rsid w:val="00835D43"/>
    <w:rsid w:val="00835EF3"/>
    <w:rsid w:val="00835F1A"/>
    <w:rsid w:val="00835F6B"/>
    <w:rsid w:val="00835FC4"/>
    <w:rsid w:val="00835FC6"/>
    <w:rsid w:val="00835FD9"/>
    <w:rsid w:val="0083607C"/>
    <w:rsid w:val="008360D6"/>
    <w:rsid w:val="0083612F"/>
    <w:rsid w:val="008362EC"/>
    <w:rsid w:val="0083641D"/>
    <w:rsid w:val="00836584"/>
    <w:rsid w:val="008365C3"/>
    <w:rsid w:val="00836600"/>
    <w:rsid w:val="00836624"/>
    <w:rsid w:val="00836865"/>
    <w:rsid w:val="008368F3"/>
    <w:rsid w:val="00836A3D"/>
    <w:rsid w:val="00836AB9"/>
    <w:rsid w:val="00836BC9"/>
    <w:rsid w:val="00836C2D"/>
    <w:rsid w:val="00837119"/>
    <w:rsid w:val="00837306"/>
    <w:rsid w:val="00837384"/>
    <w:rsid w:val="00837475"/>
    <w:rsid w:val="008375F2"/>
    <w:rsid w:val="008376C1"/>
    <w:rsid w:val="008376DE"/>
    <w:rsid w:val="0083784D"/>
    <w:rsid w:val="00837984"/>
    <w:rsid w:val="008379E6"/>
    <w:rsid w:val="00837A4C"/>
    <w:rsid w:val="00837F23"/>
    <w:rsid w:val="00837F2D"/>
    <w:rsid w:val="00837FB2"/>
    <w:rsid w:val="0084005A"/>
    <w:rsid w:val="00840152"/>
    <w:rsid w:val="0084034D"/>
    <w:rsid w:val="00840455"/>
    <w:rsid w:val="00840506"/>
    <w:rsid w:val="00840876"/>
    <w:rsid w:val="008408CD"/>
    <w:rsid w:val="00840AD2"/>
    <w:rsid w:val="00840B29"/>
    <w:rsid w:val="00840BD4"/>
    <w:rsid w:val="00840CD6"/>
    <w:rsid w:val="00840CF8"/>
    <w:rsid w:val="00840D36"/>
    <w:rsid w:val="00840DA8"/>
    <w:rsid w:val="00840DF2"/>
    <w:rsid w:val="00840E23"/>
    <w:rsid w:val="00840E7D"/>
    <w:rsid w:val="008411FC"/>
    <w:rsid w:val="00841362"/>
    <w:rsid w:val="008413CB"/>
    <w:rsid w:val="008413DA"/>
    <w:rsid w:val="00841466"/>
    <w:rsid w:val="00841514"/>
    <w:rsid w:val="008415B5"/>
    <w:rsid w:val="008415CE"/>
    <w:rsid w:val="008415E7"/>
    <w:rsid w:val="008415E8"/>
    <w:rsid w:val="0084163F"/>
    <w:rsid w:val="00841692"/>
    <w:rsid w:val="008416A8"/>
    <w:rsid w:val="00841701"/>
    <w:rsid w:val="0084173C"/>
    <w:rsid w:val="008417B7"/>
    <w:rsid w:val="008417C6"/>
    <w:rsid w:val="008417D7"/>
    <w:rsid w:val="008419C6"/>
    <w:rsid w:val="00841A30"/>
    <w:rsid w:val="00841B8F"/>
    <w:rsid w:val="00841B95"/>
    <w:rsid w:val="00841BEC"/>
    <w:rsid w:val="00841CA0"/>
    <w:rsid w:val="00841CD5"/>
    <w:rsid w:val="00841D7E"/>
    <w:rsid w:val="00841E73"/>
    <w:rsid w:val="00842079"/>
    <w:rsid w:val="00842256"/>
    <w:rsid w:val="0084229E"/>
    <w:rsid w:val="008422B4"/>
    <w:rsid w:val="00842453"/>
    <w:rsid w:val="0084251C"/>
    <w:rsid w:val="008426AE"/>
    <w:rsid w:val="00842711"/>
    <w:rsid w:val="00842778"/>
    <w:rsid w:val="008427D4"/>
    <w:rsid w:val="008427FB"/>
    <w:rsid w:val="0084282F"/>
    <w:rsid w:val="0084287A"/>
    <w:rsid w:val="0084298F"/>
    <w:rsid w:val="008429C3"/>
    <w:rsid w:val="00842BBE"/>
    <w:rsid w:val="00842D40"/>
    <w:rsid w:val="00842E78"/>
    <w:rsid w:val="00842EDE"/>
    <w:rsid w:val="00842F18"/>
    <w:rsid w:val="00842F2A"/>
    <w:rsid w:val="00842FE1"/>
    <w:rsid w:val="00843270"/>
    <w:rsid w:val="0084340A"/>
    <w:rsid w:val="008434A3"/>
    <w:rsid w:val="00843618"/>
    <w:rsid w:val="00843680"/>
    <w:rsid w:val="00843815"/>
    <w:rsid w:val="00843902"/>
    <w:rsid w:val="00843939"/>
    <w:rsid w:val="00843969"/>
    <w:rsid w:val="00843A13"/>
    <w:rsid w:val="00843B35"/>
    <w:rsid w:val="00843B4C"/>
    <w:rsid w:val="00843CE9"/>
    <w:rsid w:val="00843D1F"/>
    <w:rsid w:val="00843E39"/>
    <w:rsid w:val="00843ED6"/>
    <w:rsid w:val="00843F87"/>
    <w:rsid w:val="00843FAD"/>
    <w:rsid w:val="008440CA"/>
    <w:rsid w:val="0084417F"/>
    <w:rsid w:val="0084419E"/>
    <w:rsid w:val="008441AD"/>
    <w:rsid w:val="0084423D"/>
    <w:rsid w:val="00844276"/>
    <w:rsid w:val="008442EA"/>
    <w:rsid w:val="00844391"/>
    <w:rsid w:val="008443D3"/>
    <w:rsid w:val="00844429"/>
    <w:rsid w:val="00844703"/>
    <w:rsid w:val="0084484A"/>
    <w:rsid w:val="00844868"/>
    <w:rsid w:val="0084495D"/>
    <w:rsid w:val="00844974"/>
    <w:rsid w:val="00844A04"/>
    <w:rsid w:val="00844A33"/>
    <w:rsid w:val="00844AE0"/>
    <w:rsid w:val="00844CA8"/>
    <w:rsid w:val="00844D65"/>
    <w:rsid w:val="00844D9B"/>
    <w:rsid w:val="00844DD2"/>
    <w:rsid w:val="00844E43"/>
    <w:rsid w:val="00844F8C"/>
    <w:rsid w:val="00844F9E"/>
    <w:rsid w:val="00844FC9"/>
    <w:rsid w:val="0084504B"/>
    <w:rsid w:val="008451AF"/>
    <w:rsid w:val="00845515"/>
    <w:rsid w:val="00845534"/>
    <w:rsid w:val="0084553E"/>
    <w:rsid w:val="0084554C"/>
    <w:rsid w:val="008456AF"/>
    <w:rsid w:val="008456FC"/>
    <w:rsid w:val="0084580A"/>
    <w:rsid w:val="008458BD"/>
    <w:rsid w:val="00845AD1"/>
    <w:rsid w:val="00845AE7"/>
    <w:rsid w:val="00845BA8"/>
    <w:rsid w:val="00845FE8"/>
    <w:rsid w:val="00846021"/>
    <w:rsid w:val="008461EF"/>
    <w:rsid w:val="00846353"/>
    <w:rsid w:val="008464D2"/>
    <w:rsid w:val="008464F5"/>
    <w:rsid w:val="008465DC"/>
    <w:rsid w:val="00846688"/>
    <w:rsid w:val="008467E1"/>
    <w:rsid w:val="00846817"/>
    <w:rsid w:val="00846863"/>
    <w:rsid w:val="008468BA"/>
    <w:rsid w:val="008468C8"/>
    <w:rsid w:val="00846988"/>
    <w:rsid w:val="00846A1B"/>
    <w:rsid w:val="00846A2B"/>
    <w:rsid w:val="00846A88"/>
    <w:rsid w:val="00846BB6"/>
    <w:rsid w:val="00846EDC"/>
    <w:rsid w:val="00846EED"/>
    <w:rsid w:val="00846F95"/>
    <w:rsid w:val="0084718C"/>
    <w:rsid w:val="0084724D"/>
    <w:rsid w:val="00847364"/>
    <w:rsid w:val="00847548"/>
    <w:rsid w:val="00847600"/>
    <w:rsid w:val="00847626"/>
    <w:rsid w:val="008476CB"/>
    <w:rsid w:val="008477DC"/>
    <w:rsid w:val="008478C9"/>
    <w:rsid w:val="00847954"/>
    <w:rsid w:val="00847993"/>
    <w:rsid w:val="00847A0C"/>
    <w:rsid w:val="00847B13"/>
    <w:rsid w:val="00847BD9"/>
    <w:rsid w:val="00847D86"/>
    <w:rsid w:val="00847E42"/>
    <w:rsid w:val="00847E48"/>
    <w:rsid w:val="00847E6D"/>
    <w:rsid w:val="00847EE0"/>
    <w:rsid w:val="00847F4C"/>
    <w:rsid w:val="0085019A"/>
    <w:rsid w:val="00850265"/>
    <w:rsid w:val="00850297"/>
    <w:rsid w:val="0085036F"/>
    <w:rsid w:val="008503B6"/>
    <w:rsid w:val="008503C7"/>
    <w:rsid w:val="008503DC"/>
    <w:rsid w:val="00850407"/>
    <w:rsid w:val="00850461"/>
    <w:rsid w:val="0085052C"/>
    <w:rsid w:val="008505B7"/>
    <w:rsid w:val="008505FB"/>
    <w:rsid w:val="00850647"/>
    <w:rsid w:val="0085068D"/>
    <w:rsid w:val="00850761"/>
    <w:rsid w:val="00850909"/>
    <w:rsid w:val="008509ED"/>
    <w:rsid w:val="00850A42"/>
    <w:rsid w:val="00850ACA"/>
    <w:rsid w:val="00850CA9"/>
    <w:rsid w:val="00850D02"/>
    <w:rsid w:val="00850DA1"/>
    <w:rsid w:val="00850FB8"/>
    <w:rsid w:val="00851029"/>
    <w:rsid w:val="00851085"/>
    <w:rsid w:val="008510D6"/>
    <w:rsid w:val="0085116B"/>
    <w:rsid w:val="00851285"/>
    <w:rsid w:val="008514F4"/>
    <w:rsid w:val="008515FC"/>
    <w:rsid w:val="00851614"/>
    <w:rsid w:val="008516FF"/>
    <w:rsid w:val="008517B4"/>
    <w:rsid w:val="008518B7"/>
    <w:rsid w:val="00851A0E"/>
    <w:rsid w:val="00851AFA"/>
    <w:rsid w:val="00851C4D"/>
    <w:rsid w:val="00851D41"/>
    <w:rsid w:val="00851D4F"/>
    <w:rsid w:val="00851D57"/>
    <w:rsid w:val="00851DBF"/>
    <w:rsid w:val="00851F7B"/>
    <w:rsid w:val="00851FB6"/>
    <w:rsid w:val="00852006"/>
    <w:rsid w:val="008520BE"/>
    <w:rsid w:val="00852229"/>
    <w:rsid w:val="008523AA"/>
    <w:rsid w:val="00852412"/>
    <w:rsid w:val="00852442"/>
    <w:rsid w:val="00852521"/>
    <w:rsid w:val="008525AB"/>
    <w:rsid w:val="00852643"/>
    <w:rsid w:val="00852689"/>
    <w:rsid w:val="008528C7"/>
    <w:rsid w:val="008529E7"/>
    <w:rsid w:val="00852BC2"/>
    <w:rsid w:val="00852E3B"/>
    <w:rsid w:val="0085301A"/>
    <w:rsid w:val="008530F1"/>
    <w:rsid w:val="00853100"/>
    <w:rsid w:val="00853257"/>
    <w:rsid w:val="00853453"/>
    <w:rsid w:val="00853535"/>
    <w:rsid w:val="00853580"/>
    <w:rsid w:val="008536D8"/>
    <w:rsid w:val="0085370B"/>
    <w:rsid w:val="00853736"/>
    <w:rsid w:val="00853747"/>
    <w:rsid w:val="00853773"/>
    <w:rsid w:val="008537E0"/>
    <w:rsid w:val="0085390F"/>
    <w:rsid w:val="00853974"/>
    <w:rsid w:val="00853AC0"/>
    <w:rsid w:val="00853B9C"/>
    <w:rsid w:val="00853C96"/>
    <w:rsid w:val="00853D61"/>
    <w:rsid w:val="00853DC5"/>
    <w:rsid w:val="008540B3"/>
    <w:rsid w:val="00854153"/>
    <w:rsid w:val="0085433F"/>
    <w:rsid w:val="0085435A"/>
    <w:rsid w:val="008543E7"/>
    <w:rsid w:val="0085442C"/>
    <w:rsid w:val="0085454A"/>
    <w:rsid w:val="00854552"/>
    <w:rsid w:val="00854557"/>
    <w:rsid w:val="008545C5"/>
    <w:rsid w:val="008545E9"/>
    <w:rsid w:val="008546FA"/>
    <w:rsid w:val="00854799"/>
    <w:rsid w:val="0085493D"/>
    <w:rsid w:val="00854E3F"/>
    <w:rsid w:val="00854F90"/>
    <w:rsid w:val="00854FC0"/>
    <w:rsid w:val="00855162"/>
    <w:rsid w:val="008551E1"/>
    <w:rsid w:val="008551E5"/>
    <w:rsid w:val="00855243"/>
    <w:rsid w:val="0085525E"/>
    <w:rsid w:val="008552EE"/>
    <w:rsid w:val="008554C9"/>
    <w:rsid w:val="00855531"/>
    <w:rsid w:val="008556D6"/>
    <w:rsid w:val="00855733"/>
    <w:rsid w:val="00855761"/>
    <w:rsid w:val="008557E8"/>
    <w:rsid w:val="00855822"/>
    <w:rsid w:val="008558AB"/>
    <w:rsid w:val="00855A78"/>
    <w:rsid w:val="00855AD0"/>
    <w:rsid w:val="00855B04"/>
    <w:rsid w:val="00855B05"/>
    <w:rsid w:val="00855C5D"/>
    <w:rsid w:val="00855E68"/>
    <w:rsid w:val="0085620B"/>
    <w:rsid w:val="0085621D"/>
    <w:rsid w:val="008563C9"/>
    <w:rsid w:val="008563F1"/>
    <w:rsid w:val="008565E7"/>
    <w:rsid w:val="00856857"/>
    <w:rsid w:val="008568BA"/>
    <w:rsid w:val="00856936"/>
    <w:rsid w:val="00856965"/>
    <w:rsid w:val="0085698C"/>
    <w:rsid w:val="00856AC5"/>
    <w:rsid w:val="00856D64"/>
    <w:rsid w:val="00856D84"/>
    <w:rsid w:val="00856F6C"/>
    <w:rsid w:val="00857033"/>
    <w:rsid w:val="0085713C"/>
    <w:rsid w:val="00857199"/>
    <w:rsid w:val="008572FA"/>
    <w:rsid w:val="0085730B"/>
    <w:rsid w:val="008573B9"/>
    <w:rsid w:val="008573E5"/>
    <w:rsid w:val="00857448"/>
    <w:rsid w:val="008574A0"/>
    <w:rsid w:val="00857515"/>
    <w:rsid w:val="00857530"/>
    <w:rsid w:val="0085766B"/>
    <w:rsid w:val="00857701"/>
    <w:rsid w:val="00857832"/>
    <w:rsid w:val="0085798E"/>
    <w:rsid w:val="0085799B"/>
    <w:rsid w:val="008579C8"/>
    <w:rsid w:val="00857C41"/>
    <w:rsid w:val="00857E1B"/>
    <w:rsid w:val="00857E49"/>
    <w:rsid w:val="00857F02"/>
    <w:rsid w:val="00857F0F"/>
    <w:rsid w:val="00857F8E"/>
    <w:rsid w:val="00857FA3"/>
    <w:rsid w:val="00860006"/>
    <w:rsid w:val="00860030"/>
    <w:rsid w:val="00860272"/>
    <w:rsid w:val="00860377"/>
    <w:rsid w:val="00860383"/>
    <w:rsid w:val="008604CC"/>
    <w:rsid w:val="0086052F"/>
    <w:rsid w:val="008605A8"/>
    <w:rsid w:val="008605F8"/>
    <w:rsid w:val="0086065B"/>
    <w:rsid w:val="00860684"/>
    <w:rsid w:val="008606CE"/>
    <w:rsid w:val="00860779"/>
    <w:rsid w:val="00860840"/>
    <w:rsid w:val="008608E8"/>
    <w:rsid w:val="0086094C"/>
    <w:rsid w:val="00860D79"/>
    <w:rsid w:val="008611A6"/>
    <w:rsid w:val="00861204"/>
    <w:rsid w:val="0086125A"/>
    <w:rsid w:val="00861424"/>
    <w:rsid w:val="00861435"/>
    <w:rsid w:val="0086169B"/>
    <w:rsid w:val="008616DA"/>
    <w:rsid w:val="008616EF"/>
    <w:rsid w:val="008616F9"/>
    <w:rsid w:val="00861997"/>
    <w:rsid w:val="008619DC"/>
    <w:rsid w:val="00861AE6"/>
    <w:rsid w:val="00861CFB"/>
    <w:rsid w:val="00861F33"/>
    <w:rsid w:val="0086204C"/>
    <w:rsid w:val="008620AF"/>
    <w:rsid w:val="008621C4"/>
    <w:rsid w:val="00862259"/>
    <w:rsid w:val="0086266C"/>
    <w:rsid w:val="008626A9"/>
    <w:rsid w:val="008627E1"/>
    <w:rsid w:val="008628D5"/>
    <w:rsid w:val="008628D6"/>
    <w:rsid w:val="008628EA"/>
    <w:rsid w:val="0086297B"/>
    <w:rsid w:val="008629AE"/>
    <w:rsid w:val="008629B4"/>
    <w:rsid w:val="00862AB2"/>
    <w:rsid w:val="00862B0B"/>
    <w:rsid w:val="00862B18"/>
    <w:rsid w:val="00862C3E"/>
    <w:rsid w:val="00862C74"/>
    <w:rsid w:val="00862D49"/>
    <w:rsid w:val="00862DEB"/>
    <w:rsid w:val="00862E60"/>
    <w:rsid w:val="00863256"/>
    <w:rsid w:val="008632CB"/>
    <w:rsid w:val="0086330F"/>
    <w:rsid w:val="00863315"/>
    <w:rsid w:val="008634AB"/>
    <w:rsid w:val="008634D5"/>
    <w:rsid w:val="008636AA"/>
    <w:rsid w:val="0086384E"/>
    <w:rsid w:val="008638C3"/>
    <w:rsid w:val="008639A6"/>
    <w:rsid w:val="008639DA"/>
    <w:rsid w:val="008639F5"/>
    <w:rsid w:val="00863E9C"/>
    <w:rsid w:val="00863F66"/>
    <w:rsid w:val="0086400E"/>
    <w:rsid w:val="00864102"/>
    <w:rsid w:val="008642C3"/>
    <w:rsid w:val="00864310"/>
    <w:rsid w:val="0086467B"/>
    <w:rsid w:val="00864749"/>
    <w:rsid w:val="008647FB"/>
    <w:rsid w:val="0086485A"/>
    <w:rsid w:val="0086492A"/>
    <w:rsid w:val="00864B35"/>
    <w:rsid w:val="00864D61"/>
    <w:rsid w:val="00864DAD"/>
    <w:rsid w:val="00864F83"/>
    <w:rsid w:val="0086524A"/>
    <w:rsid w:val="008652BA"/>
    <w:rsid w:val="00865378"/>
    <w:rsid w:val="008653FF"/>
    <w:rsid w:val="00865608"/>
    <w:rsid w:val="00865614"/>
    <w:rsid w:val="00865851"/>
    <w:rsid w:val="0086589A"/>
    <w:rsid w:val="0086591C"/>
    <w:rsid w:val="0086595C"/>
    <w:rsid w:val="008659A9"/>
    <w:rsid w:val="00865BD4"/>
    <w:rsid w:val="00865C2B"/>
    <w:rsid w:val="00865E8D"/>
    <w:rsid w:val="008661E9"/>
    <w:rsid w:val="008663BB"/>
    <w:rsid w:val="00866636"/>
    <w:rsid w:val="008667FE"/>
    <w:rsid w:val="0086697E"/>
    <w:rsid w:val="00866A77"/>
    <w:rsid w:val="00866ABE"/>
    <w:rsid w:val="00866B86"/>
    <w:rsid w:val="00866C79"/>
    <w:rsid w:val="00866E6D"/>
    <w:rsid w:val="00866ED9"/>
    <w:rsid w:val="0086708E"/>
    <w:rsid w:val="008671D5"/>
    <w:rsid w:val="008671EC"/>
    <w:rsid w:val="00867289"/>
    <w:rsid w:val="00867481"/>
    <w:rsid w:val="00867530"/>
    <w:rsid w:val="008675E7"/>
    <w:rsid w:val="008675F7"/>
    <w:rsid w:val="00867904"/>
    <w:rsid w:val="0086797A"/>
    <w:rsid w:val="00867AC5"/>
    <w:rsid w:val="00867B23"/>
    <w:rsid w:val="00867ECB"/>
    <w:rsid w:val="00867EE0"/>
    <w:rsid w:val="00870150"/>
    <w:rsid w:val="00870314"/>
    <w:rsid w:val="00870398"/>
    <w:rsid w:val="008703C9"/>
    <w:rsid w:val="008705AD"/>
    <w:rsid w:val="00870673"/>
    <w:rsid w:val="0087068F"/>
    <w:rsid w:val="008706C8"/>
    <w:rsid w:val="0087083D"/>
    <w:rsid w:val="00870959"/>
    <w:rsid w:val="00870AB8"/>
    <w:rsid w:val="00870AEE"/>
    <w:rsid w:val="00870DFE"/>
    <w:rsid w:val="00870ED9"/>
    <w:rsid w:val="00870FD5"/>
    <w:rsid w:val="00870FDC"/>
    <w:rsid w:val="0087101B"/>
    <w:rsid w:val="0087105F"/>
    <w:rsid w:val="008710B5"/>
    <w:rsid w:val="00871157"/>
    <w:rsid w:val="0087116F"/>
    <w:rsid w:val="008711BA"/>
    <w:rsid w:val="00871277"/>
    <w:rsid w:val="00871575"/>
    <w:rsid w:val="0087165B"/>
    <w:rsid w:val="0087167A"/>
    <w:rsid w:val="0087189E"/>
    <w:rsid w:val="008719D0"/>
    <w:rsid w:val="00871A7A"/>
    <w:rsid w:val="00871B18"/>
    <w:rsid w:val="00871B89"/>
    <w:rsid w:val="00871B9F"/>
    <w:rsid w:val="00871F7E"/>
    <w:rsid w:val="00871F9E"/>
    <w:rsid w:val="0087219D"/>
    <w:rsid w:val="008721E8"/>
    <w:rsid w:val="0087239D"/>
    <w:rsid w:val="0087245B"/>
    <w:rsid w:val="00872464"/>
    <w:rsid w:val="00872481"/>
    <w:rsid w:val="00872641"/>
    <w:rsid w:val="00872933"/>
    <w:rsid w:val="008729AB"/>
    <w:rsid w:val="00872B3D"/>
    <w:rsid w:val="00872C32"/>
    <w:rsid w:val="00872C6C"/>
    <w:rsid w:val="00872DC5"/>
    <w:rsid w:val="00872DDA"/>
    <w:rsid w:val="00872F5C"/>
    <w:rsid w:val="00872FC6"/>
    <w:rsid w:val="00873035"/>
    <w:rsid w:val="0087306A"/>
    <w:rsid w:val="00873694"/>
    <w:rsid w:val="008737D8"/>
    <w:rsid w:val="00873812"/>
    <w:rsid w:val="00873846"/>
    <w:rsid w:val="00873886"/>
    <w:rsid w:val="0087395A"/>
    <w:rsid w:val="008739A4"/>
    <w:rsid w:val="008739B2"/>
    <w:rsid w:val="00873B9C"/>
    <w:rsid w:val="00873BB3"/>
    <w:rsid w:val="00873BBF"/>
    <w:rsid w:val="00873CE6"/>
    <w:rsid w:val="00873E43"/>
    <w:rsid w:val="008741F8"/>
    <w:rsid w:val="008742B3"/>
    <w:rsid w:val="008742CD"/>
    <w:rsid w:val="00874383"/>
    <w:rsid w:val="008743A2"/>
    <w:rsid w:val="00874458"/>
    <w:rsid w:val="00874471"/>
    <w:rsid w:val="00874491"/>
    <w:rsid w:val="008745DE"/>
    <w:rsid w:val="00874717"/>
    <w:rsid w:val="0087472B"/>
    <w:rsid w:val="0087477F"/>
    <w:rsid w:val="00874808"/>
    <w:rsid w:val="00874C51"/>
    <w:rsid w:val="00874F57"/>
    <w:rsid w:val="00874F5C"/>
    <w:rsid w:val="00874FE4"/>
    <w:rsid w:val="0087507D"/>
    <w:rsid w:val="0087557B"/>
    <w:rsid w:val="008755AB"/>
    <w:rsid w:val="0087560A"/>
    <w:rsid w:val="00875813"/>
    <w:rsid w:val="0087587E"/>
    <w:rsid w:val="008759E6"/>
    <w:rsid w:val="00875C04"/>
    <w:rsid w:val="00875C27"/>
    <w:rsid w:val="00875CA4"/>
    <w:rsid w:val="00875D17"/>
    <w:rsid w:val="00875D91"/>
    <w:rsid w:val="00875EA6"/>
    <w:rsid w:val="00875ED9"/>
    <w:rsid w:val="00875EDB"/>
    <w:rsid w:val="00875F2A"/>
    <w:rsid w:val="0087618B"/>
    <w:rsid w:val="008761FE"/>
    <w:rsid w:val="008762E0"/>
    <w:rsid w:val="0087631B"/>
    <w:rsid w:val="00876326"/>
    <w:rsid w:val="00876476"/>
    <w:rsid w:val="008764FA"/>
    <w:rsid w:val="0087650D"/>
    <w:rsid w:val="00876515"/>
    <w:rsid w:val="008766C7"/>
    <w:rsid w:val="0087678C"/>
    <w:rsid w:val="00876797"/>
    <w:rsid w:val="008768EC"/>
    <w:rsid w:val="008769FC"/>
    <w:rsid w:val="00876A72"/>
    <w:rsid w:val="00876A9C"/>
    <w:rsid w:val="00876C07"/>
    <w:rsid w:val="00876D0B"/>
    <w:rsid w:val="00877005"/>
    <w:rsid w:val="008770E3"/>
    <w:rsid w:val="0087720A"/>
    <w:rsid w:val="00877286"/>
    <w:rsid w:val="00877344"/>
    <w:rsid w:val="0087749E"/>
    <w:rsid w:val="00877619"/>
    <w:rsid w:val="0087772E"/>
    <w:rsid w:val="00877987"/>
    <w:rsid w:val="00877C35"/>
    <w:rsid w:val="00877C7B"/>
    <w:rsid w:val="00877CA4"/>
    <w:rsid w:val="00877CC0"/>
    <w:rsid w:val="00877DB7"/>
    <w:rsid w:val="00877EB3"/>
    <w:rsid w:val="00877F55"/>
    <w:rsid w:val="00880122"/>
    <w:rsid w:val="008801FB"/>
    <w:rsid w:val="0088035E"/>
    <w:rsid w:val="00880792"/>
    <w:rsid w:val="0088087C"/>
    <w:rsid w:val="008808F2"/>
    <w:rsid w:val="00880BC9"/>
    <w:rsid w:val="00880BFE"/>
    <w:rsid w:val="00880C3C"/>
    <w:rsid w:val="00880C59"/>
    <w:rsid w:val="00880C91"/>
    <w:rsid w:val="00880CF8"/>
    <w:rsid w:val="00880D0D"/>
    <w:rsid w:val="00880D86"/>
    <w:rsid w:val="00880E47"/>
    <w:rsid w:val="00880F35"/>
    <w:rsid w:val="0088101A"/>
    <w:rsid w:val="00881052"/>
    <w:rsid w:val="0088106B"/>
    <w:rsid w:val="0088112C"/>
    <w:rsid w:val="00881181"/>
    <w:rsid w:val="008811BD"/>
    <w:rsid w:val="00881212"/>
    <w:rsid w:val="00881241"/>
    <w:rsid w:val="008813F8"/>
    <w:rsid w:val="00881437"/>
    <w:rsid w:val="0088146F"/>
    <w:rsid w:val="008814A2"/>
    <w:rsid w:val="008815C4"/>
    <w:rsid w:val="008817F1"/>
    <w:rsid w:val="008817F3"/>
    <w:rsid w:val="00881805"/>
    <w:rsid w:val="008818D3"/>
    <w:rsid w:val="00881A67"/>
    <w:rsid w:val="00881B71"/>
    <w:rsid w:val="00881B92"/>
    <w:rsid w:val="00881BC9"/>
    <w:rsid w:val="00881C87"/>
    <w:rsid w:val="00881CB8"/>
    <w:rsid w:val="00881E01"/>
    <w:rsid w:val="00881FDD"/>
    <w:rsid w:val="008820B4"/>
    <w:rsid w:val="0088212D"/>
    <w:rsid w:val="0088212F"/>
    <w:rsid w:val="00882220"/>
    <w:rsid w:val="0088222E"/>
    <w:rsid w:val="008825E1"/>
    <w:rsid w:val="00882910"/>
    <w:rsid w:val="00882C23"/>
    <w:rsid w:val="00882C36"/>
    <w:rsid w:val="00882CF2"/>
    <w:rsid w:val="00882E5D"/>
    <w:rsid w:val="00882EEA"/>
    <w:rsid w:val="008830E9"/>
    <w:rsid w:val="0088319C"/>
    <w:rsid w:val="008831A4"/>
    <w:rsid w:val="008831D0"/>
    <w:rsid w:val="00883365"/>
    <w:rsid w:val="008833DB"/>
    <w:rsid w:val="00883438"/>
    <w:rsid w:val="0088343E"/>
    <w:rsid w:val="0088376F"/>
    <w:rsid w:val="008837F4"/>
    <w:rsid w:val="0088385D"/>
    <w:rsid w:val="008838F3"/>
    <w:rsid w:val="00883A0E"/>
    <w:rsid w:val="00883A22"/>
    <w:rsid w:val="00883B69"/>
    <w:rsid w:val="00883C86"/>
    <w:rsid w:val="00883CD5"/>
    <w:rsid w:val="00883D35"/>
    <w:rsid w:val="00883D79"/>
    <w:rsid w:val="00883D9A"/>
    <w:rsid w:val="00884152"/>
    <w:rsid w:val="008841D3"/>
    <w:rsid w:val="00884205"/>
    <w:rsid w:val="00884208"/>
    <w:rsid w:val="00884447"/>
    <w:rsid w:val="008844C9"/>
    <w:rsid w:val="0088460B"/>
    <w:rsid w:val="00884610"/>
    <w:rsid w:val="00884809"/>
    <w:rsid w:val="00884B03"/>
    <w:rsid w:val="00884B76"/>
    <w:rsid w:val="00884B91"/>
    <w:rsid w:val="00884BE2"/>
    <w:rsid w:val="00884C85"/>
    <w:rsid w:val="00884E60"/>
    <w:rsid w:val="00884EA7"/>
    <w:rsid w:val="0088509B"/>
    <w:rsid w:val="008850E9"/>
    <w:rsid w:val="00885234"/>
    <w:rsid w:val="0088523F"/>
    <w:rsid w:val="008852EB"/>
    <w:rsid w:val="008853F2"/>
    <w:rsid w:val="00885428"/>
    <w:rsid w:val="00885442"/>
    <w:rsid w:val="00885451"/>
    <w:rsid w:val="00885482"/>
    <w:rsid w:val="0088560E"/>
    <w:rsid w:val="008856EE"/>
    <w:rsid w:val="008857A4"/>
    <w:rsid w:val="00885A16"/>
    <w:rsid w:val="00885C36"/>
    <w:rsid w:val="00885D00"/>
    <w:rsid w:val="00885D41"/>
    <w:rsid w:val="00885DD0"/>
    <w:rsid w:val="00885FC0"/>
    <w:rsid w:val="00885FF6"/>
    <w:rsid w:val="00885FFC"/>
    <w:rsid w:val="0088606B"/>
    <w:rsid w:val="008860FA"/>
    <w:rsid w:val="008861A3"/>
    <w:rsid w:val="00886201"/>
    <w:rsid w:val="00886243"/>
    <w:rsid w:val="008863A1"/>
    <w:rsid w:val="008867A6"/>
    <w:rsid w:val="008867CF"/>
    <w:rsid w:val="00886903"/>
    <w:rsid w:val="0088692F"/>
    <w:rsid w:val="00886931"/>
    <w:rsid w:val="00886A7A"/>
    <w:rsid w:val="00886ACC"/>
    <w:rsid w:val="00886AE4"/>
    <w:rsid w:val="00886BE7"/>
    <w:rsid w:val="00886C78"/>
    <w:rsid w:val="00886D12"/>
    <w:rsid w:val="00887193"/>
    <w:rsid w:val="00887313"/>
    <w:rsid w:val="00887364"/>
    <w:rsid w:val="008873FD"/>
    <w:rsid w:val="00887565"/>
    <w:rsid w:val="008875C5"/>
    <w:rsid w:val="008875DE"/>
    <w:rsid w:val="0088777B"/>
    <w:rsid w:val="0088785B"/>
    <w:rsid w:val="0088787B"/>
    <w:rsid w:val="0088790E"/>
    <w:rsid w:val="00887912"/>
    <w:rsid w:val="00887956"/>
    <w:rsid w:val="00887961"/>
    <w:rsid w:val="00887A1A"/>
    <w:rsid w:val="00887B9D"/>
    <w:rsid w:val="00887BBF"/>
    <w:rsid w:val="00887C9D"/>
    <w:rsid w:val="00887D72"/>
    <w:rsid w:val="00887E01"/>
    <w:rsid w:val="00890080"/>
    <w:rsid w:val="008902DE"/>
    <w:rsid w:val="00890399"/>
    <w:rsid w:val="008904C3"/>
    <w:rsid w:val="008904CB"/>
    <w:rsid w:val="008906FA"/>
    <w:rsid w:val="00890767"/>
    <w:rsid w:val="008907C8"/>
    <w:rsid w:val="0089084C"/>
    <w:rsid w:val="00890854"/>
    <w:rsid w:val="0089087D"/>
    <w:rsid w:val="0089089B"/>
    <w:rsid w:val="00890A57"/>
    <w:rsid w:val="00890ABC"/>
    <w:rsid w:val="00890B18"/>
    <w:rsid w:val="00890D48"/>
    <w:rsid w:val="00890ED3"/>
    <w:rsid w:val="00890F2A"/>
    <w:rsid w:val="00890FE5"/>
    <w:rsid w:val="00891012"/>
    <w:rsid w:val="00891081"/>
    <w:rsid w:val="008914D2"/>
    <w:rsid w:val="00891503"/>
    <w:rsid w:val="00891516"/>
    <w:rsid w:val="00891688"/>
    <w:rsid w:val="008916C8"/>
    <w:rsid w:val="0089187E"/>
    <w:rsid w:val="008918E4"/>
    <w:rsid w:val="00891A0B"/>
    <w:rsid w:val="00891A1A"/>
    <w:rsid w:val="00891B9F"/>
    <w:rsid w:val="00891DAA"/>
    <w:rsid w:val="00891E69"/>
    <w:rsid w:val="008920BC"/>
    <w:rsid w:val="00892161"/>
    <w:rsid w:val="0089222A"/>
    <w:rsid w:val="00892249"/>
    <w:rsid w:val="008922FB"/>
    <w:rsid w:val="00892321"/>
    <w:rsid w:val="0089234D"/>
    <w:rsid w:val="008923F7"/>
    <w:rsid w:val="008923F9"/>
    <w:rsid w:val="00892450"/>
    <w:rsid w:val="008924F8"/>
    <w:rsid w:val="0089255A"/>
    <w:rsid w:val="00892563"/>
    <w:rsid w:val="00892571"/>
    <w:rsid w:val="00892581"/>
    <w:rsid w:val="0089259A"/>
    <w:rsid w:val="008926A7"/>
    <w:rsid w:val="008926B9"/>
    <w:rsid w:val="008926F3"/>
    <w:rsid w:val="008927F8"/>
    <w:rsid w:val="008928B8"/>
    <w:rsid w:val="00892995"/>
    <w:rsid w:val="008929EC"/>
    <w:rsid w:val="008929F4"/>
    <w:rsid w:val="00892A6E"/>
    <w:rsid w:val="00892B2A"/>
    <w:rsid w:val="00892B37"/>
    <w:rsid w:val="00892BB8"/>
    <w:rsid w:val="00892C08"/>
    <w:rsid w:val="00892D2D"/>
    <w:rsid w:val="00892DC3"/>
    <w:rsid w:val="00892EDE"/>
    <w:rsid w:val="00893055"/>
    <w:rsid w:val="008931B6"/>
    <w:rsid w:val="0089332B"/>
    <w:rsid w:val="008935D1"/>
    <w:rsid w:val="00893752"/>
    <w:rsid w:val="008937D7"/>
    <w:rsid w:val="00893845"/>
    <w:rsid w:val="00893940"/>
    <w:rsid w:val="00893A36"/>
    <w:rsid w:val="00893C1B"/>
    <w:rsid w:val="00893C42"/>
    <w:rsid w:val="00893C4D"/>
    <w:rsid w:val="00893CFE"/>
    <w:rsid w:val="00893D85"/>
    <w:rsid w:val="00893EEC"/>
    <w:rsid w:val="00894007"/>
    <w:rsid w:val="00894110"/>
    <w:rsid w:val="00894130"/>
    <w:rsid w:val="00894309"/>
    <w:rsid w:val="008943C5"/>
    <w:rsid w:val="00894504"/>
    <w:rsid w:val="00894575"/>
    <w:rsid w:val="00894607"/>
    <w:rsid w:val="00894783"/>
    <w:rsid w:val="00894800"/>
    <w:rsid w:val="00894875"/>
    <w:rsid w:val="00894895"/>
    <w:rsid w:val="008948A4"/>
    <w:rsid w:val="0089491E"/>
    <w:rsid w:val="0089496B"/>
    <w:rsid w:val="00894BBB"/>
    <w:rsid w:val="00894D26"/>
    <w:rsid w:val="008952A0"/>
    <w:rsid w:val="008952DE"/>
    <w:rsid w:val="00895524"/>
    <w:rsid w:val="0089567A"/>
    <w:rsid w:val="008956EA"/>
    <w:rsid w:val="00895AF9"/>
    <w:rsid w:val="00895CA1"/>
    <w:rsid w:val="00895CC2"/>
    <w:rsid w:val="00895CD4"/>
    <w:rsid w:val="00895D41"/>
    <w:rsid w:val="00895FC6"/>
    <w:rsid w:val="008961B5"/>
    <w:rsid w:val="008961D7"/>
    <w:rsid w:val="00896476"/>
    <w:rsid w:val="0089653C"/>
    <w:rsid w:val="008965A7"/>
    <w:rsid w:val="00896679"/>
    <w:rsid w:val="0089671A"/>
    <w:rsid w:val="00896749"/>
    <w:rsid w:val="00896827"/>
    <w:rsid w:val="0089686D"/>
    <w:rsid w:val="0089687D"/>
    <w:rsid w:val="00896889"/>
    <w:rsid w:val="00896AAA"/>
    <w:rsid w:val="00896AAE"/>
    <w:rsid w:val="00896BDD"/>
    <w:rsid w:val="00896BF7"/>
    <w:rsid w:val="00896C5E"/>
    <w:rsid w:val="0089708D"/>
    <w:rsid w:val="008971CE"/>
    <w:rsid w:val="008971F2"/>
    <w:rsid w:val="0089720C"/>
    <w:rsid w:val="0089736B"/>
    <w:rsid w:val="008973AC"/>
    <w:rsid w:val="0089759A"/>
    <w:rsid w:val="008976BF"/>
    <w:rsid w:val="008976DC"/>
    <w:rsid w:val="008978F3"/>
    <w:rsid w:val="00897A5B"/>
    <w:rsid w:val="00897A76"/>
    <w:rsid w:val="00897A96"/>
    <w:rsid w:val="00897C31"/>
    <w:rsid w:val="00897CE9"/>
    <w:rsid w:val="00897E68"/>
    <w:rsid w:val="00897FCB"/>
    <w:rsid w:val="008A0002"/>
    <w:rsid w:val="008A000F"/>
    <w:rsid w:val="008A0153"/>
    <w:rsid w:val="008A01B2"/>
    <w:rsid w:val="008A0288"/>
    <w:rsid w:val="008A05D3"/>
    <w:rsid w:val="008A06D0"/>
    <w:rsid w:val="008A06E7"/>
    <w:rsid w:val="008A06F4"/>
    <w:rsid w:val="008A0780"/>
    <w:rsid w:val="008A087D"/>
    <w:rsid w:val="008A08B6"/>
    <w:rsid w:val="008A09AC"/>
    <w:rsid w:val="008A0B7A"/>
    <w:rsid w:val="008A0C81"/>
    <w:rsid w:val="008A0D10"/>
    <w:rsid w:val="008A0DE4"/>
    <w:rsid w:val="008A0F12"/>
    <w:rsid w:val="008A0F76"/>
    <w:rsid w:val="008A14FA"/>
    <w:rsid w:val="008A1560"/>
    <w:rsid w:val="008A1604"/>
    <w:rsid w:val="008A1723"/>
    <w:rsid w:val="008A17AC"/>
    <w:rsid w:val="008A1937"/>
    <w:rsid w:val="008A1A7E"/>
    <w:rsid w:val="008A1B2F"/>
    <w:rsid w:val="008A1B9D"/>
    <w:rsid w:val="008A1BE2"/>
    <w:rsid w:val="008A1D35"/>
    <w:rsid w:val="008A1D61"/>
    <w:rsid w:val="008A1D86"/>
    <w:rsid w:val="008A1DC4"/>
    <w:rsid w:val="008A1E44"/>
    <w:rsid w:val="008A1ED7"/>
    <w:rsid w:val="008A1EEC"/>
    <w:rsid w:val="008A1F5C"/>
    <w:rsid w:val="008A1F8A"/>
    <w:rsid w:val="008A1FF0"/>
    <w:rsid w:val="008A2028"/>
    <w:rsid w:val="008A2120"/>
    <w:rsid w:val="008A218C"/>
    <w:rsid w:val="008A2251"/>
    <w:rsid w:val="008A2491"/>
    <w:rsid w:val="008A24A2"/>
    <w:rsid w:val="008A24C3"/>
    <w:rsid w:val="008A2577"/>
    <w:rsid w:val="008A2644"/>
    <w:rsid w:val="008A26FE"/>
    <w:rsid w:val="008A2A88"/>
    <w:rsid w:val="008A2CB5"/>
    <w:rsid w:val="008A2E23"/>
    <w:rsid w:val="008A2FC8"/>
    <w:rsid w:val="008A3035"/>
    <w:rsid w:val="008A308C"/>
    <w:rsid w:val="008A30D5"/>
    <w:rsid w:val="008A30E8"/>
    <w:rsid w:val="008A3202"/>
    <w:rsid w:val="008A33EC"/>
    <w:rsid w:val="008A3406"/>
    <w:rsid w:val="008A3524"/>
    <w:rsid w:val="008A3538"/>
    <w:rsid w:val="008A37D2"/>
    <w:rsid w:val="008A38E1"/>
    <w:rsid w:val="008A3CD3"/>
    <w:rsid w:val="008A3D07"/>
    <w:rsid w:val="008A3D69"/>
    <w:rsid w:val="008A3DC5"/>
    <w:rsid w:val="008A3DCF"/>
    <w:rsid w:val="008A3DE4"/>
    <w:rsid w:val="008A3F51"/>
    <w:rsid w:val="008A4031"/>
    <w:rsid w:val="008A4086"/>
    <w:rsid w:val="008A4108"/>
    <w:rsid w:val="008A4120"/>
    <w:rsid w:val="008A417C"/>
    <w:rsid w:val="008A41DF"/>
    <w:rsid w:val="008A4236"/>
    <w:rsid w:val="008A434F"/>
    <w:rsid w:val="008A4408"/>
    <w:rsid w:val="008A44ED"/>
    <w:rsid w:val="008A459A"/>
    <w:rsid w:val="008A4751"/>
    <w:rsid w:val="008A47E1"/>
    <w:rsid w:val="008A486D"/>
    <w:rsid w:val="008A4883"/>
    <w:rsid w:val="008A49C3"/>
    <w:rsid w:val="008A4AA6"/>
    <w:rsid w:val="008A4AD3"/>
    <w:rsid w:val="008A4B31"/>
    <w:rsid w:val="008A4CBE"/>
    <w:rsid w:val="008A50DF"/>
    <w:rsid w:val="008A52E5"/>
    <w:rsid w:val="008A53D5"/>
    <w:rsid w:val="008A5411"/>
    <w:rsid w:val="008A541F"/>
    <w:rsid w:val="008A553C"/>
    <w:rsid w:val="008A5628"/>
    <w:rsid w:val="008A5692"/>
    <w:rsid w:val="008A56F8"/>
    <w:rsid w:val="008A58FE"/>
    <w:rsid w:val="008A5A90"/>
    <w:rsid w:val="008A5B2F"/>
    <w:rsid w:val="008A5DE2"/>
    <w:rsid w:val="008A5E2E"/>
    <w:rsid w:val="008A5E38"/>
    <w:rsid w:val="008A5E41"/>
    <w:rsid w:val="008A5F54"/>
    <w:rsid w:val="008A6037"/>
    <w:rsid w:val="008A607F"/>
    <w:rsid w:val="008A6152"/>
    <w:rsid w:val="008A62E5"/>
    <w:rsid w:val="008A6377"/>
    <w:rsid w:val="008A63F0"/>
    <w:rsid w:val="008A6770"/>
    <w:rsid w:val="008A67F1"/>
    <w:rsid w:val="008A692A"/>
    <w:rsid w:val="008A6933"/>
    <w:rsid w:val="008A6986"/>
    <w:rsid w:val="008A6A2C"/>
    <w:rsid w:val="008A6AE7"/>
    <w:rsid w:val="008A6B30"/>
    <w:rsid w:val="008A7011"/>
    <w:rsid w:val="008A7185"/>
    <w:rsid w:val="008A74B7"/>
    <w:rsid w:val="008A74CB"/>
    <w:rsid w:val="008A74F0"/>
    <w:rsid w:val="008A75C6"/>
    <w:rsid w:val="008A76D1"/>
    <w:rsid w:val="008A7769"/>
    <w:rsid w:val="008A786E"/>
    <w:rsid w:val="008A78EB"/>
    <w:rsid w:val="008A7943"/>
    <w:rsid w:val="008A7A2A"/>
    <w:rsid w:val="008A7B4C"/>
    <w:rsid w:val="008A7B4E"/>
    <w:rsid w:val="008A7C82"/>
    <w:rsid w:val="008A7CCF"/>
    <w:rsid w:val="008A7D52"/>
    <w:rsid w:val="008A7D8E"/>
    <w:rsid w:val="008A7EC0"/>
    <w:rsid w:val="008B006A"/>
    <w:rsid w:val="008B00B6"/>
    <w:rsid w:val="008B01D8"/>
    <w:rsid w:val="008B02F8"/>
    <w:rsid w:val="008B04A5"/>
    <w:rsid w:val="008B04E4"/>
    <w:rsid w:val="008B06C7"/>
    <w:rsid w:val="008B0767"/>
    <w:rsid w:val="008B07DC"/>
    <w:rsid w:val="008B088F"/>
    <w:rsid w:val="008B0970"/>
    <w:rsid w:val="008B0A59"/>
    <w:rsid w:val="008B0B74"/>
    <w:rsid w:val="008B0B79"/>
    <w:rsid w:val="008B0E0F"/>
    <w:rsid w:val="008B0F0B"/>
    <w:rsid w:val="008B11CF"/>
    <w:rsid w:val="008B1226"/>
    <w:rsid w:val="008B126C"/>
    <w:rsid w:val="008B142D"/>
    <w:rsid w:val="008B148E"/>
    <w:rsid w:val="008B149A"/>
    <w:rsid w:val="008B157B"/>
    <w:rsid w:val="008B15D0"/>
    <w:rsid w:val="008B168D"/>
    <w:rsid w:val="008B16F0"/>
    <w:rsid w:val="008B172D"/>
    <w:rsid w:val="008B183E"/>
    <w:rsid w:val="008B187D"/>
    <w:rsid w:val="008B1916"/>
    <w:rsid w:val="008B19FF"/>
    <w:rsid w:val="008B1A52"/>
    <w:rsid w:val="008B1B02"/>
    <w:rsid w:val="008B1B46"/>
    <w:rsid w:val="008B1BC6"/>
    <w:rsid w:val="008B1C22"/>
    <w:rsid w:val="008B1DEA"/>
    <w:rsid w:val="008B1F02"/>
    <w:rsid w:val="008B1F0A"/>
    <w:rsid w:val="008B1F0F"/>
    <w:rsid w:val="008B1F14"/>
    <w:rsid w:val="008B1F93"/>
    <w:rsid w:val="008B212C"/>
    <w:rsid w:val="008B2201"/>
    <w:rsid w:val="008B229C"/>
    <w:rsid w:val="008B22AB"/>
    <w:rsid w:val="008B27D5"/>
    <w:rsid w:val="008B2935"/>
    <w:rsid w:val="008B2B7B"/>
    <w:rsid w:val="008B2C9C"/>
    <w:rsid w:val="008B2CFF"/>
    <w:rsid w:val="008B2FC5"/>
    <w:rsid w:val="008B2FE9"/>
    <w:rsid w:val="008B301A"/>
    <w:rsid w:val="008B312E"/>
    <w:rsid w:val="008B3154"/>
    <w:rsid w:val="008B32AA"/>
    <w:rsid w:val="008B32CA"/>
    <w:rsid w:val="008B33CF"/>
    <w:rsid w:val="008B348B"/>
    <w:rsid w:val="008B349B"/>
    <w:rsid w:val="008B35CD"/>
    <w:rsid w:val="008B3711"/>
    <w:rsid w:val="008B3769"/>
    <w:rsid w:val="008B3869"/>
    <w:rsid w:val="008B38FA"/>
    <w:rsid w:val="008B3E81"/>
    <w:rsid w:val="008B3EB1"/>
    <w:rsid w:val="008B3EF9"/>
    <w:rsid w:val="008B3FAB"/>
    <w:rsid w:val="008B40CF"/>
    <w:rsid w:val="008B40D2"/>
    <w:rsid w:val="008B4143"/>
    <w:rsid w:val="008B423C"/>
    <w:rsid w:val="008B43D1"/>
    <w:rsid w:val="008B44CC"/>
    <w:rsid w:val="008B4571"/>
    <w:rsid w:val="008B4578"/>
    <w:rsid w:val="008B46AA"/>
    <w:rsid w:val="008B46E2"/>
    <w:rsid w:val="008B4781"/>
    <w:rsid w:val="008B47B7"/>
    <w:rsid w:val="008B4843"/>
    <w:rsid w:val="008B4895"/>
    <w:rsid w:val="008B49A4"/>
    <w:rsid w:val="008B4A7D"/>
    <w:rsid w:val="008B4AAA"/>
    <w:rsid w:val="008B4B28"/>
    <w:rsid w:val="008B4B62"/>
    <w:rsid w:val="008B4B8D"/>
    <w:rsid w:val="008B4C1C"/>
    <w:rsid w:val="008B4C63"/>
    <w:rsid w:val="008B4CDD"/>
    <w:rsid w:val="008B4F6C"/>
    <w:rsid w:val="008B50FD"/>
    <w:rsid w:val="008B5115"/>
    <w:rsid w:val="008B5152"/>
    <w:rsid w:val="008B52CC"/>
    <w:rsid w:val="008B5403"/>
    <w:rsid w:val="008B5476"/>
    <w:rsid w:val="008B565E"/>
    <w:rsid w:val="008B56E7"/>
    <w:rsid w:val="008B571F"/>
    <w:rsid w:val="008B5752"/>
    <w:rsid w:val="008B585A"/>
    <w:rsid w:val="008B5916"/>
    <w:rsid w:val="008B5924"/>
    <w:rsid w:val="008B5957"/>
    <w:rsid w:val="008B5A15"/>
    <w:rsid w:val="008B5BB2"/>
    <w:rsid w:val="008B5C3C"/>
    <w:rsid w:val="008B5C64"/>
    <w:rsid w:val="008B5CF4"/>
    <w:rsid w:val="008B5D43"/>
    <w:rsid w:val="008B5D4B"/>
    <w:rsid w:val="008B5DC0"/>
    <w:rsid w:val="008B5E73"/>
    <w:rsid w:val="008B60D5"/>
    <w:rsid w:val="008B6129"/>
    <w:rsid w:val="008B6173"/>
    <w:rsid w:val="008B6414"/>
    <w:rsid w:val="008B65E3"/>
    <w:rsid w:val="008B66F0"/>
    <w:rsid w:val="008B67E5"/>
    <w:rsid w:val="008B686C"/>
    <w:rsid w:val="008B6974"/>
    <w:rsid w:val="008B6ACB"/>
    <w:rsid w:val="008B6BE5"/>
    <w:rsid w:val="008B6C0B"/>
    <w:rsid w:val="008B6C6D"/>
    <w:rsid w:val="008B6C96"/>
    <w:rsid w:val="008B6CE7"/>
    <w:rsid w:val="008B6F5B"/>
    <w:rsid w:val="008B725D"/>
    <w:rsid w:val="008B72AA"/>
    <w:rsid w:val="008B72B5"/>
    <w:rsid w:val="008B72C4"/>
    <w:rsid w:val="008B72E9"/>
    <w:rsid w:val="008B72EB"/>
    <w:rsid w:val="008B72FB"/>
    <w:rsid w:val="008B734B"/>
    <w:rsid w:val="008B7473"/>
    <w:rsid w:val="008B7490"/>
    <w:rsid w:val="008B755B"/>
    <w:rsid w:val="008B75A9"/>
    <w:rsid w:val="008B762A"/>
    <w:rsid w:val="008B76D7"/>
    <w:rsid w:val="008B76EC"/>
    <w:rsid w:val="008B7847"/>
    <w:rsid w:val="008B78B6"/>
    <w:rsid w:val="008B79D1"/>
    <w:rsid w:val="008B7A31"/>
    <w:rsid w:val="008B7A55"/>
    <w:rsid w:val="008B7B97"/>
    <w:rsid w:val="008B7C85"/>
    <w:rsid w:val="008B7E77"/>
    <w:rsid w:val="008B7EF1"/>
    <w:rsid w:val="008B7F42"/>
    <w:rsid w:val="008B7F4D"/>
    <w:rsid w:val="008B7F9F"/>
    <w:rsid w:val="008C000E"/>
    <w:rsid w:val="008C002D"/>
    <w:rsid w:val="008C0030"/>
    <w:rsid w:val="008C01B2"/>
    <w:rsid w:val="008C021A"/>
    <w:rsid w:val="008C026C"/>
    <w:rsid w:val="008C0394"/>
    <w:rsid w:val="008C06C8"/>
    <w:rsid w:val="008C0768"/>
    <w:rsid w:val="008C07B2"/>
    <w:rsid w:val="008C08B0"/>
    <w:rsid w:val="008C0904"/>
    <w:rsid w:val="008C09B1"/>
    <w:rsid w:val="008C0A18"/>
    <w:rsid w:val="008C0B13"/>
    <w:rsid w:val="008C0B1B"/>
    <w:rsid w:val="008C0B7B"/>
    <w:rsid w:val="008C0BE0"/>
    <w:rsid w:val="008C0CA7"/>
    <w:rsid w:val="008C0CFE"/>
    <w:rsid w:val="008C0D9D"/>
    <w:rsid w:val="008C0FBC"/>
    <w:rsid w:val="008C1112"/>
    <w:rsid w:val="008C1120"/>
    <w:rsid w:val="008C1144"/>
    <w:rsid w:val="008C1337"/>
    <w:rsid w:val="008C1454"/>
    <w:rsid w:val="008C1502"/>
    <w:rsid w:val="008C17E8"/>
    <w:rsid w:val="008C185E"/>
    <w:rsid w:val="008C18E9"/>
    <w:rsid w:val="008C19EA"/>
    <w:rsid w:val="008C1A64"/>
    <w:rsid w:val="008C1AFD"/>
    <w:rsid w:val="008C1C5B"/>
    <w:rsid w:val="008C1D26"/>
    <w:rsid w:val="008C1E64"/>
    <w:rsid w:val="008C1EAA"/>
    <w:rsid w:val="008C1F34"/>
    <w:rsid w:val="008C1F63"/>
    <w:rsid w:val="008C2190"/>
    <w:rsid w:val="008C22A0"/>
    <w:rsid w:val="008C2323"/>
    <w:rsid w:val="008C2358"/>
    <w:rsid w:val="008C2491"/>
    <w:rsid w:val="008C28A7"/>
    <w:rsid w:val="008C2AAD"/>
    <w:rsid w:val="008C2AF4"/>
    <w:rsid w:val="008C2D12"/>
    <w:rsid w:val="008C2F2E"/>
    <w:rsid w:val="008C300F"/>
    <w:rsid w:val="008C31E6"/>
    <w:rsid w:val="008C3299"/>
    <w:rsid w:val="008C32B3"/>
    <w:rsid w:val="008C32DA"/>
    <w:rsid w:val="008C3361"/>
    <w:rsid w:val="008C341D"/>
    <w:rsid w:val="008C3564"/>
    <w:rsid w:val="008C36B8"/>
    <w:rsid w:val="008C36BE"/>
    <w:rsid w:val="008C3A44"/>
    <w:rsid w:val="008C3B51"/>
    <w:rsid w:val="008C3C17"/>
    <w:rsid w:val="008C3C64"/>
    <w:rsid w:val="008C3DAD"/>
    <w:rsid w:val="008C3DC5"/>
    <w:rsid w:val="008C3E02"/>
    <w:rsid w:val="008C3ED6"/>
    <w:rsid w:val="008C3EE9"/>
    <w:rsid w:val="008C3F64"/>
    <w:rsid w:val="008C3F6C"/>
    <w:rsid w:val="008C3F7B"/>
    <w:rsid w:val="008C408C"/>
    <w:rsid w:val="008C4117"/>
    <w:rsid w:val="008C41FB"/>
    <w:rsid w:val="008C4396"/>
    <w:rsid w:val="008C43A8"/>
    <w:rsid w:val="008C43E2"/>
    <w:rsid w:val="008C4413"/>
    <w:rsid w:val="008C44B7"/>
    <w:rsid w:val="008C47B5"/>
    <w:rsid w:val="008C4850"/>
    <w:rsid w:val="008C48BC"/>
    <w:rsid w:val="008C4902"/>
    <w:rsid w:val="008C4BA1"/>
    <w:rsid w:val="008C4D3E"/>
    <w:rsid w:val="008C4DC9"/>
    <w:rsid w:val="008C4DD4"/>
    <w:rsid w:val="008C4E2D"/>
    <w:rsid w:val="008C4E3F"/>
    <w:rsid w:val="008C4ECF"/>
    <w:rsid w:val="008C4ED5"/>
    <w:rsid w:val="008C4F67"/>
    <w:rsid w:val="008C50FB"/>
    <w:rsid w:val="008C5126"/>
    <w:rsid w:val="008C516E"/>
    <w:rsid w:val="008C526D"/>
    <w:rsid w:val="008C52EE"/>
    <w:rsid w:val="008C539D"/>
    <w:rsid w:val="008C5433"/>
    <w:rsid w:val="008C5439"/>
    <w:rsid w:val="008C5513"/>
    <w:rsid w:val="008C555F"/>
    <w:rsid w:val="008C5565"/>
    <w:rsid w:val="008C55F8"/>
    <w:rsid w:val="008C5801"/>
    <w:rsid w:val="008C58D5"/>
    <w:rsid w:val="008C5AEE"/>
    <w:rsid w:val="008C5D10"/>
    <w:rsid w:val="008C5DE8"/>
    <w:rsid w:val="008C5EA3"/>
    <w:rsid w:val="008C60C0"/>
    <w:rsid w:val="008C6205"/>
    <w:rsid w:val="008C62FF"/>
    <w:rsid w:val="008C6454"/>
    <w:rsid w:val="008C65B3"/>
    <w:rsid w:val="008C65E4"/>
    <w:rsid w:val="008C66D6"/>
    <w:rsid w:val="008C66F5"/>
    <w:rsid w:val="008C672C"/>
    <w:rsid w:val="008C6BCC"/>
    <w:rsid w:val="008C6E73"/>
    <w:rsid w:val="008C6F21"/>
    <w:rsid w:val="008C70E8"/>
    <w:rsid w:val="008C723B"/>
    <w:rsid w:val="008C72C2"/>
    <w:rsid w:val="008C73F9"/>
    <w:rsid w:val="008C7504"/>
    <w:rsid w:val="008C76E2"/>
    <w:rsid w:val="008C76E4"/>
    <w:rsid w:val="008C77CC"/>
    <w:rsid w:val="008C7816"/>
    <w:rsid w:val="008C78AC"/>
    <w:rsid w:val="008C7AF9"/>
    <w:rsid w:val="008C7BAA"/>
    <w:rsid w:val="008C7BE0"/>
    <w:rsid w:val="008C7D9F"/>
    <w:rsid w:val="008C7DB7"/>
    <w:rsid w:val="008C7DD6"/>
    <w:rsid w:val="008C7E66"/>
    <w:rsid w:val="008C7F3C"/>
    <w:rsid w:val="008C7FC4"/>
    <w:rsid w:val="008D003C"/>
    <w:rsid w:val="008D00AF"/>
    <w:rsid w:val="008D02BD"/>
    <w:rsid w:val="008D051D"/>
    <w:rsid w:val="008D0697"/>
    <w:rsid w:val="008D075A"/>
    <w:rsid w:val="008D0846"/>
    <w:rsid w:val="008D088D"/>
    <w:rsid w:val="008D0A01"/>
    <w:rsid w:val="008D0A8C"/>
    <w:rsid w:val="008D0AC1"/>
    <w:rsid w:val="008D0B77"/>
    <w:rsid w:val="008D0BBF"/>
    <w:rsid w:val="008D0BE8"/>
    <w:rsid w:val="008D0CFE"/>
    <w:rsid w:val="008D0D1B"/>
    <w:rsid w:val="008D0D6B"/>
    <w:rsid w:val="008D0F38"/>
    <w:rsid w:val="008D100F"/>
    <w:rsid w:val="008D1079"/>
    <w:rsid w:val="008D10A3"/>
    <w:rsid w:val="008D13D1"/>
    <w:rsid w:val="008D13EB"/>
    <w:rsid w:val="008D16B2"/>
    <w:rsid w:val="008D1910"/>
    <w:rsid w:val="008D193F"/>
    <w:rsid w:val="008D19AF"/>
    <w:rsid w:val="008D19DF"/>
    <w:rsid w:val="008D1AF8"/>
    <w:rsid w:val="008D1C02"/>
    <w:rsid w:val="008D1DE4"/>
    <w:rsid w:val="008D1E30"/>
    <w:rsid w:val="008D1EEE"/>
    <w:rsid w:val="008D1F35"/>
    <w:rsid w:val="008D1FCB"/>
    <w:rsid w:val="008D200D"/>
    <w:rsid w:val="008D20F8"/>
    <w:rsid w:val="008D2144"/>
    <w:rsid w:val="008D21C4"/>
    <w:rsid w:val="008D231E"/>
    <w:rsid w:val="008D252A"/>
    <w:rsid w:val="008D256F"/>
    <w:rsid w:val="008D2573"/>
    <w:rsid w:val="008D25FF"/>
    <w:rsid w:val="008D2714"/>
    <w:rsid w:val="008D27DC"/>
    <w:rsid w:val="008D2831"/>
    <w:rsid w:val="008D2860"/>
    <w:rsid w:val="008D29C6"/>
    <w:rsid w:val="008D29E6"/>
    <w:rsid w:val="008D2AC9"/>
    <w:rsid w:val="008D2B35"/>
    <w:rsid w:val="008D2C71"/>
    <w:rsid w:val="008D2F18"/>
    <w:rsid w:val="008D2F2A"/>
    <w:rsid w:val="008D2FE9"/>
    <w:rsid w:val="008D305A"/>
    <w:rsid w:val="008D31CA"/>
    <w:rsid w:val="008D325B"/>
    <w:rsid w:val="008D362F"/>
    <w:rsid w:val="008D374F"/>
    <w:rsid w:val="008D3784"/>
    <w:rsid w:val="008D37A5"/>
    <w:rsid w:val="008D38A2"/>
    <w:rsid w:val="008D39A1"/>
    <w:rsid w:val="008D3B52"/>
    <w:rsid w:val="008D3B55"/>
    <w:rsid w:val="008D3D1C"/>
    <w:rsid w:val="008D3DDB"/>
    <w:rsid w:val="008D3E4C"/>
    <w:rsid w:val="008D3F2B"/>
    <w:rsid w:val="008D401C"/>
    <w:rsid w:val="008D41E7"/>
    <w:rsid w:val="008D426A"/>
    <w:rsid w:val="008D4321"/>
    <w:rsid w:val="008D43EE"/>
    <w:rsid w:val="008D4412"/>
    <w:rsid w:val="008D441B"/>
    <w:rsid w:val="008D44EE"/>
    <w:rsid w:val="008D4513"/>
    <w:rsid w:val="008D456F"/>
    <w:rsid w:val="008D45E5"/>
    <w:rsid w:val="008D4618"/>
    <w:rsid w:val="008D46D8"/>
    <w:rsid w:val="008D483D"/>
    <w:rsid w:val="008D48BA"/>
    <w:rsid w:val="008D4AB7"/>
    <w:rsid w:val="008D4D5D"/>
    <w:rsid w:val="008D4DA9"/>
    <w:rsid w:val="008D4EA8"/>
    <w:rsid w:val="008D52A2"/>
    <w:rsid w:val="008D52BF"/>
    <w:rsid w:val="008D53F8"/>
    <w:rsid w:val="008D5589"/>
    <w:rsid w:val="008D567F"/>
    <w:rsid w:val="008D570C"/>
    <w:rsid w:val="008D5710"/>
    <w:rsid w:val="008D5851"/>
    <w:rsid w:val="008D590E"/>
    <w:rsid w:val="008D5AAE"/>
    <w:rsid w:val="008D5B4F"/>
    <w:rsid w:val="008D5B9A"/>
    <w:rsid w:val="008D5BBD"/>
    <w:rsid w:val="008D5C41"/>
    <w:rsid w:val="008D5ED4"/>
    <w:rsid w:val="008D5EDC"/>
    <w:rsid w:val="008D5FD8"/>
    <w:rsid w:val="008D5FDE"/>
    <w:rsid w:val="008D61C5"/>
    <w:rsid w:val="008D61FC"/>
    <w:rsid w:val="008D6588"/>
    <w:rsid w:val="008D684D"/>
    <w:rsid w:val="008D696D"/>
    <w:rsid w:val="008D6A1D"/>
    <w:rsid w:val="008D6A43"/>
    <w:rsid w:val="008D6AD6"/>
    <w:rsid w:val="008D6CD1"/>
    <w:rsid w:val="008D6DC0"/>
    <w:rsid w:val="008D6F64"/>
    <w:rsid w:val="008D710D"/>
    <w:rsid w:val="008D7116"/>
    <w:rsid w:val="008D71DC"/>
    <w:rsid w:val="008D737E"/>
    <w:rsid w:val="008D7471"/>
    <w:rsid w:val="008D76A5"/>
    <w:rsid w:val="008D778D"/>
    <w:rsid w:val="008D7871"/>
    <w:rsid w:val="008D7968"/>
    <w:rsid w:val="008D79BA"/>
    <w:rsid w:val="008D7B04"/>
    <w:rsid w:val="008D7B0A"/>
    <w:rsid w:val="008D7B4F"/>
    <w:rsid w:val="008D7BB8"/>
    <w:rsid w:val="008D7E62"/>
    <w:rsid w:val="008D7FD2"/>
    <w:rsid w:val="008E0035"/>
    <w:rsid w:val="008E012F"/>
    <w:rsid w:val="008E030D"/>
    <w:rsid w:val="008E032B"/>
    <w:rsid w:val="008E03F6"/>
    <w:rsid w:val="008E0429"/>
    <w:rsid w:val="008E0507"/>
    <w:rsid w:val="008E055D"/>
    <w:rsid w:val="008E0582"/>
    <w:rsid w:val="008E0638"/>
    <w:rsid w:val="008E067C"/>
    <w:rsid w:val="008E0699"/>
    <w:rsid w:val="008E075D"/>
    <w:rsid w:val="008E0833"/>
    <w:rsid w:val="008E083D"/>
    <w:rsid w:val="008E08BC"/>
    <w:rsid w:val="008E0910"/>
    <w:rsid w:val="008E0947"/>
    <w:rsid w:val="008E098E"/>
    <w:rsid w:val="008E099A"/>
    <w:rsid w:val="008E0B23"/>
    <w:rsid w:val="008E0C37"/>
    <w:rsid w:val="008E0C4C"/>
    <w:rsid w:val="008E0CAB"/>
    <w:rsid w:val="008E0CE7"/>
    <w:rsid w:val="008E0E38"/>
    <w:rsid w:val="008E0F5A"/>
    <w:rsid w:val="008E0FD9"/>
    <w:rsid w:val="008E1036"/>
    <w:rsid w:val="008E10A3"/>
    <w:rsid w:val="008E11D6"/>
    <w:rsid w:val="008E1230"/>
    <w:rsid w:val="008E12AD"/>
    <w:rsid w:val="008E12BE"/>
    <w:rsid w:val="008E12E5"/>
    <w:rsid w:val="008E139E"/>
    <w:rsid w:val="008E13F6"/>
    <w:rsid w:val="008E14ED"/>
    <w:rsid w:val="008E1651"/>
    <w:rsid w:val="008E1698"/>
    <w:rsid w:val="008E16BE"/>
    <w:rsid w:val="008E171B"/>
    <w:rsid w:val="008E1852"/>
    <w:rsid w:val="008E1A77"/>
    <w:rsid w:val="008E1AD0"/>
    <w:rsid w:val="008E1B14"/>
    <w:rsid w:val="008E1BF3"/>
    <w:rsid w:val="008E1C45"/>
    <w:rsid w:val="008E2033"/>
    <w:rsid w:val="008E2044"/>
    <w:rsid w:val="008E206B"/>
    <w:rsid w:val="008E2258"/>
    <w:rsid w:val="008E242A"/>
    <w:rsid w:val="008E263E"/>
    <w:rsid w:val="008E27D3"/>
    <w:rsid w:val="008E2898"/>
    <w:rsid w:val="008E28B0"/>
    <w:rsid w:val="008E2A65"/>
    <w:rsid w:val="008E2AC9"/>
    <w:rsid w:val="008E2B12"/>
    <w:rsid w:val="008E2B95"/>
    <w:rsid w:val="008E2BC2"/>
    <w:rsid w:val="008E2BFD"/>
    <w:rsid w:val="008E2C21"/>
    <w:rsid w:val="008E2C95"/>
    <w:rsid w:val="008E2D1D"/>
    <w:rsid w:val="008E2D6F"/>
    <w:rsid w:val="008E2E00"/>
    <w:rsid w:val="008E2EF6"/>
    <w:rsid w:val="008E3093"/>
    <w:rsid w:val="008E30F0"/>
    <w:rsid w:val="008E3178"/>
    <w:rsid w:val="008E31C1"/>
    <w:rsid w:val="008E3214"/>
    <w:rsid w:val="008E3401"/>
    <w:rsid w:val="008E3502"/>
    <w:rsid w:val="008E35E4"/>
    <w:rsid w:val="008E37D5"/>
    <w:rsid w:val="008E387E"/>
    <w:rsid w:val="008E3A57"/>
    <w:rsid w:val="008E3ADC"/>
    <w:rsid w:val="008E3AE7"/>
    <w:rsid w:val="008E3B23"/>
    <w:rsid w:val="008E3B37"/>
    <w:rsid w:val="008E3BA6"/>
    <w:rsid w:val="008E3CA6"/>
    <w:rsid w:val="008E3E8B"/>
    <w:rsid w:val="008E3FCF"/>
    <w:rsid w:val="008E3FD4"/>
    <w:rsid w:val="008E4034"/>
    <w:rsid w:val="008E41A5"/>
    <w:rsid w:val="008E4410"/>
    <w:rsid w:val="008E4450"/>
    <w:rsid w:val="008E44B7"/>
    <w:rsid w:val="008E46A2"/>
    <w:rsid w:val="008E489C"/>
    <w:rsid w:val="008E499F"/>
    <w:rsid w:val="008E4ADC"/>
    <w:rsid w:val="008E4C15"/>
    <w:rsid w:val="008E4C6F"/>
    <w:rsid w:val="008E4F58"/>
    <w:rsid w:val="008E4F9B"/>
    <w:rsid w:val="008E50D3"/>
    <w:rsid w:val="008E5170"/>
    <w:rsid w:val="008E526E"/>
    <w:rsid w:val="008E5272"/>
    <w:rsid w:val="008E54CC"/>
    <w:rsid w:val="008E5516"/>
    <w:rsid w:val="008E56BF"/>
    <w:rsid w:val="008E5978"/>
    <w:rsid w:val="008E5AD4"/>
    <w:rsid w:val="008E5B1C"/>
    <w:rsid w:val="008E5B37"/>
    <w:rsid w:val="008E5D57"/>
    <w:rsid w:val="008E5D58"/>
    <w:rsid w:val="008E5DD9"/>
    <w:rsid w:val="008E5F1F"/>
    <w:rsid w:val="008E6153"/>
    <w:rsid w:val="008E61DA"/>
    <w:rsid w:val="008E61DB"/>
    <w:rsid w:val="008E61FC"/>
    <w:rsid w:val="008E6240"/>
    <w:rsid w:val="008E6260"/>
    <w:rsid w:val="008E6293"/>
    <w:rsid w:val="008E6496"/>
    <w:rsid w:val="008E6525"/>
    <w:rsid w:val="008E65C4"/>
    <w:rsid w:val="008E67FF"/>
    <w:rsid w:val="008E6824"/>
    <w:rsid w:val="008E683C"/>
    <w:rsid w:val="008E68E2"/>
    <w:rsid w:val="008E691B"/>
    <w:rsid w:val="008E69C7"/>
    <w:rsid w:val="008E6A65"/>
    <w:rsid w:val="008E6D85"/>
    <w:rsid w:val="008E6D95"/>
    <w:rsid w:val="008E6E3E"/>
    <w:rsid w:val="008E6EC1"/>
    <w:rsid w:val="008E6EF9"/>
    <w:rsid w:val="008E719E"/>
    <w:rsid w:val="008E724D"/>
    <w:rsid w:val="008E728D"/>
    <w:rsid w:val="008E72CC"/>
    <w:rsid w:val="008E732B"/>
    <w:rsid w:val="008E7332"/>
    <w:rsid w:val="008E736A"/>
    <w:rsid w:val="008E7415"/>
    <w:rsid w:val="008E7465"/>
    <w:rsid w:val="008E7637"/>
    <w:rsid w:val="008E7929"/>
    <w:rsid w:val="008E7A0D"/>
    <w:rsid w:val="008E7B0F"/>
    <w:rsid w:val="008E7B8F"/>
    <w:rsid w:val="008E7CC9"/>
    <w:rsid w:val="008E7DF3"/>
    <w:rsid w:val="008E7EAD"/>
    <w:rsid w:val="008E7EC8"/>
    <w:rsid w:val="008F00C6"/>
    <w:rsid w:val="008F047A"/>
    <w:rsid w:val="008F04BB"/>
    <w:rsid w:val="008F04BD"/>
    <w:rsid w:val="008F0680"/>
    <w:rsid w:val="008F0773"/>
    <w:rsid w:val="008F07D2"/>
    <w:rsid w:val="008F0862"/>
    <w:rsid w:val="008F0D29"/>
    <w:rsid w:val="008F0F07"/>
    <w:rsid w:val="008F0F9C"/>
    <w:rsid w:val="008F0FD2"/>
    <w:rsid w:val="008F107A"/>
    <w:rsid w:val="008F1080"/>
    <w:rsid w:val="008F11E6"/>
    <w:rsid w:val="008F11F3"/>
    <w:rsid w:val="008F1380"/>
    <w:rsid w:val="008F13B4"/>
    <w:rsid w:val="008F14C7"/>
    <w:rsid w:val="008F158A"/>
    <w:rsid w:val="008F15A6"/>
    <w:rsid w:val="008F1649"/>
    <w:rsid w:val="008F166A"/>
    <w:rsid w:val="008F17CE"/>
    <w:rsid w:val="008F1834"/>
    <w:rsid w:val="008F1879"/>
    <w:rsid w:val="008F18C3"/>
    <w:rsid w:val="008F18CD"/>
    <w:rsid w:val="008F18D8"/>
    <w:rsid w:val="008F1AB8"/>
    <w:rsid w:val="008F1BF0"/>
    <w:rsid w:val="008F1CBC"/>
    <w:rsid w:val="008F1DEA"/>
    <w:rsid w:val="008F1EA7"/>
    <w:rsid w:val="008F1F65"/>
    <w:rsid w:val="008F1F78"/>
    <w:rsid w:val="008F1FF2"/>
    <w:rsid w:val="008F2052"/>
    <w:rsid w:val="008F21A4"/>
    <w:rsid w:val="008F21D0"/>
    <w:rsid w:val="008F2217"/>
    <w:rsid w:val="008F229B"/>
    <w:rsid w:val="008F2480"/>
    <w:rsid w:val="008F2490"/>
    <w:rsid w:val="008F24F8"/>
    <w:rsid w:val="008F2543"/>
    <w:rsid w:val="008F25A4"/>
    <w:rsid w:val="008F25F1"/>
    <w:rsid w:val="008F261D"/>
    <w:rsid w:val="008F2666"/>
    <w:rsid w:val="008F26AC"/>
    <w:rsid w:val="008F26BA"/>
    <w:rsid w:val="008F2787"/>
    <w:rsid w:val="008F2865"/>
    <w:rsid w:val="008F28DA"/>
    <w:rsid w:val="008F28EB"/>
    <w:rsid w:val="008F2901"/>
    <w:rsid w:val="008F293B"/>
    <w:rsid w:val="008F2956"/>
    <w:rsid w:val="008F2C96"/>
    <w:rsid w:val="008F2D83"/>
    <w:rsid w:val="008F2D9E"/>
    <w:rsid w:val="008F2E12"/>
    <w:rsid w:val="008F2E38"/>
    <w:rsid w:val="008F2E90"/>
    <w:rsid w:val="008F2F2D"/>
    <w:rsid w:val="008F2F70"/>
    <w:rsid w:val="008F2FDB"/>
    <w:rsid w:val="008F3018"/>
    <w:rsid w:val="008F312C"/>
    <w:rsid w:val="008F3171"/>
    <w:rsid w:val="008F3186"/>
    <w:rsid w:val="008F31AA"/>
    <w:rsid w:val="008F3287"/>
    <w:rsid w:val="008F336E"/>
    <w:rsid w:val="008F33E1"/>
    <w:rsid w:val="008F348B"/>
    <w:rsid w:val="008F34A5"/>
    <w:rsid w:val="008F35E2"/>
    <w:rsid w:val="008F360E"/>
    <w:rsid w:val="008F362F"/>
    <w:rsid w:val="008F36C7"/>
    <w:rsid w:val="008F374B"/>
    <w:rsid w:val="008F37E7"/>
    <w:rsid w:val="008F383E"/>
    <w:rsid w:val="008F38B5"/>
    <w:rsid w:val="008F3943"/>
    <w:rsid w:val="008F39B3"/>
    <w:rsid w:val="008F3B5C"/>
    <w:rsid w:val="008F3BEE"/>
    <w:rsid w:val="008F3C74"/>
    <w:rsid w:val="008F3D77"/>
    <w:rsid w:val="008F3E15"/>
    <w:rsid w:val="008F3E9F"/>
    <w:rsid w:val="008F3EC2"/>
    <w:rsid w:val="008F3EF9"/>
    <w:rsid w:val="008F3F0D"/>
    <w:rsid w:val="008F3F88"/>
    <w:rsid w:val="008F40F6"/>
    <w:rsid w:val="008F414F"/>
    <w:rsid w:val="008F4158"/>
    <w:rsid w:val="008F41F7"/>
    <w:rsid w:val="008F43EE"/>
    <w:rsid w:val="008F4438"/>
    <w:rsid w:val="008F451E"/>
    <w:rsid w:val="008F4571"/>
    <w:rsid w:val="008F4686"/>
    <w:rsid w:val="008F46D1"/>
    <w:rsid w:val="008F4744"/>
    <w:rsid w:val="008F4846"/>
    <w:rsid w:val="008F49D3"/>
    <w:rsid w:val="008F4B83"/>
    <w:rsid w:val="008F4CF2"/>
    <w:rsid w:val="008F4D2E"/>
    <w:rsid w:val="008F4D47"/>
    <w:rsid w:val="008F4DC2"/>
    <w:rsid w:val="008F4E16"/>
    <w:rsid w:val="008F4E20"/>
    <w:rsid w:val="008F5038"/>
    <w:rsid w:val="008F5091"/>
    <w:rsid w:val="008F545B"/>
    <w:rsid w:val="008F547A"/>
    <w:rsid w:val="008F5533"/>
    <w:rsid w:val="008F553C"/>
    <w:rsid w:val="008F5551"/>
    <w:rsid w:val="008F55CD"/>
    <w:rsid w:val="008F5836"/>
    <w:rsid w:val="008F5858"/>
    <w:rsid w:val="008F5B1A"/>
    <w:rsid w:val="008F5E1F"/>
    <w:rsid w:val="008F5EA2"/>
    <w:rsid w:val="008F5F31"/>
    <w:rsid w:val="008F5FBD"/>
    <w:rsid w:val="008F60B9"/>
    <w:rsid w:val="008F61BF"/>
    <w:rsid w:val="008F6278"/>
    <w:rsid w:val="008F6296"/>
    <w:rsid w:val="008F6320"/>
    <w:rsid w:val="008F6427"/>
    <w:rsid w:val="008F6474"/>
    <w:rsid w:val="008F64D8"/>
    <w:rsid w:val="008F6569"/>
    <w:rsid w:val="008F6570"/>
    <w:rsid w:val="008F6690"/>
    <w:rsid w:val="008F66BE"/>
    <w:rsid w:val="008F676B"/>
    <w:rsid w:val="008F679D"/>
    <w:rsid w:val="008F67B2"/>
    <w:rsid w:val="008F684E"/>
    <w:rsid w:val="008F6A2E"/>
    <w:rsid w:val="008F6AB6"/>
    <w:rsid w:val="008F6B90"/>
    <w:rsid w:val="008F6B91"/>
    <w:rsid w:val="008F6DC8"/>
    <w:rsid w:val="008F6E90"/>
    <w:rsid w:val="008F6F39"/>
    <w:rsid w:val="008F7084"/>
    <w:rsid w:val="008F70AC"/>
    <w:rsid w:val="008F70BF"/>
    <w:rsid w:val="008F722F"/>
    <w:rsid w:val="008F723D"/>
    <w:rsid w:val="008F72A7"/>
    <w:rsid w:val="008F72CE"/>
    <w:rsid w:val="008F74B1"/>
    <w:rsid w:val="008F75A3"/>
    <w:rsid w:val="008F76C4"/>
    <w:rsid w:val="008F77A3"/>
    <w:rsid w:val="008F7839"/>
    <w:rsid w:val="008F7895"/>
    <w:rsid w:val="008F7964"/>
    <w:rsid w:val="008F79B4"/>
    <w:rsid w:val="008F7A5F"/>
    <w:rsid w:val="008F7A87"/>
    <w:rsid w:val="008F7AE7"/>
    <w:rsid w:val="008F7B28"/>
    <w:rsid w:val="008F7C28"/>
    <w:rsid w:val="008F7F0C"/>
    <w:rsid w:val="00900076"/>
    <w:rsid w:val="0090007B"/>
    <w:rsid w:val="0090032F"/>
    <w:rsid w:val="00900706"/>
    <w:rsid w:val="0090076B"/>
    <w:rsid w:val="00900886"/>
    <w:rsid w:val="00900B45"/>
    <w:rsid w:val="00900C2F"/>
    <w:rsid w:val="00900CA9"/>
    <w:rsid w:val="00900D0D"/>
    <w:rsid w:val="00900D32"/>
    <w:rsid w:val="00900DBF"/>
    <w:rsid w:val="00900E17"/>
    <w:rsid w:val="00900E6C"/>
    <w:rsid w:val="00900EF7"/>
    <w:rsid w:val="00900F93"/>
    <w:rsid w:val="009010D9"/>
    <w:rsid w:val="00901130"/>
    <w:rsid w:val="00901148"/>
    <w:rsid w:val="00901150"/>
    <w:rsid w:val="009011BF"/>
    <w:rsid w:val="0090125B"/>
    <w:rsid w:val="009012C5"/>
    <w:rsid w:val="009012D0"/>
    <w:rsid w:val="009013D2"/>
    <w:rsid w:val="0090140C"/>
    <w:rsid w:val="0090144B"/>
    <w:rsid w:val="00901554"/>
    <w:rsid w:val="0090177A"/>
    <w:rsid w:val="009019B2"/>
    <w:rsid w:val="00901A31"/>
    <w:rsid w:val="00901ADE"/>
    <w:rsid w:val="00901AF1"/>
    <w:rsid w:val="00901C40"/>
    <w:rsid w:val="00901DD2"/>
    <w:rsid w:val="00901FB1"/>
    <w:rsid w:val="00902023"/>
    <w:rsid w:val="0090207B"/>
    <w:rsid w:val="009020A5"/>
    <w:rsid w:val="0090210D"/>
    <w:rsid w:val="00902117"/>
    <w:rsid w:val="00902151"/>
    <w:rsid w:val="009021CD"/>
    <w:rsid w:val="00902400"/>
    <w:rsid w:val="00902459"/>
    <w:rsid w:val="0090254D"/>
    <w:rsid w:val="00902592"/>
    <w:rsid w:val="009025B4"/>
    <w:rsid w:val="00902687"/>
    <w:rsid w:val="009026E6"/>
    <w:rsid w:val="00902866"/>
    <w:rsid w:val="0090287B"/>
    <w:rsid w:val="0090291D"/>
    <w:rsid w:val="00902AE6"/>
    <w:rsid w:val="00902B88"/>
    <w:rsid w:val="00902D30"/>
    <w:rsid w:val="00902E56"/>
    <w:rsid w:val="00902F04"/>
    <w:rsid w:val="00902FF0"/>
    <w:rsid w:val="0090308A"/>
    <w:rsid w:val="00903163"/>
    <w:rsid w:val="009031EF"/>
    <w:rsid w:val="00903205"/>
    <w:rsid w:val="0090324D"/>
    <w:rsid w:val="0090325E"/>
    <w:rsid w:val="0090327E"/>
    <w:rsid w:val="00903631"/>
    <w:rsid w:val="00903798"/>
    <w:rsid w:val="009037AC"/>
    <w:rsid w:val="009037B6"/>
    <w:rsid w:val="0090387F"/>
    <w:rsid w:val="00903A81"/>
    <w:rsid w:val="00903AB6"/>
    <w:rsid w:val="00903BD7"/>
    <w:rsid w:val="00903CD6"/>
    <w:rsid w:val="00903D81"/>
    <w:rsid w:val="00903E43"/>
    <w:rsid w:val="00903EA7"/>
    <w:rsid w:val="00903F5B"/>
    <w:rsid w:val="00904376"/>
    <w:rsid w:val="009043AB"/>
    <w:rsid w:val="0090440D"/>
    <w:rsid w:val="00904567"/>
    <w:rsid w:val="009047D1"/>
    <w:rsid w:val="009047EB"/>
    <w:rsid w:val="00904864"/>
    <w:rsid w:val="009048B4"/>
    <w:rsid w:val="0090494C"/>
    <w:rsid w:val="00904A0F"/>
    <w:rsid w:val="00904ACE"/>
    <w:rsid w:val="00904B0A"/>
    <w:rsid w:val="00904D45"/>
    <w:rsid w:val="00904E43"/>
    <w:rsid w:val="00904ED3"/>
    <w:rsid w:val="00904F06"/>
    <w:rsid w:val="00904F3C"/>
    <w:rsid w:val="0090502B"/>
    <w:rsid w:val="009050CE"/>
    <w:rsid w:val="009050E3"/>
    <w:rsid w:val="00905183"/>
    <w:rsid w:val="0090519D"/>
    <w:rsid w:val="009051FE"/>
    <w:rsid w:val="00905285"/>
    <w:rsid w:val="009052C0"/>
    <w:rsid w:val="0090550B"/>
    <w:rsid w:val="00905869"/>
    <w:rsid w:val="0090592C"/>
    <w:rsid w:val="00905C66"/>
    <w:rsid w:val="00905CE5"/>
    <w:rsid w:val="00905DC2"/>
    <w:rsid w:val="00905ECF"/>
    <w:rsid w:val="00905EE9"/>
    <w:rsid w:val="00905FA2"/>
    <w:rsid w:val="00905FF6"/>
    <w:rsid w:val="00905FF7"/>
    <w:rsid w:val="0090600B"/>
    <w:rsid w:val="00906117"/>
    <w:rsid w:val="009062A9"/>
    <w:rsid w:val="009062AD"/>
    <w:rsid w:val="00906334"/>
    <w:rsid w:val="00906459"/>
    <w:rsid w:val="00906496"/>
    <w:rsid w:val="0090651C"/>
    <w:rsid w:val="0090657B"/>
    <w:rsid w:val="00906615"/>
    <w:rsid w:val="009067B6"/>
    <w:rsid w:val="009067EA"/>
    <w:rsid w:val="009067FC"/>
    <w:rsid w:val="00906869"/>
    <w:rsid w:val="0090698A"/>
    <w:rsid w:val="00906C6F"/>
    <w:rsid w:val="00906CC3"/>
    <w:rsid w:val="00906D05"/>
    <w:rsid w:val="00906D8F"/>
    <w:rsid w:val="00907067"/>
    <w:rsid w:val="00907227"/>
    <w:rsid w:val="009072C5"/>
    <w:rsid w:val="0090735A"/>
    <w:rsid w:val="00907628"/>
    <w:rsid w:val="00907739"/>
    <w:rsid w:val="00907828"/>
    <w:rsid w:val="009078F3"/>
    <w:rsid w:val="00907924"/>
    <w:rsid w:val="00907956"/>
    <w:rsid w:val="00907AFB"/>
    <w:rsid w:val="00907C11"/>
    <w:rsid w:val="00907E7E"/>
    <w:rsid w:val="00907EB7"/>
    <w:rsid w:val="00907FBB"/>
    <w:rsid w:val="00907FCB"/>
    <w:rsid w:val="00907FDD"/>
    <w:rsid w:val="00910044"/>
    <w:rsid w:val="0091010E"/>
    <w:rsid w:val="0091019B"/>
    <w:rsid w:val="00910207"/>
    <w:rsid w:val="00910267"/>
    <w:rsid w:val="00910472"/>
    <w:rsid w:val="00910492"/>
    <w:rsid w:val="009107AA"/>
    <w:rsid w:val="009108C1"/>
    <w:rsid w:val="009108E2"/>
    <w:rsid w:val="009109A6"/>
    <w:rsid w:val="009109B2"/>
    <w:rsid w:val="009109E6"/>
    <w:rsid w:val="00910A01"/>
    <w:rsid w:val="00910A67"/>
    <w:rsid w:val="00910A9C"/>
    <w:rsid w:val="00910B1F"/>
    <w:rsid w:val="00910C22"/>
    <w:rsid w:val="00910D22"/>
    <w:rsid w:val="00910D86"/>
    <w:rsid w:val="00910EAA"/>
    <w:rsid w:val="00910F36"/>
    <w:rsid w:val="009110A8"/>
    <w:rsid w:val="009110B9"/>
    <w:rsid w:val="0091121C"/>
    <w:rsid w:val="009112AD"/>
    <w:rsid w:val="00911302"/>
    <w:rsid w:val="00911368"/>
    <w:rsid w:val="009113C7"/>
    <w:rsid w:val="0091152D"/>
    <w:rsid w:val="009115A5"/>
    <w:rsid w:val="00911679"/>
    <w:rsid w:val="009116B4"/>
    <w:rsid w:val="009117E3"/>
    <w:rsid w:val="0091180A"/>
    <w:rsid w:val="00911890"/>
    <w:rsid w:val="009118B6"/>
    <w:rsid w:val="009118F5"/>
    <w:rsid w:val="0091194A"/>
    <w:rsid w:val="0091198C"/>
    <w:rsid w:val="009119A8"/>
    <w:rsid w:val="00911A8A"/>
    <w:rsid w:val="00911ABB"/>
    <w:rsid w:val="00911B2B"/>
    <w:rsid w:val="00911B4F"/>
    <w:rsid w:val="00911D54"/>
    <w:rsid w:val="00911D79"/>
    <w:rsid w:val="00911E4F"/>
    <w:rsid w:val="00911F76"/>
    <w:rsid w:val="00911FBE"/>
    <w:rsid w:val="00912030"/>
    <w:rsid w:val="0091211F"/>
    <w:rsid w:val="0091212D"/>
    <w:rsid w:val="00912163"/>
    <w:rsid w:val="00912205"/>
    <w:rsid w:val="0091227D"/>
    <w:rsid w:val="00912387"/>
    <w:rsid w:val="00912391"/>
    <w:rsid w:val="00912394"/>
    <w:rsid w:val="009123E9"/>
    <w:rsid w:val="009123FD"/>
    <w:rsid w:val="009126B1"/>
    <w:rsid w:val="009126F6"/>
    <w:rsid w:val="00912703"/>
    <w:rsid w:val="009127AF"/>
    <w:rsid w:val="0091283E"/>
    <w:rsid w:val="009128E3"/>
    <w:rsid w:val="009128F6"/>
    <w:rsid w:val="0091292C"/>
    <w:rsid w:val="00912A5D"/>
    <w:rsid w:val="00912B16"/>
    <w:rsid w:val="00912B35"/>
    <w:rsid w:val="00912BC8"/>
    <w:rsid w:val="00912C4F"/>
    <w:rsid w:val="00912CF6"/>
    <w:rsid w:val="00912DE9"/>
    <w:rsid w:val="00912E06"/>
    <w:rsid w:val="00912E11"/>
    <w:rsid w:val="00912EDB"/>
    <w:rsid w:val="00912FBF"/>
    <w:rsid w:val="00913082"/>
    <w:rsid w:val="00913095"/>
    <w:rsid w:val="0091369E"/>
    <w:rsid w:val="0091381E"/>
    <w:rsid w:val="00913886"/>
    <w:rsid w:val="009138D0"/>
    <w:rsid w:val="009138D3"/>
    <w:rsid w:val="00913972"/>
    <w:rsid w:val="00913B80"/>
    <w:rsid w:val="00913BA5"/>
    <w:rsid w:val="00913C20"/>
    <w:rsid w:val="00913E0F"/>
    <w:rsid w:val="00913F2A"/>
    <w:rsid w:val="00914041"/>
    <w:rsid w:val="00914073"/>
    <w:rsid w:val="009141C6"/>
    <w:rsid w:val="00914259"/>
    <w:rsid w:val="0091426C"/>
    <w:rsid w:val="009142A7"/>
    <w:rsid w:val="009142CB"/>
    <w:rsid w:val="0091450C"/>
    <w:rsid w:val="0091454E"/>
    <w:rsid w:val="0091471D"/>
    <w:rsid w:val="009147CA"/>
    <w:rsid w:val="00914A44"/>
    <w:rsid w:val="00914A7D"/>
    <w:rsid w:val="00914A9A"/>
    <w:rsid w:val="00914BC0"/>
    <w:rsid w:val="00914C81"/>
    <w:rsid w:val="00914E39"/>
    <w:rsid w:val="00914F11"/>
    <w:rsid w:val="00914F3A"/>
    <w:rsid w:val="00914FC7"/>
    <w:rsid w:val="0091531D"/>
    <w:rsid w:val="00915425"/>
    <w:rsid w:val="00915448"/>
    <w:rsid w:val="0091583D"/>
    <w:rsid w:val="00915984"/>
    <w:rsid w:val="00915AD2"/>
    <w:rsid w:val="00915C40"/>
    <w:rsid w:val="00915E44"/>
    <w:rsid w:val="00915E61"/>
    <w:rsid w:val="00915ED0"/>
    <w:rsid w:val="00916117"/>
    <w:rsid w:val="00916249"/>
    <w:rsid w:val="0091636E"/>
    <w:rsid w:val="00916388"/>
    <w:rsid w:val="0091644E"/>
    <w:rsid w:val="009164AF"/>
    <w:rsid w:val="00916506"/>
    <w:rsid w:val="009166B8"/>
    <w:rsid w:val="0091683C"/>
    <w:rsid w:val="00916888"/>
    <w:rsid w:val="009168C1"/>
    <w:rsid w:val="0091692D"/>
    <w:rsid w:val="00916EBA"/>
    <w:rsid w:val="00916FBC"/>
    <w:rsid w:val="0091727B"/>
    <w:rsid w:val="0091729A"/>
    <w:rsid w:val="00917581"/>
    <w:rsid w:val="009175A9"/>
    <w:rsid w:val="009177C6"/>
    <w:rsid w:val="0091794B"/>
    <w:rsid w:val="0091796F"/>
    <w:rsid w:val="009179A1"/>
    <w:rsid w:val="00917B37"/>
    <w:rsid w:val="00917DC6"/>
    <w:rsid w:val="00917E2B"/>
    <w:rsid w:val="00917E5A"/>
    <w:rsid w:val="00917F8E"/>
    <w:rsid w:val="0092015A"/>
    <w:rsid w:val="0092021E"/>
    <w:rsid w:val="0092028E"/>
    <w:rsid w:val="0092037A"/>
    <w:rsid w:val="0092045B"/>
    <w:rsid w:val="009204F5"/>
    <w:rsid w:val="009207B8"/>
    <w:rsid w:val="00920AAE"/>
    <w:rsid w:val="00920B70"/>
    <w:rsid w:val="00920C70"/>
    <w:rsid w:val="00920C7C"/>
    <w:rsid w:val="00920CA3"/>
    <w:rsid w:val="00920D56"/>
    <w:rsid w:val="00920DA7"/>
    <w:rsid w:val="00920E0B"/>
    <w:rsid w:val="00920E2B"/>
    <w:rsid w:val="00920F6F"/>
    <w:rsid w:val="00920F8A"/>
    <w:rsid w:val="00920FA0"/>
    <w:rsid w:val="009211EF"/>
    <w:rsid w:val="00921237"/>
    <w:rsid w:val="0092128F"/>
    <w:rsid w:val="0092130A"/>
    <w:rsid w:val="0092134E"/>
    <w:rsid w:val="009213FC"/>
    <w:rsid w:val="00921505"/>
    <w:rsid w:val="0092154C"/>
    <w:rsid w:val="0092157A"/>
    <w:rsid w:val="00921599"/>
    <w:rsid w:val="009215DD"/>
    <w:rsid w:val="00921600"/>
    <w:rsid w:val="00921610"/>
    <w:rsid w:val="00921957"/>
    <w:rsid w:val="00921AAB"/>
    <w:rsid w:val="00921B49"/>
    <w:rsid w:val="00921B94"/>
    <w:rsid w:val="00921CC4"/>
    <w:rsid w:val="00921CFC"/>
    <w:rsid w:val="00921D0B"/>
    <w:rsid w:val="00921D45"/>
    <w:rsid w:val="00921EF6"/>
    <w:rsid w:val="00921F11"/>
    <w:rsid w:val="00921FC2"/>
    <w:rsid w:val="00922045"/>
    <w:rsid w:val="0092211C"/>
    <w:rsid w:val="0092219F"/>
    <w:rsid w:val="009222E6"/>
    <w:rsid w:val="009222ED"/>
    <w:rsid w:val="0092230B"/>
    <w:rsid w:val="0092231A"/>
    <w:rsid w:val="00922370"/>
    <w:rsid w:val="0092243C"/>
    <w:rsid w:val="00922461"/>
    <w:rsid w:val="0092246E"/>
    <w:rsid w:val="009224C2"/>
    <w:rsid w:val="0092257B"/>
    <w:rsid w:val="00922683"/>
    <w:rsid w:val="009227D3"/>
    <w:rsid w:val="00922881"/>
    <w:rsid w:val="0092290A"/>
    <w:rsid w:val="00922A31"/>
    <w:rsid w:val="00922B28"/>
    <w:rsid w:val="00922C54"/>
    <w:rsid w:val="00922C93"/>
    <w:rsid w:val="00922D85"/>
    <w:rsid w:val="00922E67"/>
    <w:rsid w:val="00923021"/>
    <w:rsid w:val="009231A6"/>
    <w:rsid w:val="00923360"/>
    <w:rsid w:val="00923439"/>
    <w:rsid w:val="0092349D"/>
    <w:rsid w:val="0092363A"/>
    <w:rsid w:val="00923892"/>
    <w:rsid w:val="009238A7"/>
    <w:rsid w:val="009238B9"/>
    <w:rsid w:val="00923A17"/>
    <w:rsid w:val="00923A19"/>
    <w:rsid w:val="00923BC8"/>
    <w:rsid w:val="00923CA4"/>
    <w:rsid w:val="00923DBF"/>
    <w:rsid w:val="00924163"/>
    <w:rsid w:val="0092419A"/>
    <w:rsid w:val="009241B0"/>
    <w:rsid w:val="0092439A"/>
    <w:rsid w:val="009243BE"/>
    <w:rsid w:val="009244AD"/>
    <w:rsid w:val="009244DC"/>
    <w:rsid w:val="0092455D"/>
    <w:rsid w:val="009245B4"/>
    <w:rsid w:val="0092463E"/>
    <w:rsid w:val="00924790"/>
    <w:rsid w:val="009247E2"/>
    <w:rsid w:val="00924F71"/>
    <w:rsid w:val="00925178"/>
    <w:rsid w:val="009251B0"/>
    <w:rsid w:val="00925331"/>
    <w:rsid w:val="0092547F"/>
    <w:rsid w:val="009255BC"/>
    <w:rsid w:val="009257F4"/>
    <w:rsid w:val="00925B91"/>
    <w:rsid w:val="00925B95"/>
    <w:rsid w:val="00925C43"/>
    <w:rsid w:val="00925CA5"/>
    <w:rsid w:val="00925D60"/>
    <w:rsid w:val="00925E31"/>
    <w:rsid w:val="00925EED"/>
    <w:rsid w:val="00925F45"/>
    <w:rsid w:val="009260A9"/>
    <w:rsid w:val="009262AA"/>
    <w:rsid w:val="0092639F"/>
    <w:rsid w:val="009263EE"/>
    <w:rsid w:val="00926436"/>
    <w:rsid w:val="0092647A"/>
    <w:rsid w:val="009264B3"/>
    <w:rsid w:val="009265A0"/>
    <w:rsid w:val="009265BE"/>
    <w:rsid w:val="00926631"/>
    <w:rsid w:val="00926688"/>
    <w:rsid w:val="00926840"/>
    <w:rsid w:val="00926859"/>
    <w:rsid w:val="0092686D"/>
    <w:rsid w:val="00926AF7"/>
    <w:rsid w:val="00926B1D"/>
    <w:rsid w:val="00926BE6"/>
    <w:rsid w:val="00926BFF"/>
    <w:rsid w:val="00926C39"/>
    <w:rsid w:val="00926D76"/>
    <w:rsid w:val="00926DAF"/>
    <w:rsid w:val="00926DDC"/>
    <w:rsid w:val="00926F0E"/>
    <w:rsid w:val="00926F24"/>
    <w:rsid w:val="00926F46"/>
    <w:rsid w:val="00926FBD"/>
    <w:rsid w:val="009271DA"/>
    <w:rsid w:val="00927320"/>
    <w:rsid w:val="0092734C"/>
    <w:rsid w:val="00927378"/>
    <w:rsid w:val="00927436"/>
    <w:rsid w:val="00927450"/>
    <w:rsid w:val="009274BF"/>
    <w:rsid w:val="009275E2"/>
    <w:rsid w:val="00927999"/>
    <w:rsid w:val="00927A02"/>
    <w:rsid w:val="00927A20"/>
    <w:rsid w:val="00927C5B"/>
    <w:rsid w:val="00927C66"/>
    <w:rsid w:val="00927D3A"/>
    <w:rsid w:val="00927D7B"/>
    <w:rsid w:val="00927DEC"/>
    <w:rsid w:val="00927F76"/>
    <w:rsid w:val="00930035"/>
    <w:rsid w:val="0093011C"/>
    <w:rsid w:val="00930300"/>
    <w:rsid w:val="00930495"/>
    <w:rsid w:val="009304A2"/>
    <w:rsid w:val="0093050C"/>
    <w:rsid w:val="0093067A"/>
    <w:rsid w:val="009307F4"/>
    <w:rsid w:val="00930894"/>
    <w:rsid w:val="009308EE"/>
    <w:rsid w:val="00930A58"/>
    <w:rsid w:val="00930A5B"/>
    <w:rsid w:val="00930BC7"/>
    <w:rsid w:val="00930E7D"/>
    <w:rsid w:val="00930E96"/>
    <w:rsid w:val="0093106F"/>
    <w:rsid w:val="00931090"/>
    <w:rsid w:val="0093125D"/>
    <w:rsid w:val="00931272"/>
    <w:rsid w:val="00931337"/>
    <w:rsid w:val="00931463"/>
    <w:rsid w:val="00931490"/>
    <w:rsid w:val="009316A1"/>
    <w:rsid w:val="00931744"/>
    <w:rsid w:val="00931886"/>
    <w:rsid w:val="009318E0"/>
    <w:rsid w:val="00931B2D"/>
    <w:rsid w:val="00931BE9"/>
    <w:rsid w:val="00931C26"/>
    <w:rsid w:val="00931D5D"/>
    <w:rsid w:val="00931E2C"/>
    <w:rsid w:val="00931EC5"/>
    <w:rsid w:val="00931F9E"/>
    <w:rsid w:val="00932028"/>
    <w:rsid w:val="0093202B"/>
    <w:rsid w:val="009320BF"/>
    <w:rsid w:val="009325FA"/>
    <w:rsid w:val="00932629"/>
    <w:rsid w:val="00932662"/>
    <w:rsid w:val="00932718"/>
    <w:rsid w:val="00932783"/>
    <w:rsid w:val="0093299B"/>
    <w:rsid w:val="00932A2F"/>
    <w:rsid w:val="00932A3B"/>
    <w:rsid w:val="00932AFF"/>
    <w:rsid w:val="00932C28"/>
    <w:rsid w:val="00932D09"/>
    <w:rsid w:val="00932DE6"/>
    <w:rsid w:val="00932DE8"/>
    <w:rsid w:val="00932E41"/>
    <w:rsid w:val="00932E68"/>
    <w:rsid w:val="00932FD8"/>
    <w:rsid w:val="009330B9"/>
    <w:rsid w:val="009330E3"/>
    <w:rsid w:val="00933171"/>
    <w:rsid w:val="009335A3"/>
    <w:rsid w:val="00933772"/>
    <w:rsid w:val="009337B7"/>
    <w:rsid w:val="00933875"/>
    <w:rsid w:val="00933A52"/>
    <w:rsid w:val="00933AC0"/>
    <w:rsid w:val="00933C1D"/>
    <w:rsid w:val="00933D13"/>
    <w:rsid w:val="00933F40"/>
    <w:rsid w:val="00933F57"/>
    <w:rsid w:val="009340D7"/>
    <w:rsid w:val="0093411E"/>
    <w:rsid w:val="009341EE"/>
    <w:rsid w:val="0093429C"/>
    <w:rsid w:val="009342FB"/>
    <w:rsid w:val="0093432A"/>
    <w:rsid w:val="00934394"/>
    <w:rsid w:val="00934490"/>
    <w:rsid w:val="009346C7"/>
    <w:rsid w:val="00934803"/>
    <w:rsid w:val="0093488A"/>
    <w:rsid w:val="00934893"/>
    <w:rsid w:val="0093493F"/>
    <w:rsid w:val="009349F4"/>
    <w:rsid w:val="00934A27"/>
    <w:rsid w:val="00934B49"/>
    <w:rsid w:val="00934C5E"/>
    <w:rsid w:val="00934E36"/>
    <w:rsid w:val="00934F54"/>
    <w:rsid w:val="00934F77"/>
    <w:rsid w:val="009350C0"/>
    <w:rsid w:val="00935335"/>
    <w:rsid w:val="0093539B"/>
    <w:rsid w:val="009354DF"/>
    <w:rsid w:val="009356D8"/>
    <w:rsid w:val="009359BB"/>
    <w:rsid w:val="00935B80"/>
    <w:rsid w:val="00935B85"/>
    <w:rsid w:val="00935CAA"/>
    <w:rsid w:val="00935E4F"/>
    <w:rsid w:val="00935FB7"/>
    <w:rsid w:val="00935FEF"/>
    <w:rsid w:val="009360FB"/>
    <w:rsid w:val="0093618C"/>
    <w:rsid w:val="009362A4"/>
    <w:rsid w:val="00936408"/>
    <w:rsid w:val="00936425"/>
    <w:rsid w:val="00936444"/>
    <w:rsid w:val="009364DD"/>
    <w:rsid w:val="00936638"/>
    <w:rsid w:val="0093667B"/>
    <w:rsid w:val="00936782"/>
    <w:rsid w:val="009367CC"/>
    <w:rsid w:val="00936882"/>
    <w:rsid w:val="009369BA"/>
    <w:rsid w:val="009369BB"/>
    <w:rsid w:val="00936A06"/>
    <w:rsid w:val="00936A58"/>
    <w:rsid w:val="00936B8B"/>
    <w:rsid w:val="00936C9A"/>
    <w:rsid w:val="00936CA4"/>
    <w:rsid w:val="00936D92"/>
    <w:rsid w:val="00936E2D"/>
    <w:rsid w:val="00936EC0"/>
    <w:rsid w:val="009370A5"/>
    <w:rsid w:val="009370B3"/>
    <w:rsid w:val="00937108"/>
    <w:rsid w:val="0093712F"/>
    <w:rsid w:val="0093720F"/>
    <w:rsid w:val="00937359"/>
    <w:rsid w:val="0093747D"/>
    <w:rsid w:val="0093751C"/>
    <w:rsid w:val="009375A9"/>
    <w:rsid w:val="0093774B"/>
    <w:rsid w:val="0093782C"/>
    <w:rsid w:val="00937865"/>
    <w:rsid w:val="0093797F"/>
    <w:rsid w:val="009379CF"/>
    <w:rsid w:val="00937A4A"/>
    <w:rsid w:val="00937A65"/>
    <w:rsid w:val="00937ACE"/>
    <w:rsid w:val="00937B55"/>
    <w:rsid w:val="00937B97"/>
    <w:rsid w:val="00937C40"/>
    <w:rsid w:val="00937C45"/>
    <w:rsid w:val="00937C5B"/>
    <w:rsid w:val="00937ECA"/>
    <w:rsid w:val="009401FC"/>
    <w:rsid w:val="009402FF"/>
    <w:rsid w:val="00940363"/>
    <w:rsid w:val="009403B3"/>
    <w:rsid w:val="00940482"/>
    <w:rsid w:val="009405CB"/>
    <w:rsid w:val="009406CB"/>
    <w:rsid w:val="00940748"/>
    <w:rsid w:val="00940AFE"/>
    <w:rsid w:val="00940D1C"/>
    <w:rsid w:val="00940ED6"/>
    <w:rsid w:val="00940F8C"/>
    <w:rsid w:val="0094106F"/>
    <w:rsid w:val="009410B9"/>
    <w:rsid w:val="00941268"/>
    <w:rsid w:val="00941576"/>
    <w:rsid w:val="009415D7"/>
    <w:rsid w:val="00941785"/>
    <w:rsid w:val="009417DE"/>
    <w:rsid w:val="009418C9"/>
    <w:rsid w:val="009419D4"/>
    <w:rsid w:val="00941A58"/>
    <w:rsid w:val="00941B6C"/>
    <w:rsid w:val="00942010"/>
    <w:rsid w:val="0094216B"/>
    <w:rsid w:val="009421E6"/>
    <w:rsid w:val="00942216"/>
    <w:rsid w:val="00942336"/>
    <w:rsid w:val="009423B6"/>
    <w:rsid w:val="00942651"/>
    <w:rsid w:val="00942D0E"/>
    <w:rsid w:val="00942D15"/>
    <w:rsid w:val="00942D2F"/>
    <w:rsid w:val="00942EB2"/>
    <w:rsid w:val="009431AF"/>
    <w:rsid w:val="009433CC"/>
    <w:rsid w:val="009433E1"/>
    <w:rsid w:val="00943501"/>
    <w:rsid w:val="00943563"/>
    <w:rsid w:val="009435C3"/>
    <w:rsid w:val="0094372D"/>
    <w:rsid w:val="00943735"/>
    <w:rsid w:val="00943771"/>
    <w:rsid w:val="00943843"/>
    <w:rsid w:val="00943917"/>
    <w:rsid w:val="00943A43"/>
    <w:rsid w:val="00943CE1"/>
    <w:rsid w:val="00943E96"/>
    <w:rsid w:val="00943F43"/>
    <w:rsid w:val="00943F74"/>
    <w:rsid w:val="00943FD5"/>
    <w:rsid w:val="009440FF"/>
    <w:rsid w:val="0094423B"/>
    <w:rsid w:val="00944434"/>
    <w:rsid w:val="00944574"/>
    <w:rsid w:val="00944943"/>
    <w:rsid w:val="0094498E"/>
    <w:rsid w:val="00944A01"/>
    <w:rsid w:val="00944AFE"/>
    <w:rsid w:val="00944C7B"/>
    <w:rsid w:val="00944DF5"/>
    <w:rsid w:val="00944F76"/>
    <w:rsid w:val="00944FAD"/>
    <w:rsid w:val="00945133"/>
    <w:rsid w:val="0094519C"/>
    <w:rsid w:val="009455BE"/>
    <w:rsid w:val="00945647"/>
    <w:rsid w:val="009456E6"/>
    <w:rsid w:val="00945828"/>
    <w:rsid w:val="00945976"/>
    <w:rsid w:val="00945A97"/>
    <w:rsid w:val="00945B70"/>
    <w:rsid w:val="00945B8D"/>
    <w:rsid w:val="00945BE4"/>
    <w:rsid w:val="00945DBC"/>
    <w:rsid w:val="00945E83"/>
    <w:rsid w:val="00945EE1"/>
    <w:rsid w:val="009460BF"/>
    <w:rsid w:val="0094610D"/>
    <w:rsid w:val="0094619B"/>
    <w:rsid w:val="009461A5"/>
    <w:rsid w:val="009461AB"/>
    <w:rsid w:val="009461CD"/>
    <w:rsid w:val="0094628A"/>
    <w:rsid w:val="009462DC"/>
    <w:rsid w:val="00946463"/>
    <w:rsid w:val="009465E6"/>
    <w:rsid w:val="00946639"/>
    <w:rsid w:val="009467CE"/>
    <w:rsid w:val="00946821"/>
    <w:rsid w:val="009468A3"/>
    <w:rsid w:val="009469EC"/>
    <w:rsid w:val="00946A14"/>
    <w:rsid w:val="00946A8E"/>
    <w:rsid w:val="00946AEA"/>
    <w:rsid w:val="00946B86"/>
    <w:rsid w:val="00946E17"/>
    <w:rsid w:val="00946E5C"/>
    <w:rsid w:val="00946E77"/>
    <w:rsid w:val="00947254"/>
    <w:rsid w:val="0094725C"/>
    <w:rsid w:val="009472AE"/>
    <w:rsid w:val="009473FD"/>
    <w:rsid w:val="00947409"/>
    <w:rsid w:val="00947553"/>
    <w:rsid w:val="0094757A"/>
    <w:rsid w:val="0094758F"/>
    <w:rsid w:val="009475A3"/>
    <w:rsid w:val="009477E6"/>
    <w:rsid w:val="00947835"/>
    <w:rsid w:val="00947AAB"/>
    <w:rsid w:val="00947CCE"/>
    <w:rsid w:val="00947D68"/>
    <w:rsid w:val="00947D8C"/>
    <w:rsid w:val="00947E32"/>
    <w:rsid w:val="00947FBF"/>
    <w:rsid w:val="00947FC8"/>
    <w:rsid w:val="0095021B"/>
    <w:rsid w:val="00950246"/>
    <w:rsid w:val="0095028B"/>
    <w:rsid w:val="0095055A"/>
    <w:rsid w:val="0095056E"/>
    <w:rsid w:val="00950622"/>
    <w:rsid w:val="009507F9"/>
    <w:rsid w:val="0095088E"/>
    <w:rsid w:val="00950AEB"/>
    <w:rsid w:val="00950C16"/>
    <w:rsid w:val="00951191"/>
    <w:rsid w:val="00951227"/>
    <w:rsid w:val="0095126D"/>
    <w:rsid w:val="00951275"/>
    <w:rsid w:val="00951304"/>
    <w:rsid w:val="009513F2"/>
    <w:rsid w:val="00951470"/>
    <w:rsid w:val="00951528"/>
    <w:rsid w:val="00951537"/>
    <w:rsid w:val="00951573"/>
    <w:rsid w:val="00951782"/>
    <w:rsid w:val="009517C3"/>
    <w:rsid w:val="009518A4"/>
    <w:rsid w:val="0095193B"/>
    <w:rsid w:val="00951979"/>
    <w:rsid w:val="00951B06"/>
    <w:rsid w:val="00951B5B"/>
    <w:rsid w:val="00951C58"/>
    <w:rsid w:val="00951D54"/>
    <w:rsid w:val="00951D8A"/>
    <w:rsid w:val="00951E60"/>
    <w:rsid w:val="00951E6E"/>
    <w:rsid w:val="00951F0A"/>
    <w:rsid w:val="00951F6D"/>
    <w:rsid w:val="00952038"/>
    <w:rsid w:val="00952444"/>
    <w:rsid w:val="00952659"/>
    <w:rsid w:val="009527D3"/>
    <w:rsid w:val="00952801"/>
    <w:rsid w:val="009528AF"/>
    <w:rsid w:val="00952A30"/>
    <w:rsid w:val="00952B43"/>
    <w:rsid w:val="00952B58"/>
    <w:rsid w:val="00953161"/>
    <w:rsid w:val="0095326A"/>
    <w:rsid w:val="00953373"/>
    <w:rsid w:val="00953589"/>
    <w:rsid w:val="009536F0"/>
    <w:rsid w:val="0095376C"/>
    <w:rsid w:val="009537EA"/>
    <w:rsid w:val="009539AB"/>
    <w:rsid w:val="00953A85"/>
    <w:rsid w:val="00953AAF"/>
    <w:rsid w:val="00953ACF"/>
    <w:rsid w:val="00953C20"/>
    <w:rsid w:val="00953CE1"/>
    <w:rsid w:val="00953CF5"/>
    <w:rsid w:val="00953F3B"/>
    <w:rsid w:val="00953F72"/>
    <w:rsid w:val="00953FA9"/>
    <w:rsid w:val="0095402E"/>
    <w:rsid w:val="0095418A"/>
    <w:rsid w:val="00954253"/>
    <w:rsid w:val="0095432C"/>
    <w:rsid w:val="009543F6"/>
    <w:rsid w:val="0095449C"/>
    <w:rsid w:val="009544C5"/>
    <w:rsid w:val="009545F5"/>
    <w:rsid w:val="00954668"/>
    <w:rsid w:val="0095471E"/>
    <w:rsid w:val="009548AE"/>
    <w:rsid w:val="00954971"/>
    <w:rsid w:val="00954985"/>
    <w:rsid w:val="0095499B"/>
    <w:rsid w:val="00954ABE"/>
    <w:rsid w:val="00954BB7"/>
    <w:rsid w:val="00954D1D"/>
    <w:rsid w:val="00954E51"/>
    <w:rsid w:val="00954EA0"/>
    <w:rsid w:val="00954F99"/>
    <w:rsid w:val="00955059"/>
    <w:rsid w:val="009550CE"/>
    <w:rsid w:val="0095529C"/>
    <w:rsid w:val="00955603"/>
    <w:rsid w:val="00955959"/>
    <w:rsid w:val="00955962"/>
    <w:rsid w:val="00955A5D"/>
    <w:rsid w:val="00955ACE"/>
    <w:rsid w:val="00955C78"/>
    <w:rsid w:val="00955CB6"/>
    <w:rsid w:val="00955D40"/>
    <w:rsid w:val="00955E8F"/>
    <w:rsid w:val="00955F3E"/>
    <w:rsid w:val="00956048"/>
    <w:rsid w:val="0095604F"/>
    <w:rsid w:val="00956436"/>
    <w:rsid w:val="00956441"/>
    <w:rsid w:val="0095649B"/>
    <w:rsid w:val="0095653A"/>
    <w:rsid w:val="00956658"/>
    <w:rsid w:val="0095669B"/>
    <w:rsid w:val="009566E5"/>
    <w:rsid w:val="00956815"/>
    <w:rsid w:val="00956849"/>
    <w:rsid w:val="00956872"/>
    <w:rsid w:val="009568DA"/>
    <w:rsid w:val="009568FF"/>
    <w:rsid w:val="0095691A"/>
    <w:rsid w:val="009569E7"/>
    <w:rsid w:val="00956AA7"/>
    <w:rsid w:val="00956B2F"/>
    <w:rsid w:val="00956CFC"/>
    <w:rsid w:val="00956E0D"/>
    <w:rsid w:val="009570D8"/>
    <w:rsid w:val="00957282"/>
    <w:rsid w:val="009574B6"/>
    <w:rsid w:val="009574EE"/>
    <w:rsid w:val="0095756D"/>
    <w:rsid w:val="00957978"/>
    <w:rsid w:val="00957AD1"/>
    <w:rsid w:val="00957B8C"/>
    <w:rsid w:val="00957BB8"/>
    <w:rsid w:val="00957BF1"/>
    <w:rsid w:val="00957CDA"/>
    <w:rsid w:val="00957CFB"/>
    <w:rsid w:val="00957D2E"/>
    <w:rsid w:val="00957EFB"/>
    <w:rsid w:val="00957F8B"/>
    <w:rsid w:val="00957FF5"/>
    <w:rsid w:val="0096001F"/>
    <w:rsid w:val="009600F2"/>
    <w:rsid w:val="0096027A"/>
    <w:rsid w:val="009602C5"/>
    <w:rsid w:val="009603A7"/>
    <w:rsid w:val="00960458"/>
    <w:rsid w:val="009605D8"/>
    <w:rsid w:val="0096080E"/>
    <w:rsid w:val="0096098A"/>
    <w:rsid w:val="00960AEF"/>
    <w:rsid w:val="00960B5B"/>
    <w:rsid w:val="00960C5E"/>
    <w:rsid w:val="00960D33"/>
    <w:rsid w:val="00960DF8"/>
    <w:rsid w:val="00960E5E"/>
    <w:rsid w:val="00960F28"/>
    <w:rsid w:val="00960F8E"/>
    <w:rsid w:val="00960FBC"/>
    <w:rsid w:val="00960FEF"/>
    <w:rsid w:val="009610C0"/>
    <w:rsid w:val="00961108"/>
    <w:rsid w:val="0096114D"/>
    <w:rsid w:val="009611C6"/>
    <w:rsid w:val="00961275"/>
    <w:rsid w:val="0096132B"/>
    <w:rsid w:val="00961357"/>
    <w:rsid w:val="009615EF"/>
    <w:rsid w:val="0096166F"/>
    <w:rsid w:val="0096172F"/>
    <w:rsid w:val="009617FB"/>
    <w:rsid w:val="00961A73"/>
    <w:rsid w:val="00961B9C"/>
    <w:rsid w:val="00961BA0"/>
    <w:rsid w:val="00961CCE"/>
    <w:rsid w:val="00961ECB"/>
    <w:rsid w:val="00962087"/>
    <w:rsid w:val="0096215D"/>
    <w:rsid w:val="0096225C"/>
    <w:rsid w:val="009622A4"/>
    <w:rsid w:val="00962300"/>
    <w:rsid w:val="00962385"/>
    <w:rsid w:val="00962395"/>
    <w:rsid w:val="0096245C"/>
    <w:rsid w:val="00962463"/>
    <w:rsid w:val="009624A4"/>
    <w:rsid w:val="00962543"/>
    <w:rsid w:val="0096254E"/>
    <w:rsid w:val="0096273B"/>
    <w:rsid w:val="00962813"/>
    <w:rsid w:val="00962934"/>
    <w:rsid w:val="009629B8"/>
    <w:rsid w:val="00962AA6"/>
    <w:rsid w:val="00962B15"/>
    <w:rsid w:val="00962B22"/>
    <w:rsid w:val="00962E04"/>
    <w:rsid w:val="00962E7D"/>
    <w:rsid w:val="0096305B"/>
    <w:rsid w:val="00963115"/>
    <w:rsid w:val="0096319D"/>
    <w:rsid w:val="009632AB"/>
    <w:rsid w:val="00963518"/>
    <w:rsid w:val="00963629"/>
    <w:rsid w:val="00963716"/>
    <w:rsid w:val="009637CD"/>
    <w:rsid w:val="009637E9"/>
    <w:rsid w:val="00963832"/>
    <w:rsid w:val="009638E0"/>
    <w:rsid w:val="00963919"/>
    <w:rsid w:val="00963929"/>
    <w:rsid w:val="00963C26"/>
    <w:rsid w:val="00963C3C"/>
    <w:rsid w:val="00963C80"/>
    <w:rsid w:val="00963D4B"/>
    <w:rsid w:val="00963DA4"/>
    <w:rsid w:val="00963F92"/>
    <w:rsid w:val="00963FCE"/>
    <w:rsid w:val="00964027"/>
    <w:rsid w:val="00964244"/>
    <w:rsid w:val="00964285"/>
    <w:rsid w:val="0096429F"/>
    <w:rsid w:val="009642C0"/>
    <w:rsid w:val="00964339"/>
    <w:rsid w:val="009643A4"/>
    <w:rsid w:val="00964420"/>
    <w:rsid w:val="00964439"/>
    <w:rsid w:val="00964648"/>
    <w:rsid w:val="009648CF"/>
    <w:rsid w:val="009649F6"/>
    <w:rsid w:val="00964A23"/>
    <w:rsid w:val="00964B01"/>
    <w:rsid w:val="00964C01"/>
    <w:rsid w:val="00964CFC"/>
    <w:rsid w:val="00964DA8"/>
    <w:rsid w:val="00965008"/>
    <w:rsid w:val="00965291"/>
    <w:rsid w:val="0096539B"/>
    <w:rsid w:val="0096542D"/>
    <w:rsid w:val="00965445"/>
    <w:rsid w:val="0096569A"/>
    <w:rsid w:val="0096572C"/>
    <w:rsid w:val="0096573C"/>
    <w:rsid w:val="009657C8"/>
    <w:rsid w:val="00965953"/>
    <w:rsid w:val="00965A51"/>
    <w:rsid w:val="00965C15"/>
    <w:rsid w:val="00965C6D"/>
    <w:rsid w:val="00965D47"/>
    <w:rsid w:val="00965D90"/>
    <w:rsid w:val="00965F15"/>
    <w:rsid w:val="00966037"/>
    <w:rsid w:val="009660EC"/>
    <w:rsid w:val="009660F1"/>
    <w:rsid w:val="0096611D"/>
    <w:rsid w:val="00966258"/>
    <w:rsid w:val="00966410"/>
    <w:rsid w:val="009665A3"/>
    <w:rsid w:val="009667A0"/>
    <w:rsid w:val="009668D9"/>
    <w:rsid w:val="00966982"/>
    <w:rsid w:val="0096699C"/>
    <w:rsid w:val="00966B3F"/>
    <w:rsid w:val="00966B60"/>
    <w:rsid w:val="00966C62"/>
    <w:rsid w:val="00966CFA"/>
    <w:rsid w:val="00966D95"/>
    <w:rsid w:val="00966E65"/>
    <w:rsid w:val="00967015"/>
    <w:rsid w:val="00967061"/>
    <w:rsid w:val="009670B9"/>
    <w:rsid w:val="00967329"/>
    <w:rsid w:val="009674E6"/>
    <w:rsid w:val="00967789"/>
    <w:rsid w:val="00967997"/>
    <w:rsid w:val="00967A3B"/>
    <w:rsid w:val="00967A4E"/>
    <w:rsid w:val="00967B0F"/>
    <w:rsid w:val="00967B7B"/>
    <w:rsid w:val="00967F0C"/>
    <w:rsid w:val="00970209"/>
    <w:rsid w:val="00970335"/>
    <w:rsid w:val="00970651"/>
    <w:rsid w:val="009706D5"/>
    <w:rsid w:val="009706DA"/>
    <w:rsid w:val="0097079C"/>
    <w:rsid w:val="0097091B"/>
    <w:rsid w:val="009709BD"/>
    <w:rsid w:val="00970A56"/>
    <w:rsid w:val="00970AD6"/>
    <w:rsid w:val="00970B0D"/>
    <w:rsid w:val="00970D64"/>
    <w:rsid w:val="00970E45"/>
    <w:rsid w:val="00970E55"/>
    <w:rsid w:val="00970E61"/>
    <w:rsid w:val="00970FA2"/>
    <w:rsid w:val="00970FF1"/>
    <w:rsid w:val="00971008"/>
    <w:rsid w:val="0097110D"/>
    <w:rsid w:val="009711E2"/>
    <w:rsid w:val="00971331"/>
    <w:rsid w:val="0097162E"/>
    <w:rsid w:val="00971648"/>
    <w:rsid w:val="00971673"/>
    <w:rsid w:val="009716E5"/>
    <w:rsid w:val="009716F0"/>
    <w:rsid w:val="00971751"/>
    <w:rsid w:val="00971765"/>
    <w:rsid w:val="00971807"/>
    <w:rsid w:val="00971A6C"/>
    <w:rsid w:val="00971B89"/>
    <w:rsid w:val="00971CD2"/>
    <w:rsid w:val="00971D69"/>
    <w:rsid w:val="00972003"/>
    <w:rsid w:val="009720D2"/>
    <w:rsid w:val="0097215A"/>
    <w:rsid w:val="00972205"/>
    <w:rsid w:val="0097228D"/>
    <w:rsid w:val="009723CF"/>
    <w:rsid w:val="00972469"/>
    <w:rsid w:val="00972584"/>
    <w:rsid w:val="009726E0"/>
    <w:rsid w:val="0097271F"/>
    <w:rsid w:val="0097273E"/>
    <w:rsid w:val="00972937"/>
    <w:rsid w:val="00972971"/>
    <w:rsid w:val="00972A67"/>
    <w:rsid w:val="00972CD2"/>
    <w:rsid w:val="00972D09"/>
    <w:rsid w:val="00972E78"/>
    <w:rsid w:val="00973032"/>
    <w:rsid w:val="0097310A"/>
    <w:rsid w:val="009731E5"/>
    <w:rsid w:val="00973283"/>
    <w:rsid w:val="009733BF"/>
    <w:rsid w:val="00973460"/>
    <w:rsid w:val="00973514"/>
    <w:rsid w:val="009736A7"/>
    <w:rsid w:val="009736B3"/>
    <w:rsid w:val="00973799"/>
    <w:rsid w:val="009738BE"/>
    <w:rsid w:val="00973A08"/>
    <w:rsid w:val="00973BC7"/>
    <w:rsid w:val="00973BED"/>
    <w:rsid w:val="00973C18"/>
    <w:rsid w:val="00973C34"/>
    <w:rsid w:val="00973C78"/>
    <w:rsid w:val="00973D1E"/>
    <w:rsid w:val="00973E83"/>
    <w:rsid w:val="00973F44"/>
    <w:rsid w:val="00973F9F"/>
    <w:rsid w:val="009740D3"/>
    <w:rsid w:val="009740DF"/>
    <w:rsid w:val="00974150"/>
    <w:rsid w:val="00974183"/>
    <w:rsid w:val="00974300"/>
    <w:rsid w:val="00974381"/>
    <w:rsid w:val="00974471"/>
    <w:rsid w:val="009746F9"/>
    <w:rsid w:val="00974743"/>
    <w:rsid w:val="0097475E"/>
    <w:rsid w:val="009747B8"/>
    <w:rsid w:val="009747EC"/>
    <w:rsid w:val="00974922"/>
    <w:rsid w:val="00974970"/>
    <w:rsid w:val="00974ABE"/>
    <w:rsid w:val="00974B11"/>
    <w:rsid w:val="00974C56"/>
    <w:rsid w:val="00974E92"/>
    <w:rsid w:val="00975036"/>
    <w:rsid w:val="009750EB"/>
    <w:rsid w:val="009752B5"/>
    <w:rsid w:val="00975302"/>
    <w:rsid w:val="00975354"/>
    <w:rsid w:val="0097561C"/>
    <w:rsid w:val="0097565B"/>
    <w:rsid w:val="009758B9"/>
    <w:rsid w:val="009758CA"/>
    <w:rsid w:val="00975A0D"/>
    <w:rsid w:val="00975A9A"/>
    <w:rsid w:val="00975ABE"/>
    <w:rsid w:val="00975CBB"/>
    <w:rsid w:val="00975F10"/>
    <w:rsid w:val="00975F76"/>
    <w:rsid w:val="00975FB0"/>
    <w:rsid w:val="009760FF"/>
    <w:rsid w:val="009761C9"/>
    <w:rsid w:val="0097627A"/>
    <w:rsid w:val="0097629D"/>
    <w:rsid w:val="00976581"/>
    <w:rsid w:val="0097667C"/>
    <w:rsid w:val="0097673D"/>
    <w:rsid w:val="00976AB8"/>
    <w:rsid w:val="00976AE3"/>
    <w:rsid w:val="00976B6F"/>
    <w:rsid w:val="00976C0E"/>
    <w:rsid w:val="00976D85"/>
    <w:rsid w:val="00976E78"/>
    <w:rsid w:val="00976ECA"/>
    <w:rsid w:val="00976FFB"/>
    <w:rsid w:val="0097700C"/>
    <w:rsid w:val="009771B0"/>
    <w:rsid w:val="009771BE"/>
    <w:rsid w:val="0097720B"/>
    <w:rsid w:val="00977343"/>
    <w:rsid w:val="00977516"/>
    <w:rsid w:val="00977617"/>
    <w:rsid w:val="0097763E"/>
    <w:rsid w:val="009776B3"/>
    <w:rsid w:val="0097793D"/>
    <w:rsid w:val="0097793F"/>
    <w:rsid w:val="009779B6"/>
    <w:rsid w:val="00977C86"/>
    <w:rsid w:val="00977DDE"/>
    <w:rsid w:val="00977E79"/>
    <w:rsid w:val="00977EFB"/>
    <w:rsid w:val="00980344"/>
    <w:rsid w:val="0098046F"/>
    <w:rsid w:val="0098048B"/>
    <w:rsid w:val="0098068C"/>
    <w:rsid w:val="009806D5"/>
    <w:rsid w:val="009809E9"/>
    <w:rsid w:val="00980B03"/>
    <w:rsid w:val="00980C52"/>
    <w:rsid w:val="00980D8E"/>
    <w:rsid w:val="00980E08"/>
    <w:rsid w:val="00980EA9"/>
    <w:rsid w:val="009810EB"/>
    <w:rsid w:val="00981301"/>
    <w:rsid w:val="0098131B"/>
    <w:rsid w:val="00981380"/>
    <w:rsid w:val="0098139E"/>
    <w:rsid w:val="00981547"/>
    <w:rsid w:val="009815A3"/>
    <w:rsid w:val="00981782"/>
    <w:rsid w:val="0098192A"/>
    <w:rsid w:val="00981A5E"/>
    <w:rsid w:val="00981B83"/>
    <w:rsid w:val="00981C44"/>
    <w:rsid w:val="00981E03"/>
    <w:rsid w:val="00981FAF"/>
    <w:rsid w:val="00981FD9"/>
    <w:rsid w:val="00982056"/>
    <w:rsid w:val="009822D6"/>
    <w:rsid w:val="00982533"/>
    <w:rsid w:val="0098275B"/>
    <w:rsid w:val="0098276E"/>
    <w:rsid w:val="00982821"/>
    <w:rsid w:val="009828FB"/>
    <w:rsid w:val="009828FD"/>
    <w:rsid w:val="009829EF"/>
    <w:rsid w:val="00982A94"/>
    <w:rsid w:val="00982B9F"/>
    <w:rsid w:val="00982E0F"/>
    <w:rsid w:val="00982E80"/>
    <w:rsid w:val="00982F68"/>
    <w:rsid w:val="00983023"/>
    <w:rsid w:val="00983048"/>
    <w:rsid w:val="00983132"/>
    <w:rsid w:val="00983177"/>
    <w:rsid w:val="0098354B"/>
    <w:rsid w:val="009835BC"/>
    <w:rsid w:val="00983721"/>
    <w:rsid w:val="00983770"/>
    <w:rsid w:val="0098378A"/>
    <w:rsid w:val="0098396F"/>
    <w:rsid w:val="0098398F"/>
    <w:rsid w:val="00983A0F"/>
    <w:rsid w:val="00983A34"/>
    <w:rsid w:val="00983B54"/>
    <w:rsid w:val="00983D0D"/>
    <w:rsid w:val="00983D1A"/>
    <w:rsid w:val="00983E47"/>
    <w:rsid w:val="00983F05"/>
    <w:rsid w:val="00983F8F"/>
    <w:rsid w:val="00984055"/>
    <w:rsid w:val="0098408D"/>
    <w:rsid w:val="009840E2"/>
    <w:rsid w:val="00984141"/>
    <w:rsid w:val="0098414A"/>
    <w:rsid w:val="00984150"/>
    <w:rsid w:val="00984151"/>
    <w:rsid w:val="00984163"/>
    <w:rsid w:val="009842D5"/>
    <w:rsid w:val="00984408"/>
    <w:rsid w:val="0098442C"/>
    <w:rsid w:val="00984537"/>
    <w:rsid w:val="00984541"/>
    <w:rsid w:val="0098456C"/>
    <w:rsid w:val="009845C3"/>
    <w:rsid w:val="00984674"/>
    <w:rsid w:val="009846D6"/>
    <w:rsid w:val="00984985"/>
    <w:rsid w:val="00984A52"/>
    <w:rsid w:val="00984B8A"/>
    <w:rsid w:val="00984BF1"/>
    <w:rsid w:val="00984D51"/>
    <w:rsid w:val="00985196"/>
    <w:rsid w:val="00985263"/>
    <w:rsid w:val="00985326"/>
    <w:rsid w:val="00985351"/>
    <w:rsid w:val="00985699"/>
    <w:rsid w:val="0098573D"/>
    <w:rsid w:val="0098580E"/>
    <w:rsid w:val="00985920"/>
    <w:rsid w:val="00985952"/>
    <w:rsid w:val="00985A9C"/>
    <w:rsid w:val="00985B7B"/>
    <w:rsid w:val="00985BCD"/>
    <w:rsid w:val="00985BF8"/>
    <w:rsid w:val="00985CB2"/>
    <w:rsid w:val="00985ED8"/>
    <w:rsid w:val="00986120"/>
    <w:rsid w:val="00986122"/>
    <w:rsid w:val="00986159"/>
    <w:rsid w:val="0098617E"/>
    <w:rsid w:val="00986186"/>
    <w:rsid w:val="00986210"/>
    <w:rsid w:val="009862B0"/>
    <w:rsid w:val="0098632F"/>
    <w:rsid w:val="009864DE"/>
    <w:rsid w:val="0098659B"/>
    <w:rsid w:val="009865CA"/>
    <w:rsid w:val="009866CD"/>
    <w:rsid w:val="009868C4"/>
    <w:rsid w:val="00986A5B"/>
    <w:rsid w:val="00986B24"/>
    <w:rsid w:val="00986D1C"/>
    <w:rsid w:val="00986F03"/>
    <w:rsid w:val="00986F6C"/>
    <w:rsid w:val="009870F0"/>
    <w:rsid w:val="0098722C"/>
    <w:rsid w:val="0098742E"/>
    <w:rsid w:val="009875EB"/>
    <w:rsid w:val="009876BD"/>
    <w:rsid w:val="0098791F"/>
    <w:rsid w:val="00987973"/>
    <w:rsid w:val="00987B53"/>
    <w:rsid w:val="00987CEC"/>
    <w:rsid w:val="00987E8D"/>
    <w:rsid w:val="00987E90"/>
    <w:rsid w:val="009900B6"/>
    <w:rsid w:val="009900E5"/>
    <w:rsid w:val="009900EE"/>
    <w:rsid w:val="0099023B"/>
    <w:rsid w:val="009908B5"/>
    <w:rsid w:val="009908DC"/>
    <w:rsid w:val="009909CE"/>
    <w:rsid w:val="009909EF"/>
    <w:rsid w:val="00990AFB"/>
    <w:rsid w:val="00990BFA"/>
    <w:rsid w:val="00990FE2"/>
    <w:rsid w:val="00990FF7"/>
    <w:rsid w:val="00991092"/>
    <w:rsid w:val="009911AA"/>
    <w:rsid w:val="0099127E"/>
    <w:rsid w:val="00991375"/>
    <w:rsid w:val="0099143A"/>
    <w:rsid w:val="009914A7"/>
    <w:rsid w:val="0099150C"/>
    <w:rsid w:val="00991649"/>
    <w:rsid w:val="0099197E"/>
    <w:rsid w:val="00991987"/>
    <w:rsid w:val="00991B8B"/>
    <w:rsid w:val="00991D71"/>
    <w:rsid w:val="00991D81"/>
    <w:rsid w:val="00991D8E"/>
    <w:rsid w:val="00991E19"/>
    <w:rsid w:val="00991E48"/>
    <w:rsid w:val="0099205B"/>
    <w:rsid w:val="0099208E"/>
    <w:rsid w:val="009920E9"/>
    <w:rsid w:val="00992117"/>
    <w:rsid w:val="00992302"/>
    <w:rsid w:val="009925CA"/>
    <w:rsid w:val="009925FD"/>
    <w:rsid w:val="009926EB"/>
    <w:rsid w:val="00992712"/>
    <w:rsid w:val="009927E2"/>
    <w:rsid w:val="0099286C"/>
    <w:rsid w:val="009928EB"/>
    <w:rsid w:val="0099291C"/>
    <w:rsid w:val="00992A67"/>
    <w:rsid w:val="00992ADD"/>
    <w:rsid w:val="00992BE0"/>
    <w:rsid w:val="00992BF7"/>
    <w:rsid w:val="00992C2D"/>
    <w:rsid w:val="00992D05"/>
    <w:rsid w:val="00992D09"/>
    <w:rsid w:val="00992E7E"/>
    <w:rsid w:val="009931D0"/>
    <w:rsid w:val="0099327A"/>
    <w:rsid w:val="00993295"/>
    <w:rsid w:val="00993322"/>
    <w:rsid w:val="00993326"/>
    <w:rsid w:val="0099357D"/>
    <w:rsid w:val="009936BF"/>
    <w:rsid w:val="0099375A"/>
    <w:rsid w:val="00993869"/>
    <w:rsid w:val="00993971"/>
    <w:rsid w:val="00993C40"/>
    <w:rsid w:val="00993C63"/>
    <w:rsid w:val="00993D1F"/>
    <w:rsid w:val="00993E6C"/>
    <w:rsid w:val="00993EBA"/>
    <w:rsid w:val="0099402E"/>
    <w:rsid w:val="00994096"/>
    <w:rsid w:val="009940CD"/>
    <w:rsid w:val="00994125"/>
    <w:rsid w:val="00994262"/>
    <w:rsid w:val="0099426C"/>
    <w:rsid w:val="009942E4"/>
    <w:rsid w:val="00994323"/>
    <w:rsid w:val="00994408"/>
    <w:rsid w:val="009944D1"/>
    <w:rsid w:val="009945B0"/>
    <w:rsid w:val="00994654"/>
    <w:rsid w:val="009946CD"/>
    <w:rsid w:val="0099472B"/>
    <w:rsid w:val="0099474D"/>
    <w:rsid w:val="0099496B"/>
    <w:rsid w:val="00994BBA"/>
    <w:rsid w:val="00994DB2"/>
    <w:rsid w:val="00994E9D"/>
    <w:rsid w:val="00994EA2"/>
    <w:rsid w:val="00994ED1"/>
    <w:rsid w:val="00994FCA"/>
    <w:rsid w:val="00994FFB"/>
    <w:rsid w:val="0099521D"/>
    <w:rsid w:val="0099535B"/>
    <w:rsid w:val="009953AD"/>
    <w:rsid w:val="009953DA"/>
    <w:rsid w:val="0099558B"/>
    <w:rsid w:val="009955B1"/>
    <w:rsid w:val="009955F1"/>
    <w:rsid w:val="009956E9"/>
    <w:rsid w:val="0099585B"/>
    <w:rsid w:val="009958B4"/>
    <w:rsid w:val="009958F0"/>
    <w:rsid w:val="00995912"/>
    <w:rsid w:val="00995981"/>
    <w:rsid w:val="00995A1B"/>
    <w:rsid w:val="00995AA0"/>
    <w:rsid w:val="0099603A"/>
    <w:rsid w:val="00996087"/>
    <w:rsid w:val="00996114"/>
    <w:rsid w:val="009961DC"/>
    <w:rsid w:val="00996387"/>
    <w:rsid w:val="009963F5"/>
    <w:rsid w:val="009967A4"/>
    <w:rsid w:val="009967FF"/>
    <w:rsid w:val="0099696E"/>
    <w:rsid w:val="00996A21"/>
    <w:rsid w:val="00996B44"/>
    <w:rsid w:val="00996BDE"/>
    <w:rsid w:val="00996BEA"/>
    <w:rsid w:val="00996C25"/>
    <w:rsid w:val="00996D55"/>
    <w:rsid w:val="00996E58"/>
    <w:rsid w:val="00996E93"/>
    <w:rsid w:val="00996EB3"/>
    <w:rsid w:val="00996FA2"/>
    <w:rsid w:val="009971B3"/>
    <w:rsid w:val="009971C5"/>
    <w:rsid w:val="0099751E"/>
    <w:rsid w:val="00997780"/>
    <w:rsid w:val="0099780D"/>
    <w:rsid w:val="00997879"/>
    <w:rsid w:val="00997A25"/>
    <w:rsid w:val="00997A4B"/>
    <w:rsid w:val="00997BF9"/>
    <w:rsid w:val="009A0093"/>
    <w:rsid w:val="009A00A5"/>
    <w:rsid w:val="009A0135"/>
    <w:rsid w:val="009A01EE"/>
    <w:rsid w:val="009A0241"/>
    <w:rsid w:val="009A02AF"/>
    <w:rsid w:val="009A03DA"/>
    <w:rsid w:val="009A064C"/>
    <w:rsid w:val="009A065F"/>
    <w:rsid w:val="009A06B5"/>
    <w:rsid w:val="009A07B3"/>
    <w:rsid w:val="009A08C0"/>
    <w:rsid w:val="009A097D"/>
    <w:rsid w:val="009A0AE3"/>
    <w:rsid w:val="009A0AF5"/>
    <w:rsid w:val="009A0BEC"/>
    <w:rsid w:val="009A0C92"/>
    <w:rsid w:val="009A0EBC"/>
    <w:rsid w:val="009A0EDC"/>
    <w:rsid w:val="009A1000"/>
    <w:rsid w:val="009A1002"/>
    <w:rsid w:val="009A115F"/>
    <w:rsid w:val="009A118C"/>
    <w:rsid w:val="009A11D6"/>
    <w:rsid w:val="009A11EB"/>
    <w:rsid w:val="009A11F8"/>
    <w:rsid w:val="009A11FB"/>
    <w:rsid w:val="009A1229"/>
    <w:rsid w:val="009A128B"/>
    <w:rsid w:val="009A1325"/>
    <w:rsid w:val="009A1915"/>
    <w:rsid w:val="009A1933"/>
    <w:rsid w:val="009A19FD"/>
    <w:rsid w:val="009A1A11"/>
    <w:rsid w:val="009A1B03"/>
    <w:rsid w:val="009A1BDF"/>
    <w:rsid w:val="009A1BED"/>
    <w:rsid w:val="009A1C52"/>
    <w:rsid w:val="009A1D25"/>
    <w:rsid w:val="009A1D66"/>
    <w:rsid w:val="009A1D90"/>
    <w:rsid w:val="009A2154"/>
    <w:rsid w:val="009A2222"/>
    <w:rsid w:val="009A22C5"/>
    <w:rsid w:val="009A22CE"/>
    <w:rsid w:val="009A22F7"/>
    <w:rsid w:val="009A2328"/>
    <w:rsid w:val="009A2350"/>
    <w:rsid w:val="009A237C"/>
    <w:rsid w:val="009A2479"/>
    <w:rsid w:val="009A2688"/>
    <w:rsid w:val="009A296E"/>
    <w:rsid w:val="009A2AF2"/>
    <w:rsid w:val="009A2CA0"/>
    <w:rsid w:val="009A2D23"/>
    <w:rsid w:val="009A2EA7"/>
    <w:rsid w:val="009A2F06"/>
    <w:rsid w:val="009A2F68"/>
    <w:rsid w:val="009A309D"/>
    <w:rsid w:val="009A3190"/>
    <w:rsid w:val="009A31DA"/>
    <w:rsid w:val="009A333D"/>
    <w:rsid w:val="009A357D"/>
    <w:rsid w:val="009A36F2"/>
    <w:rsid w:val="009A3747"/>
    <w:rsid w:val="009A3823"/>
    <w:rsid w:val="009A3859"/>
    <w:rsid w:val="009A389A"/>
    <w:rsid w:val="009A38FC"/>
    <w:rsid w:val="009A393F"/>
    <w:rsid w:val="009A3A2A"/>
    <w:rsid w:val="009A3A2E"/>
    <w:rsid w:val="009A3A85"/>
    <w:rsid w:val="009A3B40"/>
    <w:rsid w:val="009A3C68"/>
    <w:rsid w:val="009A3DFA"/>
    <w:rsid w:val="009A3F10"/>
    <w:rsid w:val="009A407A"/>
    <w:rsid w:val="009A4188"/>
    <w:rsid w:val="009A43CD"/>
    <w:rsid w:val="009A4529"/>
    <w:rsid w:val="009A45B2"/>
    <w:rsid w:val="009A47E7"/>
    <w:rsid w:val="009A486B"/>
    <w:rsid w:val="009A48E7"/>
    <w:rsid w:val="009A4996"/>
    <w:rsid w:val="009A4BA2"/>
    <w:rsid w:val="009A4D7B"/>
    <w:rsid w:val="009A50AC"/>
    <w:rsid w:val="009A5176"/>
    <w:rsid w:val="009A5231"/>
    <w:rsid w:val="009A5299"/>
    <w:rsid w:val="009A5322"/>
    <w:rsid w:val="009A5503"/>
    <w:rsid w:val="009A5583"/>
    <w:rsid w:val="009A5602"/>
    <w:rsid w:val="009A560F"/>
    <w:rsid w:val="009A56A2"/>
    <w:rsid w:val="009A571F"/>
    <w:rsid w:val="009A5795"/>
    <w:rsid w:val="009A58D8"/>
    <w:rsid w:val="009A592E"/>
    <w:rsid w:val="009A5A11"/>
    <w:rsid w:val="009A5D28"/>
    <w:rsid w:val="009A5D29"/>
    <w:rsid w:val="009A5D77"/>
    <w:rsid w:val="009A5DD4"/>
    <w:rsid w:val="009A5F3F"/>
    <w:rsid w:val="009A5F79"/>
    <w:rsid w:val="009A5F9A"/>
    <w:rsid w:val="009A5FB0"/>
    <w:rsid w:val="009A5FD6"/>
    <w:rsid w:val="009A601A"/>
    <w:rsid w:val="009A603C"/>
    <w:rsid w:val="009A6124"/>
    <w:rsid w:val="009A6309"/>
    <w:rsid w:val="009A630F"/>
    <w:rsid w:val="009A6350"/>
    <w:rsid w:val="009A6368"/>
    <w:rsid w:val="009A6539"/>
    <w:rsid w:val="009A656F"/>
    <w:rsid w:val="009A6662"/>
    <w:rsid w:val="009A66AE"/>
    <w:rsid w:val="009A6777"/>
    <w:rsid w:val="009A67E3"/>
    <w:rsid w:val="009A6AB4"/>
    <w:rsid w:val="009A6BA5"/>
    <w:rsid w:val="009A6BC1"/>
    <w:rsid w:val="009A6BD3"/>
    <w:rsid w:val="009A6C2D"/>
    <w:rsid w:val="009A6C6D"/>
    <w:rsid w:val="009A6C79"/>
    <w:rsid w:val="009A6CED"/>
    <w:rsid w:val="009A6D78"/>
    <w:rsid w:val="009A6D92"/>
    <w:rsid w:val="009A6E8D"/>
    <w:rsid w:val="009A6F7B"/>
    <w:rsid w:val="009A7074"/>
    <w:rsid w:val="009A709E"/>
    <w:rsid w:val="009A70A0"/>
    <w:rsid w:val="009A70A8"/>
    <w:rsid w:val="009A70DC"/>
    <w:rsid w:val="009A7275"/>
    <w:rsid w:val="009A72E6"/>
    <w:rsid w:val="009A7308"/>
    <w:rsid w:val="009A758E"/>
    <w:rsid w:val="009A783B"/>
    <w:rsid w:val="009A78EF"/>
    <w:rsid w:val="009A796B"/>
    <w:rsid w:val="009A7986"/>
    <w:rsid w:val="009A79B7"/>
    <w:rsid w:val="009A7A1F"/>
    <w:rsid w:val="009A7C33"/>
    <w:rsid w:val="009A7C5F"/>
    <w:rsid w:val="009A7D0E"/>
    <w:rsid w:val="009A7D2B"/>
    <w:rsid w:val="009A7DEC"/>
    <w:rsid w:val="009A7F95"/>
    <w:rsid w:val="009B00B1"/>
    <w:rsid w:val="009B0131"/>
    <w:rsid w:val="009B0136"/>
    <w:rsid w:val="009B0307"/>
    <w:rsid w:val="009B043E"/>
    <w:rsid w:val="009B0466"/>
    <w:rsid w:val="009B050E"/>
    <w:rsid w:val="009B0693"/>
    <w:rsid w:val="009B06EB"/>
    <w:rsid w:val="009B077F"/>
    <w:rsid w:val="009B084C"/>
    <w:rsid w:val="009B0A47"/>
    <w:rsid w:val="009B0AF3"/>
    <w:rsid w:val="009B0C64"/>
    <w:rsid w:val="009B0C81"/>
    <w:rsid w:val="009B0CCB"/>
    <w:rsid w:val="009B0E22"/>
    <w:rsid w:val="009B0E7C"/>
    <w:rsid w:val="009B0EA4"/>
    <w:rsid w:val="009B0F3C"/>
    <w:rsid w:val="009B0F3F"/>
    <w:rsid w:val="009B10A7"/>
    <w:rsid w:val="009B10F4"/>
    <w:rsid w:val="009B1103"/>
    <w:rsid w:val="009B1242"/>
    <w:rsid w:val="009B12D5"/>
    <w:rsid w:val="009B1388"/>
    <w:rsid w:val="009B14D4"/>
    <w:rsid w:val="009B14DD"/>
    <w:rsid w:val="009B1538"/>
    <w:rsid w:val="009B15EB"/>
    <w:rsid w:val="009B168A"/>
    <w:rsid w:val="009B1708"/>
    <w:rsid w:val="009B18AD"/>
    <w:rsid w:val="009B19D1"/>
    <w:rsid w:val="009B1B5C"/>
    <w:rsid w:val="009B1C2C"/>
    <w:rsid w:val="009B1C69"/>
    <w:rsid w:val="009B1CB5"/>
    <w:rsid w:val="009B1E65"/>
    <w:rsid w:val="009B1EC2"/>
    <w:rsid w:val="009B2002"/>
    <w:rsid w:val="009B20EC"/>
    <w:rsid w:val="009B2135"/>
    <w:rsid w:val="009B2165"/>
    <w:rsid w:val="009B2254"/>
    <w:rsid w:val="009B22D2"/>
    <w:rsid w:val="009B2334"/>
    <w:rsid w:val="009B23D5"/>
    <w:rsid w:val="009B2443"/>
    <w:rsid w:val="009B2484"/>
    <w:rsid w:val="009B2535"/>
    <w:rsid w:val="009B260C"/>
    <w:rsid w:val="009B271E"/>
    <w:rsid w:val="009B27A1"/>
    <w:rsid w:val="009B282D"/>
    <w:rsid w:val="009B2A27"/>
    <w:rsid w:val="009B2BB7"/>
    <w:rsid w:val="009B2BF1"/>
    <w:rsid w:val="009B2C59"/>
    <w:rsid w:val="009B2C5D"/>
    <w:rsid w:val="009B2DDA"/>
    <w:rsid w:val="009B2DE1"/>
    <w:rsid w:val="009B2DF6"/>
    <w:rsid w:val="009B2E0C"/>
    <w:rsid w:val="009B2ECB"/>
    <w:rsid w:val="009B2FCF"/>
    <w:rsid w:val="009B3419"/>
    <w:rsid w:val="009B3467"/>
    <w:rsid w:val="009B350E"/>
    <w:rsid w:val="009B3536"/>
    <w:rsid w:val="009B36B1"/>
    <w:rsid w:val="009B37F0"/>
    <w:rsid w:val="009B397A"/>
    <w:rsid w:val="009B3A2B"/>
    <w:rsid w:val="009B3B0F"/>
    <w:rsid w:val="009B3B80"/>
    <w:rsid w:val="009B3C57"/>
    <w:rsid w:val="009B3D97"/>
    <w:rsid w:val="009B3DF5"/>
    <w:rsid w:val="009B3E18"/>
    <w:rsid w:val="009B3E6C"/>
    <w:rsid w:val="009B3F15"/>
    <w:rsid w:val="009B403B"/>
    <w:rsid w:val="009B42E7"/>
    <w:rsid w:val="009B431B"/>
    <w:rsid w:val="009B43B7"/>
    <w:rsid w:val="009B44CF"/>
    <w:rsid w:val="009B44E2"/>
    <w:rsid w:val="009B4795"/>
    <w:rsid w:val="009B4899"/>
    <w:rsid w:val="009B49ED"/>
    <w:rsid w:val="009B49FE"/>
    <w:rsid w:val="009B4A9E"/>
    <w:rsid w:val="009B4B72"/>
    <w:rsid w:val="009B4D1C"/>
    <w:rsid w:val="009B4D78"/>
    <w:rsid w:val="009B4D9C"/>
    <w:rsid w:val="009B4E92"/>
    <w:rsid w:val="009B5134"/>
    <w:rsid w:val="009B5217"/>
    <w:rsid w:val="009B53D2"/>
    <w:rsid w:val="009B555E"/>
    <w:rsid w:val="009B5677"/>
    <w:rsid w:val="009B5860"/>
    <w:rsid w:val="009B58FC"/>
    <w:rsid w:val="009B5995"/>
    <w:rsid w:val="009B5B53"/>
    <w:rsid w:val="009B5BF9"/>
    <w:rsid w:val="009B5FD6"/>
    <w:rsid w:val="009B5FF8"/>
    <w:rsid w:val="009B6067"/>
    <w:rsid w:val="009B60DB"/>
    <w:rsid w:val="009B6161"/>
    <w:rsid w:val="009B6234"/>
    <w:rsid w:val="009B6318"/>
    <w:rsid w:val="009B6371"/>
    <w:rsid w:val="009B65A7"/>
    <w:rsid w:val="009B670A"/>
    <w:rsid w:val="009B6734"/>
    <w:rsid w:val="009B67D0"/>
    <w:rsid w:val="009B6992"/>
    <w:rsid w:val="009B6A29"/>
    <w:rsid w:val="009B6BA3"/>
    <w:rsid w:val="009B6D4C"/>
    <w:rsid w:val="009B6D8E"/>
    <w:rsid w:val="009B6E2A"/>
    <w:rsid w:val="009B7204"/>
    <w:rsid w:val="009B7396"/>
    <w:rsid w:val="009B7524"/>
    <w:rsid w:val="009B7556"/>
    <w:rsid w:val="009B77DB"/>
    <w:rsid w:val="009B78BC"/>
    <w:rsid w:val="009B7995"/>
    <w:rsid w:val="009B7BD5"/>
    <w:rsid w:val="009B7DFD"/>
    <w:rsid w:val="009B7F0A"/>
    <w:rsid w:val="009C0189"/>
    <w:rsid w:val="009C02D7"/>
    <w:rsid w:val="009C03F1"/>
    <w:rsid w:val="009C0491"/>
    <w:rsid w:val="009C04BB"/>
    <w:rsid w:val="009C0644"/>
    <w:rsid w:val="009C078A"/>
    <w:rsid w:val="009C095A"/>
    <w:rsid w:val="009C0964"/>
    <w:rsid w:val="009C0A28"/>
    <w:rsid w:val="009C0A33"/>
    <w:rsid w:val="009C0AB3"/>
    <w:rsid w:val="009C0ABE"/>
    <w:rsid w:val="009C0D4A"/>
    <w:rsid w:val="009C0FEC"/>
    <w:rsid w:val="009C0FF7"/>
    <w:rsid w:val="009C1037"/>
    <w:rsid w:val="009C107A"/>
    <w:rsid w:val="009C13BD"/>
    <w:rsid w:val="009C13D4"/>
    <w:rsid w:val="009C14E9"/>
    <w:rsid w:val="009C1791"/>
    <w:rsid w:val="009C195C"/>
    <w:rsid w:val="009C198E"/>
    <w:rsid w:val="009C1B17"/>
    <w:rsid w:val="009C1BF9"/>
    <w:rsid w:val="009C1C92"/>
    <w:rsid w:val="009C200D"/>
    <w:rsid w:val="009C20D0"/>
    <w:rsid w:val="009C21D5"/>
    <w:rsid w:val="009C221F"/>
    <w:rsid w:val="009C223B"/>
    <w:rsid w:val="009C2303"/>
    <w:rsid w:val="009C2390"/>
    <w:rsid w:val="009C2564"/>
    <w:rsid w:val="009C2578"/>
    <w:rsid w:val="009C2631"/>
    <w:rsid w:val="009C26CD"/>
    <w:rsid w:val="009C2930"/>
    <w:rsid w:val="009C2968"/>
    <w:rsid w:val="009C2A0D"/>
    <w:rsid w:val="009C2A39"/>
    <w:rsid w:val="009C2DDE"/>
    <w:rsid w:val="009C2E8E"/>
    <w:rsid w:val="009C2F59"/>
    <w:rsid w:val="009C307A"/>
    <w:rsid w:val="009C31E7"/>
    <w:rsid w:val="009C329D"/>
    <w:rsid w:val="009C33FA"/>
    <w:rsid w:val="009C3672"/>
    <w:rsid w:val="009C3919"/>
    <w:rsid w:val="009C393E"/>
    <w:rsid w:val="009C3953"/>
    <w:rsid w:val="009C3A61"/>
    <w:rsid w:val="009C3B2D"/>
    <w:rsid w:val="009C3BC1"/>
    <w:rsid w:val="009C3CD3"/>
    <w:rsid w:val="009C40BA"/>
    <w:rsid w:val="009C4199"/>
    <w:rsid w:val="009C42D9"/>
    <w:rsid w:val="009C438A"/>
    <w:rsid w:val="009C445B"/>
    <w:rsid w:val="009C4596"/>
    <w:rsid w:val="009C4659"/>
    <w:rsid w:val="009C483E"/>
    <w:rsid w:val="009C4CDD"/>
    <w:rsid w:val="009C4CE2"/>
    <w:rsid w:val="009C4D42"/>
    <w:rsid w:val="009C4DC1"/>
    <w:rsid w:val="009C4DFC"/>
    <w:rsid w:val="009C4F07"/>
    <w:rsid w:val="009C4F1D"/>
    <w:rsid w:val="009C4FE3"/>
    <w:rsid w:val="009C50AA"/>
    <w:rsid w:val="009C50B8"/>
    <w:rsid w:val="009C50FC"/>
    <w:rsid w:val="009C51BF"/>
    <w:rsid w:val="009C5283"/>
    <w:rsid w:val="009C5407"/>
    <w:rsid w:val="009C5428"/>
    <w:rsid w:val="009C56D6"/>
    <w:rsid w:val="009C5749"/>
    <w:rsid w:val="009C57EA"/>
    <w:rsid w:val="009C58AF"/>
    <w:rsid w:val="009C5967"/>
    <w:rsid w:val="009C5AC8"/>
    <w:rsid w:val="009C5B96"/>
    <w:rsid w:val="009C5BEC"/>
    <w:rsid w:val="009C5BF8"/>
    <w:rsid w:val="009C5C2B"/>
    <w:rsid w:val="009C5C8D"/>
    <w:rsid w:val="009C5CCD"/>
    <w:rsid w:val="009C5D18"/>
    <w:rsid w:val="009C5DAD"/>
    <w:rsid w:val="009C5F8D"/>
    <w:rsid w:val="009C60FB"/>
    <w:rsid w:val="009C616A"/>
    <w:rsid w:val="009C6255"/>
    <w:rsid w:val="009C627B"/>
    <w:rsid w:val="009C6381"/>
    <w:rsid w:val="009C6438"/>
    <w:rsid w:val="009C6462"/>
    <w:rsid w:val="009C6495"/>
    <w:rsid w:val="009C64B6"/>
    <w:rsid w:val="009C6655"/>
    <w:rsid w:val="009C66A7"/>
    <w:rsid w:val="009C67F1"/>
    <w:rsid w:val="009C6819"/>
    <w:rsid w:val="009C6A83"/>
    <w:rsid w:val="009C6B02"/>
    <w:rsid w:val="009C6B22"/>
    <w:rsid w:val="009C6C4B"/>
    <w:rsid w:val="009C6C63"/>
    <w:rsid w:val="009C6C93"/>
    <w:rsid w:val="009C6CA3"/>
    <w:rsid w:val="009C6D37"/>
    <w:rsid w:val="009C6DB2"/>
    <w:rsid w:val="009C6E8A"/>
    <w:rsid w:val="009C7047"/>
    <w:rsid w:val="009C70A7"/>
    <w:rsid w:val="009C71E8"/>
    <w:rsid w:val="009C7233"/>
    <w:rsid w:val="009C74DA"/>
    <w:rsid w:val="009C75EE"/>
    <w:rsid w:val="009C7AB9"/>
    <w:rsid w:val="009C7BC2"/>
    <w:rsid w:val="009C7C02"/>
    <w:rsid w:val="009C7C9F"/>
    <w:rsid w:val="009C7D73"/>
    <w:rsid w:val="009C7D80"/>
    <w:rsid w:val="009C7E2A"/>
    <w:rsid w:val="009C7E57"/>
    <w:rsid w:val="009C7E94"/>
    <w:rsid w:val="009C7EA9"/>
    <w:rsid w:val="009C7F15"/>
    <w:rsid w:val="009D0073"/>
    <w:rsid w:val="009D0320"/>
    <w:rsid w:val="009D0345"/>
    <w:rsid w:val="009D0355"/>
    <w:rsid w:val="009D0749"/>
    <w:rsid w:val="009D079F"/>
    <w:rsid w:val="009D07B9"/>
    <w:rsid w:val="009D07C7"/>
    <w:rsid w:val="009D08F5"/>
    <w:rsid w:val="009D091C"/>
    <w:rsid w:val="009D0A2E"/>
    <w:rsid w:val="009D0AB6"/>
    <w:rsid w:val="009D0C74"/>
    <w:rsid w:val="009D0E00"/>
    <w:rsid w:val="009D107E"/>
    <w:rsid w:val="009D10AB"/>
    <w:rsid w:val="009D1167"/>
    <w:rsid w:val="009D11A6"/>
    <w:rsid w:val="009D1266"/>
    <w:rsid w:val="009D129E"/>
    <w:rsid w:val="009D14A6"/>
    <w:rsid w:val="009D162D"/>
    <w:rsid w:val="009D16B7"/>
    <w:rsid w:val="009D182F"/>
    <w:rsid w:val="009D191C"/>
    <w:rsid w:val="009D1AEE"/>
    <w:rsid w:val="009D1B18"/>
    <w:rsid w:val="009D1BA6"/>
    <w:rsid w:val="009D1BBC"/>
    <w:rsid w:val="009D1BBE"/>
    <w:rsid w:val="009D1C02"/>
    <w:rsid w:val="009D1C0A"/>
    <w:rsid w:val="009D1C22"/>
    <w:rsid w:val="009D1F3A"/>
    <w:rsid w:val="009D1F6B"/>
    <w:rsid w:val="009D1FA1"/>
    <w:rsid w:val="009D201F"/>
    <w:rsid w:val="009D2193"/>
    <w:rsid w:val="009D2194"/>
    <w:rsid w:val="009D219B"/>
    <w:rsid w:val="009D2245"/>
    <w:rsid w:val="009D22A7"/>
    <w:rsid w:val="009D2316"/>
    <w:rsid w:val="009D23BD"/>
    <w:rsid w:val="009D241D"/>
    <w:rsid w:val="009D24A3"/>
    <w:rsid w:val="009D24E0"/>
    <w:rsid w:val="009D24E3"/>
    <w:rsid w:val="009D2644"/>
    <w:rsid w:val="009D2699"/>
    <w:rsid w:val="009D271E"/>
    <w:rsid w:val="009D2769"/>
    <w:rsid w:val="009D28A6"/>
    <w:rsid w:val="009D2942"/>
    <w:rsid w:val="009D298C"/>
    <w:rsid w:val="009D2A01"/>
    <w:rsid w:val="009D2A83"/>
    <w:rsid w:val="009D2B99"/>
    <w:rsid w:val="009D2C78"/>
    <w:rsid w:val="009D2D7E"/>
    <w:rsid w:val="009D2E3C"/>
    <w:rsid w:val="009D3029"/>
    <w:rsid w:val="009D30F0"/>
    <w:rsid w:val="009D3125"/>
    <w:rsid w:val="009D3256"/>
    <w:rsid w:val="009D3679"/>
    <w:rsid w:val="009D3745"/>
    <w:rsid w:val="009D37BA"/>
    <w:rsid w:val="009D38D0"/>
    <w:rsid w:val="009D3A11"/>
    <w:rsid w:val="009D3A12"/>
    <w:rsid w:val="009D3A18"/>
    <w:rsid w:val="009D3AB9"/>
    <w:rsid w:val="009D3BB0"/>
    <w:rsid w:val="009D3D49"/>
    <w:rsid w:val="009D3E26"/>
    <w:rsid w:val="009D4061"/>
    <w:rsid w:val="009D4163"/>
    <w:rsid w:val="009D41F4"/>
    <w:rsid w:val="009D4268"/>
    <w:rsid w:val="009D4374"/>
    <w:rsid w:val="009D43AD"/>
    <w:rsid w:val="009D4624"/>
    <w:rsid w:val="009D46A8"/>
    <w:rsid w:val="009D47BF"/>
    <w:rsid w:val="009D4902"/>
    <w:rsid w:val="009D49F4"/>
    <w:rsid w:val="009D4A91"/>
    <w:rsid w:val="009D4B0B"/>
    <w:rsid w:val="009D4B15"/>
    <w:rsid w:val="009D4B17"/>
    <w:rsid w:val="009D4B54"/>
    <w:rsid w:val="009D5208"/>
    <w:rsid w:val="009D524D"/>
    <w:rsid w:val="009D52B8"/>
    <w:rsid w:val="009D5325"/>
    <w:rsid w:val="009D535D"/>
    <w:rsid w:val="009D53A4"/>
    <w:rsid w:val="009D5445"/>
    <w:rsid w:val="009D5563"/>
    <w:rsid w:val="009D5895"/>
    <w:rsid w:val="009D5954"/>
    <w:rsid w:val="009D5ADC"/>
    <w:rsid w:val="009D5B48"/>
    <w:rsid w:val="009D5BAC"/>
    <w:rsid w:val="009D5C05"/>
    <w:rsid w:val="009D5C17"/>
    <w:rsid w:val="009D5D55"/>
    <w:rsid w:val="009D5E9F"/>
    <w:rsid w:val="009D5F85"/>
    <w:rsid w:val="009D5FA8"/>
    <w:rsid w:val="009D5FE2"/>
    <w:rsid w:val="009D6022"/>
    <w:rsid w:val="009D6070"/>
    <w:rsid w:val="009D60F6"/>
    <w:rsid w:val="009D61EB"/>
    <w:rsid w:val="009D6237"/>
    <w:rsid w:val="009D639B"/>
    <w:rsid w:val="009D651F"/>
    <w:rsid w:val="009D67D4"/>
    <w:rsid w:val="009D6926"/>
    <w:rsid w:val="009D6981"/>
    <w:rsid w:val="009D6A3C"/>
    <w:rsid w:val="009D6BB1"/>
    <w:rsid w:val="009D6BE6"/>
    <w:rsid w:val="009D6C1C"/>
    <w:rsid w:val="009D6C41"/>
    <w:rsid w:val="009D6D99"/>
    <w:rsid w:val="009D6DD2"/>
    <w:rsid w:val="009D6F20"/>
    <w:rsid w:val="009D6F44"/>
    <w:rsid w:val="009D6F4D"/>
    <w:rsid w:val="009D6FAD"/>
    <w:rsid w:val="009D70F1"/>
    <w:rsid w:val="009D7109"/>
    <w:rsid w:val="009D758E"/>
    <w:rsid w:val="009D7591"/>
    <w:rsid w:val="009D75DE"/>
    <w:rsid w:val="009D7655"/>
    <w:rsid w:val="009D76D7"/>
    <w:rsid w:val="009D782A"/>
    <w:rsid w:val="009D7836"/>
    <w:rsid w:val="009D7935"/>
    <w:rsid w:val="009D7942"/>
    <w:rsid w:val="009D79F3"/>
    <w:rsid w:val="009D7A56"/>
    <w:rsid w:val="009D7BB3"/>
    <w:rsid w:val="009D7C5C"/>
    <w:rsid w:val="009D7D93"/>
    <w:rsid w:val="009D7F27"/>
    <w:rsid w:val="009D7FD2"/>
    <w:rsid w:val="009D7FF3"/>
    <w:rsid w:val="009E0067"/>
    <w:rsid w:val="009E0159"/>
    <w:rsid w:val="009E01CC"/>
    <w:rsid w:val="009E0258"/>
    <w:rsid w:val="009E0294"/>
    <w:rsid w:val="009E0412"/>
    <w:rsid w:val="009E050F"/>
    <w:rsid w:val="009E0630"/>
    <w:rsid w:val="009E0647"/>
    <w:rsid w:val="009E07B0"/>
    <w:rsid w:val="009E0830"/>
    <w:rsid w:val="009E08A1"/>
    <w:rsid w:val="009E08D7"/>
    <w:rsid w:val="009E09E0"/>
    <w:rsid w:val="009E0ADD"/>
    <w:rsid w:val="009E0BC1"/>
    <w:rsid w:val="009E0BC5"/>
    <w:rsid w:val="009E0C93"/>
    <w:rsid w:val="009E0D2E"/>
    <w:rsid w:val="009E1042"/>
    <w:rsid w:val="009E143F"/>
    <w:rsid w:val="009E1458"/>
    <w:rsid w:val="009E1551"/>
    <w:rsid w:val="009E156E"/>
    <w:rsid w:val="009E1598"/>
    <w:rsid w:val="009E164F"/>
    <w:rsid w:val="009E1650"/>
    <w:rsid w:val="009E1984"/>
    <w:rsid w:val="009E19DB"/>
    <w:rsid w:val="009E1B91"/>
    <w:rsid w:val="009E1BE0"/>
    <w:rsid w:val="009E1CBF"/>
    <w:rsid w:val="009E1E47"/>
    <w:rsid w:val="009E1EA2"/>
    <w:rsid w:val="009E1F1F"/>
    <w:rsid w:val="009E204A"/>
    <w:rsid w:val="009E215A"/>
    <w:rsid w:val="009E21A9"/>
    <w:rsid w:val="009E2278"/>
    <w:rsid w:val="009E23D9"/>
    <w:rsid w:val="009E247D"/>
    <w:rsid w:val="009E247E"/>
    <w:rsid w:val="009E26E2"/>
    <w:rsid w:val="009E28AB"/>
    <w:rsid w:val="009E29C7"/>
    <w:rsid w:val="009E2A06"/>
    <w:rsid w:val="009E2AAD"/>
    <w:rsid w:val="009E2BED"/>
    <w:rsid w:val="009E2C32"/>
    <w:rsid w:val="009E2C4B"/>
    <w:rsid w:val="009E2C4E"/>
    <w:rsid w:val="009E2E86"/>
    <w:rsid w:val="009E2EE4"/>
    <w:rsid w:val="009E2EE9"/>
    <w:rsid w:val="009E2EEB"/>
    <w:rsid w:val="009E2FDD"/>
    <w:rsid w:val="009E300E"/>
    <w:rsid w:val="009E310F"/>
    <w:rsid w:val="009E31DB"/>
    <w:rsid w:val="009E35DE"/>
    <w:rsid w:val="009E35E3"/>
    <w:rsid w:val="009E3602"/>
    <w:rsid w:val="009E371D"/>
    <w:rsid w:val="009E372C"/>
    <w:rsid w:val="009E3792"/>
    <w:rsid w:val="009E3825"/>
    <w:rsid w:val="009E3A57"/>
    <w:rsid w:val="009E3BA1"/>
    <w:rsid w:val="009E3C28"/>
    <w:rsid w:val="009E3E40"/>
    <w:rsid w:val="009E4091"/>
    <w:rsid w:val="009E410E"/>
    <w:rsid w:val="009E41BB"/>
    <w:rsid w:val="009E41CF"/>
    <w:rsid w:val="009E42A6"/>
    <w:rsid w:val="009E42E6"/>
    <w:rsid w:val="009E43C3"/>
    <w:rsid w:val="009E43D4"/>
    <w:rsid w:val="009E446C"/>
    <w:rsid w:val="009E44B9"/>
    <w:rsid w:val="009E45FD"/>
    <w:rsid w:val="009E4625"/>
    <w:rsid w:val="009E46A5"/>
    <w:rsid w:val="009E48F0"/>
    <w:rsid w:val="009E4967"/>
    <w:rsid w:val="009E4A1A"/>
    <w:rsid w:val="009E4AB4"/>
    <w:rsid w:val="009E4B02"/>
    <w:rsid w:val="009E4B5D"/>
    <w:rsid w:val="009E4BFA"/>
    <w:rsid w:val="009E4C7D"/>
    <w:rsid w:val="009E4D06"/>
    <w:rsid w:val="009E4D18"/>
    <w:rsid w:val="009E4DA4"/>
    <w:rsid w:val="009E4DDB"/>
    <w:rsid w:val="009E4DE3"/>
    <w:rsid w:val="009E4ED3"/>
    <w:rsid w:val="009E4EE8"/>
    <w:rsid w:val="009E4EF0"/>
    <w:rsid w:val="009E4F0A"/>
    <w:rsid w:val="009E5205"/>
    <w:rsid w:val="009E5230"/>
    <w:rsid w:val="009E5233"/>
    <w:rsid w:val="009E535D"/>
    <w:rsid w:val="009E53DB"/>
    <w:rsid w:val="009E556F"/>
    <w:rsid w:val="009E564C"/>
    <w:rsid w:val="009E585A"/>
    <w:rsid w:val="009E58DB"/>
    <w:rsid w:val="009E59CC"/>
    <w:rsid w:val="009E5A33"/>
    <w:rsid w:val="009E5A58"/>
    <w:rsid w:val="009E5AC1"/>
    <w:rsid w:val="009E5BA3"/>
    <w:rsid w:val="009E5D88"/>
    <w:rsid w:val="009E5DC6"/>
    <w:rsid w:val="009E5E0F"/>
    <w:rsid w:val="009E5EE2"/>
    <w:rsid w:val="009E5F55"/>
    <w:rsid w:val="009E607A"/>
    <w:rsid w:val="009E614F"/>
    <w:rsid w:val="009E6291"/>
    <w:rsid w:val="009E63C5"/>
    <w:rsid w:val="009E66E7"/>
    <w:rsid w:val="009E6981"/>
    <w:rsid w:val="009E69C0"/>
    <w:rsid w:val="009E6B1D"/>
    <w:rsid w:val="009E6C05"/>
    <w:rsid w:val="009E6C28"/>
    <w:rsid w:val="009E6C3C"/>
    <w:rsid w:val="009E6C5A"/>
    <w:rsid w:val="009E6CC4"/>
    <w:rsid w:val="009E6CCF"/>
    <w:rsid w:val="009E6E37"/>
    <w:rsid w:val="009E6F45"/>
    <w:rsid w:val="009E6FCA"/>
    <w:rsid w:val="009E6FF8"/>
    <w:rsid w:val="009E7154"/>
    <w:rsid w:val="009E749A"/>
    <w:rsid w:val="009E763A"/>
    <w:rsid w:val="009E78C6"/>
    <w:rsid w:val="009E7929"/>
    <w:rsid w:val="009E7937"/>
    <w:rsid w:val="009E794A"/>
    <w:rsid w:val="009E7984"/>
    <w:rsid w:val="009E7989"/>
    <w:rsid w:val="009E79F6"/>
    <w:rsid w:val="009E7A22"/>
    <w:rsid w:val="009E7A2A"/>
    <w:rsid w:val="009E7AB2"/>
    <w:rsid w:val="009E7BB7"/>
    <w:rsid w:val="009E7CF5"/>
    <w:rsid w:val="009E7DAA"/>
    <w:rsid w:val="009E7E3C"/>
    <w:rsid w:val="009E7E9C"/>
    <w:rsid w:val="009E7F13"/>
    <w:rsid w:val="009F0157"/>
    <w:rsid w:val="009F046F"/>
    <w:rsid w:val="009F047D"/>
    <w:rsid w:val="009F048E"/>
    <w:rsid w:val="009F04AC"/>
    <w:rsid w:val="009F0666"/>
    <w:rsid w:val="009F06C6"/>
    <w:rsid w:val="009F076D"/>
    <w:rsid w:val="009F0791"/>
    <w:rsid w:val="009F07BA"/>
    <w:rsid w:val="009F07C6"/>
    <w:rsid w:val="009F088F"/>
    <w:rsid w:val="009F089C"/>
    <w:rsid w:val="009F0919"/>
    <w:rsid w:val="009F0AA4"/>
    <w:rsid w:val="009F0B75"/>
    <w:rsid w:val="009F0BA4"/>
    <w:rsid w:val="009F0C6A"/>
    <w:rsid w:val="009F0D0C"/>
    <w:rsid w:val="009F0D15"/>
    <w:rsid w:val="009F0D78"/>
    <w:rsid w:val="009F0E87"/>
    <w:rsid w:val="009F0EAB"/>
    <w:rsid w:val="009F0FCA"/>
    <w:rsid w:val="009F1057"/>
    <w:rsid w:val="009F1081"/>
    <w:rsid w:val="009F1235"/>
    <w:rsid w:val="009F13AC"/>
    <w:rsid w:val="009F149F"/>
    <w:rsid w:val="009F1639"/>
    <w:rsid w:val="009F17DA"/>
    <w:rsid w:val="009F1984"/>
    <w:rsid w:val="009F19AF"/>
    <w:rsid w:val="009F1BB1"/>
    <w:rsid w:val="009F1BF1"/>
    <w:rsid w:val="009F1CBD"/>
    <w:rsid w:val="009F1D11"/>
    <w:rsid w:val="009F1E9C"/>
    <w:rsid w:val="009F1F17"/>
    <w:rsid w:val="009F1FB6"/>
    <w:rsid w:val="009F2047"/>
    <w:rsid w:val="009F20CF"/>
    <w:rsid w:val="009F21E2"/>
    <w:rsid w:val="009F2210"/>
    <w:rsid w:val="009F225C"/>
    <w:rsid w:val="009F237C"/>
    <w:rsid w:val="009F2421"/>
    <w:rsid w:val="009F245E"/>
    <w:rsid w:val="009F2535"/>
    <w:rsid w:val="009F253C"/>
    <w:rsid w:val="009F28DB"/>
    <w:rsid w:val="009F29BE"/>
    <w:rsid w:val="009F2A53"/>
    <w:rsid w:val="009F2B0E"/>
    <w:rsid w:val="009F2C74"/>
    <w:rsid w:val="009F2CDA"/>
    <w:rsid w:val="009F2CE8"/>
    <w:rsid w:val="009F2D35"/>
    <w:rsid w:val="009F2DE0"/>
    <w:rsid w:val="009F2E24"/>
    <w:rsid w:val="009F2E35"/>
    <w:rsid w:val="009F2E39"/>
    <w:rsid w:val="009F2E60"/>
    <w:rsid w:val="009F2E9F"/>
    <w:rsid w:val="009F311F"/>
    <w:rsid w:val="009F320F"/>
    <w:rsid w:val="009F324D"/>
    <w:rsid w:val="009F33B0"/>
    <w:rsid w:val="009F3590"/>
    <w:rsid w:val="009F35D7"/>
    <w:rsid w:val="009F38F3"/>
    <w:rsid w:val="009F3941"/>
    <w:rsid w:val="009F3992"/>
    <w:rsid w:val="009F3A1F"/>
    <w:rsid w:val="009F3B35"/>
    <w:rsid w:val="009F3B40"/>
    <w:rsid w:val="009F3B76"/>
    <w:rsid w:val="009F3BAF"/>
    <w:rsid w:val="009F3C56"/>
    <w:rsid w:val="009F3CF5"/>
    <w:rsid w:val="009F3D4B"/>
    <w:rsid w:val="009F405A"/>
    <w:rsid w:val="009F40C9"/>
    <w:rsid w:val="009F4191"/>
    <w:rsid w:val="009F41DA"/>
    <w:rsid w:val="009F434E"/>
    <w:rsid w:val="009F43C4"/>
    <w:rsid w:val="009F441B"/>
    <w:rsid w:val="009F45A4"/>
    <w:rsid w:val="009F464E"/>
    <w:rsid w:val="009F47F9"/>
    <w:rsid w:val="009F482B"/>
    <w:rsid w:val="009F49E0"/>
    <w:rsid w:val="009F49E9"/>
    <w:rsid w:val="009F4AA9"/>
    <w:rsid w:val="009F4C23"/>
    <w:rsid w:val="009F4C6E"/>
    <w:rsid w:val="009F4D8A"/>
    <w:rsid w:val="009F4DE4"/>
    <w:rsid w:val="009F4DF0"/>
    <w:rsid w:val="009F4F3A"/>
    <w:rsid w:val="009F4F6E"/>
    <w:rsid w:val="009F4F82"/>
    <w:rsid w:val="009F50F0"/>
    <w:rsid w:val="009F513F"/>
    <w:rsid w:val="009F52DA"/>
    <w:rsid w:val="009F52E4"/>
    <w:rsid w:val="009F53B8"/>
    <w:rsid w:val="009F53ED"/>
    <w:rsid w:val="009F541F"/>
    <w:rsid w:val="009F5435"/>
    <w:rsid w:val="009F54A0"/>
    <w:rsid w:val="009F5555"/>
    <w:rsid w:val="009F5569"/>
    <w:rsid w:val="009F5619"/>
    <w:rsid w:val="009F566B"/>
    <w:rsid w:val="009F56B7"/>
    <w:rsid w:val="009F56E4"/>
    <w:rsid w:val="009F56EC"/>
    <w:rsid w:val="009F5705"/>
    <w:rsid w:val="009F571B"/>
    <w:rsid w:val="009F5726"/>
    <w:rsid w:val="009F57AC"/>
    <w:rsid w:val="009F590F"/>
    <w:rsid w:val="009F5AAF"/>
    <w:rsid w:val="009F5B2E"/>
    <w:rsid w:val="009F5BBF"/>
    <w:rsid w:val="009F5E6E"/>
    <w:rsid w:val="009F6048"/>
    <w:rsid w:val="009F621E"/>
    <w:rsid w:val="009F623F"/>
    <w:rsid w:val="009F62A9"/>
    <w:rsid w:val="009F63AB"/>
    <w:rsid w:val="009F6468"/>
    <w:rsid w:val="009F64C6"/>
    <w:rsid w:val="009F6549"/>
    <w:rsid w:val="009F6592"/>
    <w:rsid w:val="009F65CD"/>
    <w:rsid w:val="009F6617"/>
    <w:rsid w:val="009F6853"/>
    <w:rsid w:val="009F688A"/>
    <w:rsid w:val="009F68F6"/>
    <w:rsid w:val="009F69CC"/>
    <w:rsid w:val="009F6A7D"/>
    <w:rsid w:val="009F6BB9"/>
    <w:rsid w:val="009F6F45"/>
    <w:rsid w:val="009F6F64"/>
    <w:rsid w:val="009F701E"/>
    <w:rsid w:val="009F715E"/>
    <w:rsid w:val="009F73C2"/>
    <w:rsid w:val="009F73D6"/>
    <w:rsid w:val="009F7505"/>
    <w:rsid w:val="009F7589"/>
    <w:rsid w:val="009F75E4"/>
    <w:rsid w:val="009F7630"/>
    <w:rsid w:val="009F7734"/>
    <w:rsid w:val="009F7776"/>
    <w:rsid w:val="009F77A7"/>
    <w:rsid w:val="009F79D6"/>
    <w:rsid w:val="009F7A38"/>
    <w:rsid w:val="009F7B4B"/>
    <w:rsid w:val="009F7C1F"/>
    <w:rsid w:val="009F7D67"/>
    <w:rsid w:val="009F7EB3"/>
    <w:rsid w:val="009F7ED6"/>
    <w:rsid w:val="009F7EDB"/>
    <w:rsid w:val="009F7FB9"/>
    <w:rsid w:val="00A00010"/>
    <w:rsid w:val="00A00015"/>
    <w:rsid w:val="00A000B0"/>
    <w:rsid w:val="00A002CF"/>
    <w:rsid w:val="00A0039E"/>
    <w:rsid w:val="00A003B1"/>
    <w:rsid w:val="00A003D3"/>
    <w:rsid w:val="00A0059F"/>
    <w:rsid w:val="00A005A0"/>
    <w:rsid w:val="00A006BA"/>
    <w:rsid w:val="00A00746"/>
    <w:rsid w:val="00A009A8"/>
    <w:rsid w:val="00A009C2"/>
    <w:rsid w:val="00A00A28"/>
    <w:rsid w:val="00A00AB0"/>
    <w:rsid w:val="00A00C2D"/>
    <w:rsid w:val="00A00D1A"/>
    <w:rsid w:val="00A00D62"/>
    <w:rsid w:val="00A00F17"/>
    <w:rsid w:val="00A01058"/>
    <w:rsid w:val="00A0105C"/>
    <w:rsid w:val="00A011D1"/>
    <w:rsid w:val="00A01437"/>
    <w:rsid w:val="00A01443"/>
    <w:rsid w:val="00A016C7"/>
    <w:rsid w:val="00A0183E"/>
    <w:rsid w:val="00A01865"/>
    <w:rsid w:val="00A018DC"/>
    <w:rsid w:val="00A01AB2"/>
    <w:rsid w:val="00A01B12"/>
    <w:rsid w:val="00A01BAE"/>
    <w:rsid w:val="00A01D43"/>
    <w:rsid w:val="00A01FED"/>
    <w:rsid w:val="00A0230D"/>
    <w:rsid w:val="00A0238C"/>
    <w:rsid w:val="00A02484"/>
    <w:rsid w:val="00A02573"/>
    <w:rsid w:val="00A0260E"/>
    <w:rsid w:val="00A026AD"/>
    <w:rsid w:val="00A027F1"/>
    <w:rsid w:val="00A0284A"/>
    <w:rsid w:val="00A028B2"/>
    <w:rsid w:val="00A028D8"/>
    <w:rsid w:val="00A02995"/>
    <w:rsid w:val="00A02EE0"/>
    <w:rsid w:val="00A030CB"/>
    <w:rsid w:val="00A03121"/>
    <w:rsid w:val="00A031A9"/>
    <w:rsid w:val="00A031F9"/>
    <w:rsid w:val="00A0323E"/>
    <w:rsid w:val="00A03256"/>
    <w:rsid w:val="00A03481"/>
    <w:rsid w:val="00A034F2"/>
    <w:rsid w:val="00A03526"/>
    <w:rsid w:val="00A0356E"/>
    <w:rsid w:val="00A035AC"/>
    <w:rsid w:val="00A03B08"/>
    <w:rsid w:val="00A03E00"/>
    <w:rsid w:val="00A03EF9"/>
    <w:rsid w:val="00A03FB0"/>
    <w:rsid w:val="00A03FB3"/>
    <w:rsid w:val="00A0414F"/>
    <w:rsid w:val="00A04213"/>
    <w:rsid w:val="00A042D0"/>
    <w:rsid w:val="00A0434F"/>
    <w:rsid w:val="00A04378"/>
    <w:rsid w:val="00A0443F"/>
    <w:rsid w:val="00A0446E"/>
    <w:rsid w:val="00A045AF"/>
    <w:rsid w:val="00A046DF"/>
    <w:rsid w:val="00A04713"/>
    <w:rsid w:val="00A04A06"/>
    <w:rsid w:val="00A04A21"/>
    <w:rsid w:val="00A04A6C"/>
    <w:rsid w:val="00A04B3D"/>
    <w:rsid w:val="00A04BF0"/>
    <w:rsid w:val="00A04C70"/>
    <w:rsid w:val="00A04D77"/>
    <w:rsid w:val="00A04DB6"/>
    <w:rsid w:val="00A04E2F"/>
    <w:rsid w:val="00A051C6"/>
    <w:rsid w:val="00A05201"/>
    <w:rsid w:val="00A0522D"/>
    <w:rsid w:val="00A05248"/>
    <w:rsid w:val="00A053AE"/>
    <w:rsid w:val="00A05451"/>
    <w:rsid w:val="00A05559"/>
    <w:rsid w:val="00A05622"/>
    <w:rsid w:val="00A05784"/>
    <w:rsid w:val="00A057C2"/>
    <w:rsid w:val="00A05A22"/>
    <w:rsid w:val="00A05B8F"/>
    <w:rsid w:val="00A05CA1"/>
    <w:rsid w:val="00A05DF8"/>
    <w:rsid w:val="00A05F87"/>
    <w:rsid w:val="00A05FE2"/>
    <w:rsid w:val="00A06025"/>
    <w:rsid w:val="00A060B3"/>
    <w:rsid w:val="00A061CE"/>
    <w:rsid w:val="00A062AC"/>
    <w:rsid w:val="00A0630E"/>
    <w:rsid w:val="00A0653F"/>
    <w:rsid w:val="00A06562"/>
    <w:rsid w:val="00A06570"/>
    <w:rsid w:val="00A06577"/>
    <w:rsid w:val="00A069A5"/>
    <w:rsid w:val="00A069FE"/>
    <w:rsid w:val="00A06AFA"/>
    <w:rsid w:val="00A06C08"/>
    <w:rsid w:val="00A06CAE"/>
    <w:rsid w:val="00A06FB0"/>
    <w:rsid w:val="00A070CB"/>
    <w:rsid w:val="00A0721D"/>
    <w:rsid w:val="00A073C4"/>
    <w:rsid w:val="00A073E5"/>
    <w:rsid w:val="00A07417"/>
    <w:rsid w:val="00A0771B"/>
    <w:rsid w:val="00A07785"/>
    <w:rsid w:val="00A07796"/>
    <w:rsid w:val="00A07801"/>
    <w:rsid w:val="00A0798A"/>
    <w:rsid w:val="00A079D7"/>
    <w:rsid w:val="00A07C05"/>
    <w:rsid w:val="00A07E9E"/>
    <w:rsid w:val="00A10079"/>
    <w:rsid w:val="00A10097"/>
    <w:rsid w:val="00A10140"/>
    <w:rsid w:val="00A10187"/>
    <w:rsid w:val="00A101DF"/>
    <w:rsid w:val="00A10203"/>
    <w:rsid w:val="00A1028D"/>
    <w:rsid w:val="00A103E6"/>
    <w:rsid w:val="00A105AE"/>
    <w:rsid w:val="00A105EF"/>
    <w:rsid w:val="00A1060D"/>
    <w:rsid w:val="00A10689"/>
    <w:rsid w:val="00A10776"/>
    <w:rsid w:val="00A10810"/>
    <w:rsid w:val="00A108C6"/>
    <w:rsid w:val="00A108DD"/>
    <w:rsid w:val="00A108E3"/>
    <w:rsid w:val="00A10907"/>
    <w:rsid w:val="00A10A79"/>
    <w:rsid w:val="00A10B0D"/>
    <w:rsid w:val="00A10B3F"/>
    <w:rsid w:val="00A10B75"/>
    <w:rsid w:val="00A10DCC"/>
    <w:rsid w:val="00A10E00"/>
    <w:rsid w:val="00A10E39"/>
    <w:rsid w:val="00A11014"/>
    <w:rsid w:val="00A1103B"/>
    <w:rsid w:val="00A1117C"/>
    <w:rsid w:val="00A111C8"/>
    <w:rsid w:val="00A112CB"/>
    <w:rsid w:val="00A1144F"/>
    <w:rsid w:val="00A11546"/>
    <w:rsid w:val="00A11594"/>
    <w:rsid w:val="00A1167A"/>
    <w:rsid w:val="00A118C5"/>
    <w:rsid w:val="00A118D9"/>
    <w:rsid w:val="00A11ACA"/>
    <w:rsid w:val="00A11C44"/>
    <w:rsid w:val="00A11E47"/>
    <w:rsid w:val="00A11EDE"/>
    <w:rsid w:val="00A11F1D"/>
    <w:rsid w:val="00A1217F"/>
    <w:rsid w:val="00A125AB"/>
    <w:rsid w:val="00A12670"/>
    <w:rsid w:val="00A127FA"/>
    <w:rsid w:val="00A1295E"/>
    <w:rsid w:val="00A12991"/>
    <w:rsid w:val="00A12A43"/>
    <w:rsid w:val="00A12A93"/>
    <w:rsid w:val="00A12B14"/>
    <w:rsid w:val="00A12ECD"/>
    <w:rsid w:val="00A12FF5"/>
    <w:rsid w:val="00A1323E"/>
    <w:rsid w:val="00A13375"/>
    <w:rsid w:val="00A134DA"/>
    <w:rsid w:val="00A13631"/>
    <w:rsid w:val="00A13688"/>
    <w:rsid w:val="00A13708"/>
    <w:rsid w:val="00A1390D"/>
    <w:rsid w:val="00A13A07"/>
    <w:rsid w:val="00A13BA1"/>
    <w:rsid w:val="00A13C99"/>
    <w:rsid w:val="00A13CC0"/>
    <w:rsid w:val="00A13E5B"/>
    <w:rsid w:val="00A13E93"/>
    <w:rsid w:val="00A13FF0"/>
    <w:rsid w:val="00A1414A"/>
    <w:rsid w:val="00A1414F"/>
    <w:rsid w:val="00A14590"/>
    <w:rsid w:val="00A145E2"/>
    <w:rsid w:val="00A14693"/>
    <w:rsid w:val="00A14774"/>
    <w:rsid w:val="00A14801"/>
    <w:rsid w:val="00A14B7C"/>
    <w:rsid w:val="00A14C4B"/>
    <w:rsid w:val="00A14CC1"/>
    <w:rsid w:val="00A14E02"/>
    <w:rsid w:val="00A14E48"/>
    <w:rsid w:val="00A1531B"/>
    <w:rsid w:val="00A15719"/>
    <w:rsid w:val="00A157DA"/>
    <w:rsid w:val="00A158CD"/>
    <w:rsid w:val="00A1596A"/>
    <w:rsid w:val="00A15A94"/>
    <w:rsid w:val="00A15B0D"/>
    <w:rsid w:val="00A15B34"/>
    <w:rsid w:val="00A15DD3"/>
    <w:rsid w:val="00A15E6F"/>
    <w:rsid w:val="00A15FB6"/>
    <w:rsid w:val="00A16010"/>
    <w:rsid w:val="00A1621C"/>
    <w:rsid w:val="00A163FC"/>
    <w:rsid w:val="00A16490"/>
    <w:rsid w:val="00A164ED"/>
    <w:rsid w:val="00A16541"/>
    <w:rsid w:val="00A1677A"/>
    <w:rsid w:val="00A16944"/>
    <w:rsid w:val="00A1695B"/>
    <w:rsid w:val="00A169E3"/>
    <w:rsid w:val="00A169FA"/>
    <w:rsid w:val="00A16ADF"/>
    <w:rsid w:val="00A16D47"/>
    <w:rsid w:val="00A16DA3"/>
    <w:rsid w:val="00A16E38"/>
    <w:rsid w:val="00A16E42"/>
    <w:rsid w:val="00A16F74"/>
    <w:rsid w:val="00A17124"/>
    <w:rsid w:val="00A17145"/>
    <w:rsid w:val="00A17198"/>
    <w:rsid w:val="00A17478"/>
    <w:rsid w:val="00A17517"/>
    <w:rsid w:val="00A175CE"/>
    <w:rsid w:val="00A1764C"/>
    <w:rsid w:val="00A1765E"/>
    <w:rsid w:val="00A176F1"/>
    <w:rsid w:val="00A1774A"/>
    <w:rsid w:val="00A1776F"/>
    <w:rsid w:val="00A17846"/>
    <w:rsid w:val="00A1788D"/>
    <w:rsid w:val="00A17C60"/>
    <w:rsid w:val="00A17E29"/>
    <w:rsid w:val="00A17EB9"/>
    <w:rsid w:val="00A17FAC"/>
    <w:rsid w:val="00A20005"/>
    <w:rsid w:val="00A20020"/>
    <w:rsid w:val="00A200D8"/>
    <w:rsid w:val="00A2013D"/>
    <w:rsid w:val="00A20225"/>
    <w:rsid w:val="00A202EC"/>
    <w:rsid w:val="00A203A6"/>
    <w:rsid w:val="00A20506"/>
    <w:rsid w:val="00A20603"/>
    <w:rsid w:val="00A20632"/>
    <w:rsid w:val="00A2072B"/>
    <w:rsid w:val="00A2072E"/>
    <w:rsid w:val="00A20860"/>
    <w:rsid w:val="00A20951"/>
    <w:rsid w:val="00A209F3"/>
    <w:rsid w:val="00A20B2C"/>
    <w:rsid w:val="00A20BF2"/>
    <w:rsid w:val="00A20D62"/>
    <w:rsid w:val="00A20DF0"/>
    <w:rsid w:val="00A20E36"/>
    <w:rsid w:val="00A20E89"/>
    <w:rsid w:val="00A20EB9"/>
    <w:rsid w:val="00A20FD3"/>
    <w:rsid w:val="00A2114F"/>
    <w:rsid w:val="00A2117C"/>
    <w:rsid w:val="00A2132A"/>
    <w:rsid w:val="00A2157B"/>
    <w:rsid w:val="00A21770"/>
    <w:rsid w:val="00A2179C"/>
    <w:rsid w:val="00A218CE"/>
    <w:rsid w:val="00A21B0E"/>
    <w:rsid w:val="00A21C0E"/>
    <w:rsid w:val="00A21DC6"/>
    <w:rsid w:val="00A21DC9"/>
    <w:rsid w:val="00A21E5B"/>
    <w:rsid w:val="00A21EF6"/>
    <w:rsid w:val="00A22021"/>
    <w:rsid w:val="00A22303"/>
    <w:rsid w:val="00A22455"/>
    <w:rsid w:val="00A224D1"/>
    <w:rsid w:val="00A22526"/>
    <w:rsid w:val="00A22540"/>
    <w:rsid w:val="00A22577"/>
    <w:rsid w:val="00A2266A"/>
    <w:rsid w:val="00A226A6"/>
    <w:rsid w:val="00A226C7"/>
    <w:rsid w:val="00A2270D"/>
    <w:rsid w:val="00A2272E"/>
    <w:rsid w:val="00A227B7"/>
    <w:rsid w:val="00A227BD"/>
    <w:rsid w:val="00A22AE2"/>
    <w:rsid w:val="00A22B0F"/>
    <w:rsid w:val="00A22CAA"/>
    <w:rsid w:val="00A22CB7"/>
    <w:rsid w:val="00A2330E"/>
    <w:rsid w:val="00A2344C"/>
    <w:rsid w:val="00A234E8"/>
    <w:rsid w:val="00A234FA"/>
    <w:rsid w:val="00A23653"/>
    <w:rsid w:val="00A236B6"/>
    <w:rsid w:val="00A236D4"/>
    <w:rsid w:val="00A23B4B"/>
    <w:rsid w:val="00A23B5A"/>
    <w:rsid w:val="00A23BE0"/>
    <w:rsid w:val="00A23C02"/>
    <w:rsid w:val="00A23D60"/>
    <w:rsid w:val="00A240CF"/>
    <w:rsid w:val="00A244E6"/>
    <w:rsid w:val="00A244FA"/>
    <w:rsid w:val="00A24690"/>
    <w:rsid w:val="00A24757"/>
    <w:rsid w:val="00A24760"/>
    <w:rsid w:val="00A248D1"/>
    <w:rsid w:val="00A2499D"/>
    <w:rsid w:val="00A249EB"/>
    <w:rsid w:val="00A24AD1"/>
    <w:rsid w:val="00A24AEF"/>
    <w:rsid w:val="00A24B35"/>
    <w:rsid w:val="00A24B51"/>
    <w:rsid w:val="00A24C24"/>
    <w:rsid w:val="00A24C86"/>
    <w:rsid w:val="00A24D63"/>
    <w:rsid w:val="00A24DAA"/>
    <w:rsid w:val="00A24EDC"/>
    <w:rsid w:val="00A24F05"/>
    <w:rsid w:val="00A24F21"/>
    <w:rsid w:val="00A24F59"/>
    <w:rsid w:val="00A24FB1"/>
    <w:rsid w:val="00A251FF"/>
    <w:rsid w:val="00A25261"/>
    <w:rsid w:val="00A252F3"/>
    <w:rsid w:val="00A253A9"/>
    <w:rsid w:val="00A253B6"/>
    <w:rsid w:val="00A2562A"/>
    <w:rsid w:val="00A256BE"/>
    <w:rsid w:val="00A25700"/>
    <w:rsid w:val="00A257E8"/>
    <w:rsid w:val="00A25918"/>
    <w:rsid w:val="00A25BDD"/>
    <w:rsid w:val="00A25C56"/>
    <w:rsid w:val="00A25C88"/>
    <w:rsid w:val="00A25E86"/>
    <w:rsid w:val="00A25FBC"/>
    <w:rsid w:val="00A260AF"/>
    <w:rsid w:val="00A262A8"/>
    <w:rsid w:val="00A262EB"/>
    <w:rsid w:val="00A263B9"/>
    <w:rsid w:val="00A265C0"/>
    <w:rsid w:val="00A266F6"/>
    <w:rsid w:val="00A26705"/>
    <w:rsid w:val="00A268CF"/>
    <w:rsid w:val="00A26982"/>
    <w:rsid w:val="00A26B4E"/>
    <w:rsid w:val="00A26BA6"/>
    <w:rsid w:val="00A26D41"/>
    <w:rsid w:val="00A26FE7"/>
    <w:rsid w:val="00A27071"/>
    <w:rsid w:val="00A271A3"/>
    <w:rsid w:val="00A2720F"/>
    <w:rsid w:val="00A27247"/>
    <w:rsid w:val="00A27298"/>
    <w:rsid w:val="00A2731A"/>
    <w:rsid w:val="00A275C9"/>
    <w:rsid w:val="00A276FB"/>
    <w:rsid w:val="00A27765"/>
    <w:rsid w:val="00A2784A"/>
    <w:rsid w:val="00A2787A"/>
    <w:rsid w:val="00A278CD"/>
    <w:rsid w:val="00A2790B"/>
    <w:rsid w:val="00A279BA"/>
    <w:rsid w:val="00A27A84"/>
    <w:rsid w:val="00A27AB3"/>
    <w:rsid w:val="00A27B46"/>
    <w:rsid w:val="00A27B4D"/>
    <w:rsid w:val="00A27CC1"/>
    <w:rsid w:val="00A27CD1"/>
    <w:rsid w:val="00A27CE2"/>
    <w:rsid w:val="00A27D89"/>
    <w:rsid w:val="00A27E77"/>
    <w:rsid w:val="00A27F5E"/>
    <w:rsid w:val="00A30032"/>
    <w:rsid w:val="00A30175"/>
    <w:rsid w:val="00A30242"/>
    <w:rsid w:val="00A303DB"/>
    <w:rsid w:val="00A30595"/>
    <w:rsid w:val="00A3061D"/>
    <w:rsid w:val="00A30797"/>
    <w:rsid w:val="00A308A3"/>
    <w:rsid w:val="00A309C2"/>
    <w:rsid w:val="00A309E1"/>
    <w:rsid w:val="00A30AB5"/>
    <w:rsid w:val="00A30B09"/>
    <w:rsid w:val="00A30B7D"/>
    <w:rsid w:val="00A30C02"/>
    <w:rsid w:val="00A30D33"/>
    <w:rsid w:val="00A30D41"/>
    <w:rsid w:val="00A30E14"/>
    <w:rsid w:val="00A30E64"/>
    <w:rsid w:val="00A31007"/>
    <w:rsid w:val="00A31031"/>
    <w:rsid w:val="00A3116C"/>
    <w:rsid w:val="00A312D3"/>
    <w:rsid w:val="00A31314"/>
    <w:rsid w:val="00A31384"/>
    <w:rsid w:val="00A315BE"/>
    <w:rsid w:val="00A31605"/>
    <w:rsid w:val="00A316C8"/>
    <w:rsid w:val="00A3183F"/>
    <w:rsid w:val="00A31904"/>
    <w:rsid w:val="00A31947"/>
    <w:rsid w:val="00A3197B"/>
    <w:rsid w:val="00A31B1A"/>
    <w:rsid w:val="00A31BB7"/>
    <w:rsid w:val="00A31BE2"/>
    <w:rsid w:val="00A31C08"/>
    <w:rsid w:val="00A31C1B"/>
    <w:rsid w:val="00A31C64"/>
    <w:rsid w:val="00A31D81"/>
    <w:rsid w:val="00A31D88"/>
    <w:rsid w:val="00A31DF4"/>
    <w:rsid w:val="00A31F9C"/>
    <w:rsid w:val="00A321D0"/>
    <w:rsid w:val="00A322C3"/>
    <w:rsid w:val="00A32374"/>
    <w:rsid w:val="00A324CA"/>
    <w:rsid w:val="00A324CC"/>
    <w:rsid w:val="00A325E5"/>
    <w:rsid w:val="00A327EB"/>
    <w:rsid w:val="00A328A4"/>
    <w:rsid w:val="00A328BF"/>
    <w:rsid w:val="00A329EF"/>
    <w:rsid w:val="00A32B02"/>
    <w:rsid w:val="00A32B39"/>
    <w:rsid w:val="00A33144"/>
    <w:rsid w:val="00A3314A"/>
    <w:rsid w:val="00A3315F"/>
    <w:rsid w:val="00A3331C"/>
    <w:rsid w:val="00A33391"/>
    <w:rsid w:val="00A3339C"/>
    <w:rsid w:val="00A33682"/>
    <w:rsid w:val="00A33685"/>
    <w:rsid w:val="00A337DC"/>
    <w:rsid w:val="00A33935"/>
    <w:rsid w:val="00A33970"/>
    <w:rsid w:val="00A33A21"/>
    <w:rsid w:val="00A33AC7"/>
    <w:rsid w:val="00A33DFC"/>
    <w:rsid w:val="00A33EA0"/>
    <w:rsid w:val="00A33F3D"/>
    <w:rsid w:val="00A33FB9"/>
    <w:rsid w:val="00A340B9"/>
    <w:rsid w:val="00A3421A"/>
    <w:rsid w:val="00A34377"/>
    <w:rsid w:val="00A343BA"/>
    <w:rsid w:val="00A34455"/>
    <w:rsid w:val="00A34583"/>
    <w:rsid w:val="00A3467B"/>
    <w:rsid w:val="00A34845"/>
    <w:rsid w:val="00A3486B"/>
    <w:rsid w:val="00A34928"/>
    <w:rsid w:val="00A349E2"/>
    <w:rsid w:val="00A34B56"/>
    <w:rsid w:val="00A34B7B"/>
    <w:rsid w:val="00A34DB1"/>
    <w:rsid w:val="00A34E57"/>
    <w:rsid w:val="00A35027"/>
    <w:rsid w:val="00A351AD"/>
    <w:rsid w:val="00A35364"/>
    <w:rsid w:val="00A3564A"/>
    <w:rsid w:val="00A35767"/>
    <w:rsid w:val="00A35796"/>
    <w:rsid w:val="00A358C3"/>
    <w:rsid w:val="00A359F3"/>
    <w:rsid w:val="00A35A87"/>
    <w:rsid w:val="00A35AB6"/>
    <w:rsid w:val="00A35CAE"/>
    <w:rsid w:val="00A35D0B"/>
    <w:rsid w:val="00A35F03"/>
    <w:rsid w:val="00A35F49"/>
    <w:rsid w:val="00A36110"/>
    <w:rsid w:val="00A3612F"/>
    <w:rsid w:val="00A36269"/>
    <w:rsid w:val="00A36318"/>
    <w:rsid w:val="00A36322"/>
    <w:rsid w:val="00A36407"/>
    <w:rsid w:val="00A364C3"/>
    <w:rsid w:val="00A364CE"/>
    <w:rsid w:val="00A36506"/>
    <w:rsid w:val="00A365D6"/>
    <w:rsid w:val="00A365EE"/>
    <w:rsid w:val="00A3668C"/>
    <w:rsid w:val="00A369A4"/>
    <w:rsid w:val="00A36A6B"/>
    <w:rsid w:val="00A36BB0"/>
    <w:rsid w:val="00A36BC1"/>
    <w:rsid w:val="00A36EE4"/>
    <w:rsid w:val="00A36F2B"/>
    <w:rsid w:val="00A37066"/>
    <w:rsid w:val="00A370D9"/>
    <w:rsid w:val="00A372C8"/>
    <w:rsid w:val="00A37344"/>
    <w:rsid w:val="00A37348"/>
    <w:rsid w:val="00A37381"/>
    <w:rsid w:val="00A37414"/>
    <w:rsid w:val="00A37470"/>
    <w:rsid w:val="00A3748B"/>
    <w:rsid w:val="00A374B1"/>
    <w:rsid w:val="00A3753B"/>
    <w:rsid w:val="00A3764E"/>
    <w:rsid w:val="00A37763"/>
    <w:rsid w:val="00A379DE"/>
    <w:rsid w:val="00A379F7"/>
    <w:rsid w:val="00A37A75"/>
    <w:rsid w:val="00A37B66"/>
    <w:rsid w:val="00A37BD1"/>
    <w:rsid w:val="00A37C9B"/>
    <w:rsid w:val="00A37D08"/>
    <w:rsid w:val="00A37D89"/>
    <w:rsid w:val="00A37DCA"/>
    <w:rsid w:val="00A37E1A"/>
    <w:rsid w:val="00A37EAB"/>
    <w:rsid w:val="00A37EC4"/>
    <w:rsid w:val="00A40043"/>
    <w:rsid w:val="00A4005C"/>
    <w:rsid w:val="00A40088"/>
    <w:rsid w:val="00A4016F"/>
    <w:rsid w:val="00A40172"/>
    <w:rsid w:val="00A402A4"/>
    <w:rsid w:val="00A402B4"/>
    <w:rsid w:val="00A404E8"/>
    <w:rsid w:val="00A404F1"/>
    <w:rsid w:val="00A4058A"/>
    <w:rsid w:val="00A407D8"/>
    <w:rsid w:val="00A4083C"/>
    <w:rsid w:val="00A40885"/>
    <w:rsid w:val="00A408AC"/>
    <w:rsid w:val="00A408CA"/>
    <w:rsid w:val="00A408D2"/>
    <w:rsid w:val="00A408E7"/>
    <w:rsid w:val="00A40986"/>
    <w:rsid w:val="00A40AC1"/>
    <w:rsid w:val="00A40C66"/>
    <w:rsid w:val="00A40C91"/>
    <w:rsid w:val="00A40CB0"/>
    <w:rsid w:val="00A40D12"/>
    <w:rsid w:val="00A4104E"/>
    <w:rsid w:val="00A41068"/>
    <w:rsid w:val="00A410F9"/>
    <w:rsid w:val="00A41198"/>
    <w:rsid w:val="00A411F2"/>
    <w:rsid w:val="00A412FA"/>
    <w:rsid w:val="00A41429"/>
    <w:rsid w:val="00A4185E"/>
    <w:rsid w:val="00A41B6E"/>
    <w:rsid w:val="00A41CEF"/>
    <w:rsid w:val="00A41D32"/>
    <w:rsid w:val="00A41D47"/>
    <w:rsid w:val="00A41E1E"/>
    <w:rsid w:val="00A41E5A"/>
    <w:rsid w:val="00A41FD3"/>
    <w:rsid w:val="00A420A1"/>
    <w:rsid w:val="00A42128"/>
    <w:rsid w:val="00A421B8"/>
    <w:rsid w:val="00A42284"/>
    <w:rsid w:val="00A423F3"/>
    <w:rsid w:val="00A4242F"/>
    <w:rsid w:val="00A4254E"/>
    <w:rsid w:val="00A425CF"/>
    <w:rsid w:val="00A42740"/>
    <w:rsid w:val="00A427A0"/>
    <w:rsid w:val="00A42966"/>
    <w:rsid w:val="00A4296D"/>
    <w:rsid w:val="00A429CB"/>
    <w:rsid w:val="00A42A77"/>
    <w:rsid w:val="00A42C57"/>
    <w:rsid w:val="00A42D40"/>
    <w:rsid w:val="00A42FDD"/>
    <w:rsid w:val="00A42FE3"/>
    <w:rsid w:val="00A430E1"/>
    <w:rsid w:val="00A430FB"/>
    <w:rsid w:val="00A4313F"/>
    <w:rsid w:val="00A43182"/>
    <w:rsid w:val="00A431F3"/>
    <w:rsid w:val="00A4340A"/>
    <w:rsid w:val="00A43436"/>
    <w:rsid w:val="00A4355E"/>
    <w:rsid w:val="00A43665"/>
    <w:rsid w:val="00A43682"/>
    <w:rsid w:val="00A436B1"/>
    <w:rsid w:val="00A43880"/>
    <w:rsid w:val="00A43A0D"/>
    <w:rsid w:val="00A43A5F"/>
    <w:rsid w:val="00A43A68"/>
    <w:rsid w:val="00A43A7A"/>
    <w:rsid w:val="00A43AE3"/>
    <w:rsid w:val="00A43B36"/>
    <w:rsid w:val="00A43C37"/>
    <w:rsid w:val="00A43C5A"/>
    <w:rsid w:val="00A43CDE"/>
    <w:rsid w:val="00A43CF7"/>
    <w:rsid w:val="00A43CFD"/>
    <w:rsid w:val="00A43D0F"/>
    <w:rsid w:val="00A43D2A"/>
    <w:rsid w:val="00A43D41"/>
    <w:rsid w:val="00A43E85"/>
    <w:rsid w:val="00A43F36"/>
    <w:rsid w:val="00A43FD1"/>
    <w:rsid w:val="00A44070"/>
    <w:rsid w:val="00A44170"/>
    <w:rsid w:val="00A4421C"/>
    <w:rsid w:val="00A4425D"/>
    <w:rsid w:val="00A4427A"/>
    <w:rsid w:val="00A4428F"/>
    <w:rsid w:val="00A442F7"/>
    <w:rsid w:val="00A444F4"/>
    <w:rsid w:val="00A4454B"/>
    <w:rsid w:val="00A44591"/>
    <w:rsid w:val="00A44703"/>
    <w:rsid w:val="00A4477A"/>
    <w:rsid w:val="00A447D3"/>
    <w:rsid w:val="00A448FA"/>
    <w:rsid w:val="00A4494A"/>
    <w:rsid w:val="00A44C79"/>
    <w:rsid w:val="00A44CA8"/>
    <w:rsid w:val="00A44CEA"/>
    <w:rsid w:val="00A44DAF"/>
    <w:rsid w:val="00A44E29"/>
    <w:rsid w:val="00A44EB1"/>
    <w:rsid w:val="00A44F86"/>
    <w:rsid w:val="00A45143"/>
    <w:rsid w:val="00A452A0"/>
    <w:rsid w:val="00A452D0"/>
    <w:rsid w:val="00A4533A"/>
    <w:rsid w:val="00A45344"/>
    <w:rsid w:val="00A453B4"/>
    <w:rsid w:val="00A455C5"/>
    <w:rsid w:val="00A45876"/>
    <w:rsid w:val="00A4594A"/>
    <w:rsid w:val="00A45A07"/>
    <w:rsid w:val="00A45AF9"/>
    <w:rsid w:val="00A45B63"/>
    <w:rsid w:val="00A45B83"/>
    <w:rsid w:val="00A45BAF"/>
    <w:rsid w:val="00A45C4A"/>
    <w:rsid w:val="00A45DE1"/>
    <w:rsid w:val="00A45DEE"/>
    <w:rsid w:val="00A45F13"/>
    <w:rsid w:val="00A4601D"/>
    <w:rsid w:val="00A46200"/>
    <w:rsid w:val="00A4646A"/>
    <w:rsid w:val="00A46557"/>
    <w:rsid w:val="00A465CD"/>
    <w:rsid w:val="00A465E9"/>
    <w:rsid w:val="00A46618"/>
    <w:rsid w:val="00A4663B"/>
    <w:rsid w:val="00A46697"/>
    <w:rsid w:val="00A46836"/>
    <w:rsid w:val="00A468DE"/>
    <w:rsid w:val="00A4696E"/>
    <w:rsid w:val="00A46A42"/>
    <w:rsid w:val="00A46A45"/>
    <w:rsid w:val="00A46A5B"/>
    <w:rsid w:val="00A47068"/>
    <w:rsid w:val="00A4710D"/>
    <w:rsid w:val="00A47146"/>
    <w:rsid w:val="00A471FA"/>
    <w:rsid w:val="00A47633"/>
    <w:rsid w:val="00A477F1"/>
    <w:rsid w:val="00A47807"/>
    <w:rsid w:val="00A47BEA"/>
    <w:rsid w:val="00A47C3E"/>
    <w:rsid w:val="00A47CEE"/>
    <w:rsid w:val="00A47E0E"/>
    <w:rsid w:val="00A47E44"/>
    <w:rsid w:val="00A47E50"/>
    <w:rsid w:val="00A47EE9"/>
    <w:rsid w:val="00A5007C"/>
    <w:rsid w:val="00A5017A"/>
    <w:rsid w:val="00A501BA"/>
    <w:rsid w:val="00A5029D"/>
    <w:rsid w:val="00A50316"/>
    <w:rsid w:val="00A50420"/>
    <w:rsid w:val="00A50460"/>
    <w:rsid w:val="00A50461"/>
    <w:rsid w:val="00A505E1"/>
    <w:rsid w:val="00A50A89"/>
    <w:rsid w:val="00A50B12"/>
    <w:rsid w:val="00A50B21"/>
    <w:rsid w:val="00A50CBD"/>
    <w:rsid w:val="00A50F76"/>
    <w:rsid w:val="00A51023"/>
    <w:rsid w:val="00A51063"/>
    <w:rsid w:val="00A5114E"/>
    <w:rsid w:val="00A514ED"/>
    <w:rsid w:val="00A5176B"/>
    <w:rsid w:val="00A517A3"/>
    <w:rsid w:val="00A517B4"/>
    <w:rsid w:val="00A518B9"/>
    <w:rsid w:val="00A51903"/>
    <w:rsid w:val="00A51998"/>
    <w:rsid w:val="00A519E0"/>
    <w:rsid w:val="00A51BA5"/>
    <w:rsid w:val="00A51C97"/>
    <w:rsid w:val="00A51D14"/>
    <w:rsid w:val="00A51D5D"/>
    <w:rsid w:val="00A51D6B"/>
    <w:rsid w:val="00A51E7B"/>
    <w:rsid w:val="00A51F68"/>
    <w:rsid w:val="00A51F75"/>
    <w:rsid w:val="00A52504"/>
    <w:rsid w:val="00A52537"/>
    <w:rsid w:val="00A5283D"/>
    <w:rsid w:val="00A52998"/>
    <w:rsid w:val="00A52A39"/>
    <w:rsid w:val="00A52A7F"/>
    <w:rsid w:val="00A52A87"/>
    <w:rsid w:val="00A52A88"/>
    <w:rsid w:val="00A52BCE"/>
    <w:rsid w:val="00A52E57"/>
    <w:rsid w:val="00A52E76"/>
    <w:rsid w:val="00A52E85"/>
    <w:rsid w:val="00A52E91"/>
    <w:rsid w:val="00A52F15"/>
    <w:rsid w:val="00A53090"/>
    <w:rsid w:val="00A5318B"/>
    <w:rsid w:val="00A531E1"/>
    <w:rsid w:val="00A5351E"/>
    <w:rsid w:val="00A535B2"/>
    <w:rsid w:val="00A535C0"/>
    <w:rsid w:val="00A538BE"/>
    <w:rsid w:val="00A538E1"/>
    <w:rsid w:val="00A53A0F"/>
    <w:rsid w:val="00A53A58"/>
    <w:rsid w:val="00A53B71"/>
    <w:rsid w:val="00A53BA5"/>
    <w:rsid w:val="00A53BE7"/>
    <w:rsid w:val="00A53C21"/>
    <w:rsid w:val="00A53C8F"/>
    <w:rsid w:val="00A53F44"/>
    <w:rsid w:val="00A53F57"/>
    <w:rsid w:val="00A54040"/>
    <w:rsid w:val="00A54065"/>
    <w:rsid w:val="00A54119"/>
    <w:rsid w:val="00A5414F"/>
    <w:rsid w:val="00A541CD"/>
    <w:rsid w:val="00A541FA"/>
    <w:rsid w:val="00A54215"/>
    <w:rsid w:val="00A5437B"/>
    <w:rsid w:val="00A5453F"/>
    <w:rsid w:val="00A5455E"/>
    <w:rsid w:val="00A54586"/>
    <w:rsid w:val="00A54642"/>
    <w:rsid w:val="00A546C2"/>
    <w:rsid w:val="00A54947"/>
    <w:rsid w:val="00A5497B"/>
    <w:rsid w:val="00A54A73"/>
    <w:rsid w:val="00A54BE5"/>
    <w:rsid w:val="00A54C7E"/>
    <w:rsid w:val="00A54DB0"/>
    <w:rsid w:val="00A5507E"/>
    <w:rsid w:val="00A550A5"/>
    <w:rsid w:val="00A550CC"/>
    <w:rsid w:val="00A55288"/>
    <w:rsid w:val="00A552E2"/>
    <w:rsid w:val="00A553C7"/>
    <w:rsid w:val="00A5557A"/>
    <w:rsid w:val="00A555E3"/>
    <w:rsid w:val="00A558C6"/>
    <w:rsid w:val="00A55913"/>
    <w:rsid w:val="00A55A0B"/>
    <w:rsid w:val="00A55A0D"/>
    <w:rsid w:val="00A55A79"/>
    <w:rsid w:val="00A55ACE"/>
    <w:rsid w:val="00A55B14"/>
    <w:rsid w:val="00A55BB1"/>
    <w:rsid w:val="00A55BB3"/>
    <w:rsid w:val="00A55C4B"/>
    <w:rsid w:val="00A55CB4"/>
    <w:rsid w:val="00A55CD9"/>
    <w:rsid w:val="00A55CDF"/>
    <w:rsid w:val="00A55D17"/>
    <w:rsid w:val="00A55E30"/>
    <w:rsid w:val="00A55E9B"/>
    <w:rsid w:val="00A55F99"/>
    <w:rsid w:val="00A56097"/>
    <w:rsid w:val="00A5612E"/>
    <w:rsid w:val="00A56146"/>
    <w:rsid w:val="00A561A0"/>
    <w:rsid w:val="00A562C1"/>
    <w:rsid w:val="00A562F0"/>
    <w:rsid w:val="00A56311"/>
    <w:rsid w:val="00A5638E"/>
    <w:rsid w:val="00A56394"/>
    <w:rsid w:val="00A565E0"/>
    <w:rsid w:val="00A56643"/>
    <w:rsid w:val="00A56A45"/>
    <w:rsid w:val="00A56A95"/>
    <w:rsid w:val="00A56B17"/>
    <w:rsid w:val="00A56EED"/>
    <w:rsid w:val="00A56F19"/>
    <w:rsid w:val="00A56FE7"/>
    <w:rsid w:val="00A57013"/>
    <w:rsid w:val="00A57046"/>
    <w:rsid w:val="00A57088"/>
    <w:rsid w:val="00A57110"/>
    <w:rsid w:val="00A5711B"/>
    <w:rsid w:val="00A572DF"/>
    <w:rsid w:val="00A572FB"/>
    <w:rsid w:val="00A57458"/>
    <w:rsid w:val="00A57472"/>
    <w:rsid w:val="00A575A3"/>
    <w:rsid w:val="00A57616"/>
    <w:rsid w:val="00A576DD"/>
    <w:rsid w:val="00A57743"/>
    <w:rsid w:val="00A5774B"/>
    <w:rsid w:val="00A57A38"/>
    <w:rsid w:val="00A57BB9"/>
    <w:rsid w:val="00A57C77"/>
    <w:rsid w:val="00A57CC7"/>
    <w:rsid w:val="00A57D96"/>
    <w:rsid w:val="00A57DC9"/>
    <w:rsid w:val="00A60085"/>
    <w:rsid w:val="00A6009B"/>
    <w:rsid w:val="00A603B3"/>
    <w:rsid w:val="00A60467"/>
    <w:rsid w:val="00A605B7"/>
    <w:rsid w:val="00A60675"/>
    <w:rsid w:val="00A60790"/>
    <w:rsid w:val="00A608E6"/>
    <w:rsid w:val="00A60BEB"/>
    <w:rsid w:val="00A60C07"/>
    <w:rsid w:val="00A60C2F"/>
    <w:rsid w:val="00A60C6B"/>
    <w:rsid w:val="00A60C6E"/>
    <w:rsid w:val="00A60CCF"/>
    <w:rsid w:val="00A60E3D"/>
    <w:rsid w:val="00A60F28"/>
    <w:rsid w:val="00A60FE3"/>
    <w:rsid w:val="00A60FF9"/>
    <w:rsid w:val="00A610DD"/>
    <w:rsid w:val="00A611F6"/>
    <w:rsid w:val="00A61390"/>
    <w:rsid w:val="00A613DF"/>
    <w:rsid w:val="00A6142E"/>
    <w:rsid w:val="00A614B4"/>
    <w:rsid w:val="00A615BE"/>
    <w:rsid w:val="00A616F5"/>
    <w:rsid w:val="00A61710"/>
    <w:rsid w:val="00A61737"/>
    <w:rsid w:val="00A61798"/>
    <w:rsid w:val="00A618D8"/>
    <w:rsid w:val="00A6191F"/>
    <w:rsid w:val="00A61B53"/>
    <w:rsid w:val="00A61B58"/>
    <w:rsid w:val="00A61BBE"/>
    <w:rsid w:val="00A61CCE"/>
    <w:rsid w:val="00A61CE1"/>
    <w:rsid w:val="00A61E79"/>
    <w:rsid w:val="00A61F46"/>
    <w:rsid w:val="00A623D0"/>
    <w:rsid w:val="00A62490"/>
    <w:rsid w:val="00A624A1"/>
    <w:rsid w:val="00A62563"/>
    <w:rsid w:val="00A6257C"/>
    <w:rsid w:val="00A626DD"/>
    <w:rsid w:val="00A6279B"/>
    <w:rsid w:val="00A6281C"/>
    <w:rsid w:val="00A628CB"/>
    <w:rsid w:val="00A62920"/>
    <w:rsid w:val="00A6298E"/>
    <w:rsid w:val="00A62BCD"/>
    <w:rsid w:val="00A62C1E"/>
    <w:rsid w:val="00A62CFE"/>
    <w:rsid w:val="00A62DF5"/>
    <w:rsid w:val="00A62E63"/>
    <w:rsid w:val="00A62F03"/>
    <w:rsid w:val="00A633D2"/>
    <w:rsid w:val="00A635BB"/>
    <w:rsid w:val="00A63705"/>
    <w:rsid w:val="00A6373D"/>
    <w:rsid w:val="00A638F4"/>
    <w:rsid w:val="00A63924"/>
    <w:rsid w:val="00A63968"/>
    <w:rsid w:val="00A63B75"/>
    <w:rsid w:val="00A63BA2"/>
    <w:rsid w:val="00A63CC0"/>
    <w:rsid w:val="00A63DA9"/>
    <w:rsid w:val="00A63E27"/>
    <w:rsid w:val="00A63E66"/>
    <w:rsid w:val="00A63F12"/>
    <w:rsid w:val="00A63F93"/>
    <w:rsid w:val="00A63FF1"/>
    <w:rsid w:val="00A641BB"/>
    <w:rsid w:val="00A641DA"/>
    <w:rsid w:val="00A64280"/>
    <w:rsid w:val="00A64322"/>
    <w:rsid w:val="00A64337"/>
    <w:rsid w:val="00A64452"/>
    <w:rsid w:val="00A6447A"/>
    <w:rsid w:val="00A64509"/>
    <w:rsid w:val="00A64524"/>
    <w:rsid w:val="00A6454C"/>
    <w:rsid w:val="00A64551"/>
    <w:rsid w:val="00A64563"/>
    <w:rsid w:val="00A645F4"/>
    <w:rsid w:val="00A64612"/>
    <w:rsid w:val="00A64681"/>
    <w:rsid w:val="00A6468A"/>
    <w:rsid w:val="00A648F8"/>
    <w:rsid w:val="00A64A6D"/>
    <w:rsid w:val="00A64B09"/>
    <w:rsid w:val="00A64C0E"/>
    <w:rsid w:val="00A64C38"/>
    <w:rsid w:val="00A64D51"/>
    <w:rsid w:val="00A64E7A"/>
    <w:rsid w:val="00A64EC0"/>
    <w:rsid w:val="00A64F09"/>
    <w:rsid w:val="00A65044"/>
    <w:rsid w:val="00A65053"/>
    <w:rsid w:val="00A65148"/>
    <w:rsid w:val="00A651C7"/>
    <w:rsid w:val="00A65254"/>
    <w:rsid w:val="00A652CF"/>
    <w:rsid w:val="00A65403"/>
    <w:rsid w:val="00A65419"/>
    <w:rsid w:val="00A65643"/>
    <w:rsid w:val="00A6564C"/>
    <w:rsid w:val="00A65683"/>
    <w:rsid w:val="00A656A6"/>
    <w:rsid w:val="00A65700"/>
    <w:rsid w:val="00A6573E"/>
    <w:rsid w:val="00A657DB"/>
    <w:rsid w:val="00A657EF"/>
    <w:rsid w:val="00A658CF"/>
    <w:rsid w:val="00A658FB"/>
    <w:rsid w:val="00A65945"/>
    <w:rsid w:val="00A65956"/>
    <w:rsid w:val="00A65A9C"/>
    <w:rsid w:val="00A65AAE"/>
    <w:rsid w:val="00A65B7C"/>
    <w:rsid w:val="00A65BA2"/>
    <w:rsid w:val="00A65CCC"/>
    <w:rsid w:val="00A65D2F"/>
    <w:rsid w:val="00A65E0D"/>
    <w:rsid w:val="00A65E86"/>
    <w:rsid w:val="00A65EBE"/>
    <w:rsid w:val="00A660C4"/>
    <w:rsid w:val="00A66255"/>
    <w:rsid w:val="00A66259"/>
    <w:rsid w:val="00A664CC"/>
    <w:rsid w:val="00A66656"/>
    <w:rsid w:val="00A666A8"/>
    <w:rsid w:val="00A667C0"/>
    <w:rsid w:val="00A66805"/>
    <w:rsid w:val="00A66BB7"/>
    <w:rsid w:val="00A66BDD"/>
    <w:rsid w:val="00A66C04"/>
    <w:rsid w:val="00A66E2D"/>
    <w:rsid w:val="00A66ED2"/>
    <w:rsid w:val="00A66EFA"/>
    <w:rsid w:val="00A6707B"/>
    <w:rsid w:val="00A67277"/>
    <w:rsid w:val="00A67454"/>
    <w:rsid w:val="00A67654"/>
    <w:rsid w:val="00A6766F"/>
    <w:rsid w:val="00A6774E"/>
    <w:rsid w:val="00A6791D"/>
    <w:rsid w:val="00A6795A"/>
    <w:rsid w:val="00A67984"/>
    <w:rsid w:val="00A67A2F"/>
    <w:rsid w:val="00A67A3B"/>
    <w:rsid w:val="00A67A61"/>
    <w:rsid w:val="00A67B22"/>
    <w:rsid w:val="00A67B41"/>
    <w:rsid w:val="00A67CF7"/>
    <w:rsid w:val="00A67D3A"/>
    <w:rsid w:val="00A67F73"/>
    <w:rsid w:val="00A67FCC"/>
    <w:rsid w:val="00A7031C"/>
    <w:rsid w:val="00A703DC"/>
    <w:rsid w:val="00A70470"/>
    <w:rsid w:val="00A7051D"/>
    <w:rsid w:val="00A70971"/>
    <w:rsid w:val="00A70A91"/>
    <w:rsid w:val="00A70BD6"/>
    <w:rsid w:val="00A70C5B"/>
    <w:rsid w:val="00A71018"/>
    <w:rsid w:val="00A71046"/>
    <w:rsid w:val="00A71068"/>
    <w:rsid w:val="00A71115"/>
    <w:rsid w:val="00A711AD"/>
    <w:rsid w:val="00A7122D"/>
    <w:rsid w:val="00A71242"/>
    <w:rsid w:val="00A713E3"/>
    <w:rsid w:val="00A71513"/>
    <w:rsid w:val="00A7168E"/>
    <w:rsid w:val="00A71717"/>
    <w:rsid w:val="00A7183C"/>
    <w:rsid w:val="00A71849"/>
    <w:rsid w:val="00A718F8"/>
    <w:rsid w:val="00A7190C"/>
    <w:rsid w:val="00A71A34"/>
    <w:rsid w:val="00A71CCB"/>
    <w:rsid w:val="00A71D64"/>
    <w:rsid w:val="00A71FFE"/>
    <w:rsid w:val="00A72062"/>
    <w:rsid w:val="00A722E5"/>
    <w:rsid w:val="00A7236C"/>
    <w:rsid w:val="00A7236E"/>
    <w:rsid w:val="00A723C8"/>
    <w:rsid w:val="00A726FE"/>
    <w:rsid w:val="00A72832"/>
    <w:rsid w:val="00A728D3"/>
    <w:rsid w:val="00A729F7"/>
    <w:rsid w:val="00A72B7F"/>
    <w:rsid w:val="00A72BDA"/>
    <w:rsid w:val="00A72D5C"/>
    <w:rsid w:val="00A72E8E"/>
    <w:rsid w:val="00A73087"/>
    <w:rsid w:val="00A732BE"/>
    <w:rsid w:val="00A733D8"/>
    <w:rsid w:val="00A7340E"/>
    <w:rsid w:val="00A7342B"/>
    <w:rsid w:val="00A73567"/>
    <w:rsid w:val="00A7357F"/>
    <w:rsid w:val="00A7362E"/>
    <w:rsid w:val="00A739B1"/>
    <w:rsid w:val="00A73A3E"/>
    <w:rsid w:val="00A73A67"/>
    <w:rsid w:val="00A73BAF"/>
    <w:rsid w:val="00A73CE0"/>
    <w:rsid w:val="00A73D2D"/>
    <w:rsid w:val="00A73DEA"/>
    <w:rsid w:val="00A73F37"/>
    <w:rsid w:val="00A73F6A"/>
    <w:rsid w:val="00A73FB2"/>
    <w:rsid w:val="00A740E2"/>
    <w:rsid w:val="00A7411B"/>
    <w:rsid w:val="00A74192"/>
    <w:rsid w:val="00A741CB"/>
    <w:rsid w:val="00A74289"/>
    <w:rsid w:val="00A74371"/>
    <w:rsid w:val="00A74385"/>
    <w:rsid w:val="00A743A2"/>
    <w:rsid w:val="00A744B3"/>
    <w:rsid w:val="00A744D1"/>
    <w:rsid w:val="00A74681"/>
    <w:rsid w:val="00A74738"/>
    <w:rsid w:val="00A748A6"/>
    <w:rsid w:val="00A749E3"/>
    <w:rsid w:val="00A74A35"/>
    <w:rsid w:val="00A74A84"/>
    <w:rsid w:val="00A74BA7"/>
    <w:rsid w:val="00A74CC7"/>
    <w:rsid w:val="00A74DD0"/>
    <w:rsid w:val="00A74EB9"/>
    <w:rsid w:val="00A74ECE"/>
    <w:rsid w:val="00A74FAB"/>
    <w:rsid w:val="00A750A5"/>
    <w:rsid w:val="00A750AB"/>
    <w:rsid w:val="00A75112"/>
    <w:rsid w:val="00A751E7"/>
    <w:rsid w:val="00A75332"/>
    <w:rsid w:val="00A7536C"/>
    <w:rsid w:val="00A7549F"/>
    <w:rsid w:val="00A756C3"/>
    <w:rsid w:val="00A75739"/>
    <w:rsid w:val="00A75782"/>
    <w:rsid w:val="00A75894"/>
    <w:rsid w:val="00A75913"/>
    <w:rsid w:val="00A75B7C"/>
    <w:rsid w:val="00A75BAD"/>
    <w:rsid w:val="00A75BDD"/>
    <w:rsid w:val="00A75BF2"/>
    <w:rsid w:val="00A75C2D"/>
    <w:rsid w:val="00A75C30"/>
    <w:rsid w:val="00A75D11"/>
    <w:rsid w:val="00A75EF4"/>
    <w:rsid w:val="00A75F5A"/>
    <w:rsid w:val="00A7605F"/>
    <w:rsid w:val="00A761D0"/>
    <w:rsid w:val="00A761D8"/>
    <w:rsid w:val="00A76353"/>
    <w:rsid w:val="00A7635F"/>
    <w:rsid w:val="00A763F3"/>
    <w:rsid w:val="00A7643B"/>
    <w:rsid w:val="00A76569"/>
    <w:rsid w:val="00A76570"/>
    <w:rsid w:val="00A76594"/>
    <w:rsid w:val="00A765A0"/>
    <w:rsid w:val="00A765D8"/>
    <w:rsid w:val="00A76691"/>
    <w:rsid w:val="00A766E2"/>
    <w:rsid w:val="00A76778"/>
    <w:rsid w:val="00A76BB2"/>
    <w:rsid w:val="00A76C9E"/>
    <w:rsid w:val="00A76E7B"/>
    <w:rsid w:val="00A76E98"/>
    <w:rsid w:val="00A76F66"/>
    <w:rsid w:val="00A76FA0"/>
    <w:rsid w:val="00A76FA3"/>
    <w:rsid w:val="00A77070"/>
    <w:rsid w:val="00A7714C"/>
    <w:rsid w:val="00A77272"/>
    <w:rsid w:val="00A77313"/>
    <w:rsid w:val="00A773E0"/>
    <w:rsid w:val="00A77446"/>
    <w:rsid w:val="00A775C5"/>
    <w:rsid w:val="00A77607"/>
    <w:rsid w:val="00A7761F"/>
    <w:rsid w:val="00A77730"/>
    <w:rsid w:val="00A77749"/>
    <w:rsid w:val="00A777A8"/>
    <w:rsid w:val="00A7782E"/>
    <w:rsid w:val="00A77A15"/>
    <w:rsid w:val="00A77A27"/>
    <w:rsid w:val="00A77ACA"/>
    <w:rsid w:val="00A77B5C"/>
    <w:rsid w:val="00A77C51"/>
    <w:rsid w:val="00A77C5B"/>
    <w:rsid w:val="00A77C9A"/>
    <w:rsid w:val="00A77CAB"/>
    <w:rsid w:val="00A77CAD"/>
    <w:rsid w:val="00A77CEF"/>
    <w:rsid w:val="00A77E22"/>
    <w:rsid w:val="00A77E9F"/>
    <w:rsid w:val="00A77EA4"/>
    <w:rsid w:val="00A77F8E"/>
    <w:rsid w:val="00A801AA"/>
    <w:rsid w:val="00A802D4"/>
    <w:rsid w:val="00A803D0"/>
    <w:rsid w:val="00A803D8"/>
    <w:rsid w:val="00A80588"/>
    <w:rsid w:val="00A80609"/>
    <w:rsid w:val="00A806B8"/>
    <w:rsid w:val="00A8081C"/>
    <w:rsid w:val="00A8092D"/>
    <w:rsid w:val="00A8094D"/>
    <w:rsid w:val="00A80AF8"/>
    <w:rsid w:val="00A80B19"/>
    <w:rsid w:val="00A80B35"/>
    <w:rsid w:val="00A80CFC"/>
    <w:rsid w:val="00A810C9"/>
    <w:rsid w:val="00A8123D"/>
    <w:rsid w:val="00A8127E"/>
    <w:rsid w:val="00A812DB"/>
    <w:rsid w:val="00A81355"/>
    <w:rsid w:val="00A8135A"/>
    <w:rsid w:val="00A8146D"/>
    <w:rsid w:val="00A81527"/>
    <w:rsid w:val="00A8152E"/>
    <w:rsid w:val="00A81564"/>
    <w:rsid w:val="00A817DC"/>
    <w:rsid w:val="00A8189B"/>
    <w:rsid w:val="00A818B8"/>
    <w:rsid w:val="00A818BF"/>
    <w:rsid w:val="00A818C0"/>
    <w:rsid w:val="00A819AD"/>
    <w:rsid w:val="00A81B00"/>
    <w:rsid w:val="00A81C1C"/>
    <w:rsid w:val="00A81C1D"/>
    <w:rsid w:val="00A81DB3"/>
    <w:rsid w:val="00A81F2F"/>
    <w:rsid w:val="00A81F43"/>
    <w:rsid w:val="00A81FBB"/>
    <w:rsid w:val="00A82120"/>
    <w:rsid w:val="00A82387"/>
    <w:rsid w:val="00A8238C"/>
    <w:rsid w:val="00A82465"/>
    <w:rsid w:val="00A824A7"/>
    <w:rsid w:val="00A826FB"/>
    <w:rsid w:val="00A8274F"/>
    <w:rsid w:val="00A82770"/>
    <w:rsid w:val="00A82B91"/>
    <w:rsid w:val="00A82D6E"/>
    <w:rsid w:val="00A82E48"/>
    <w:rsid w:val="00A82E5C"/>
    <w:rsid w:val="00A8305D"/>
    <w:rsid w:val="00A830E6"/>
    <w:rsid w:val="00A8311F"/>
    <w:rsid w:val="00A8313A"/>
    <w:rsid w:val="00A831FB"/>
    <w:rsid w:val="00A831FD"/>
    <w:rsid w:val="00A8322A"/>
    <w:rsid w:val="00A83310"/>
    <w:rsid w:val="00A83366"/>
    <w:rsid w:val="00A837A8"/>
    <w:rsid w:val="00A838A5"/>
    <w:rsid w:val="00A839D4"/>
    <w:rsid w:val="00A83AA3"/>
    <w:rsid w:val="00A83ACB"/>
    <w:rsid w:val="00A83B19"/>
    <w:rsid w:val="00A83C6F"/>
    <w:rsid w:val="00A83CE1"/>
    <w:rsid w:val="00A83D70"/>
    <w:rsid w:val="00A83E5B"/>
    <w:rsid w:val="00A83EEE"/>
    <w:rsid w:val="00A83F77"/>
    <w:rsid w:val="00A84141"/>
    <w:rsid w:val="00A8428E"/>
    <w:rsid w:val="00A843D7"/>
    <w:rsid w:val="00A843E0"/>
    <w:rsid w:val="00A84431"/>
    <w:rsid w:val="00A84589"/>
    <w:rsid w:val="00A845B0"/>
    <w:rsid w:val="00A84763"/>
    <w:rsid w:val="00A8479A"/>
    <w:rsid w:val="00A848B5"/>
    <w:rsid w:val="00A848F4"/>
    <w:rsid w:val="00A849C2"/>
    <w:rsid w:val="00A849F8"/>
    <w:rsid w:val="00A84A02"/>
    <w:rsid w:val="00A84DA8"/>
    <w:rsid w:val="00A84EE9"/>
    <w:rsid w:val="00A84F50"/>
    <w:rsid w:val="00A84F76"/>
    <w:rsid w:val="00A85183"/>
    <w:rsid w:val="00A852ED"/>
    <w:rsid w:val="00A85458"/>
    <w:rsid w:val="00A854DF"/>
    <w:rsid w:val="00A854ED"/>
    <w:rsid w:val="00A85552"/>
    <w:rsid w:val="00A8571C"/>
    <w:rsid w:val="00A85978"/>
    <w:rsid w:val="00A85A0A"/>
    <w:rsid w:val="00A85A35"/>
    <w:rsid w:val="00A85A69"/>
    <w:rsid w:val="00A85A72"/>
    <w:rsid w:val="00A85AA8"/>
    <w:rsid w:val="00A85AEF"/>
    <w:rsid w:val="00A85B38"/>
    <w:rsid w:val="00A85C79"/>
    <w:rsid w:val="00A85D87"/>
    <w:rsid w:val="00A85ED1"/>
    <w:rsid w:val="00A85FAA"/>
    <w:rsid w:val="00A8603A"/>
    <w:rsid w:val="00A8614E"/>
    <w:rsid w:val="00A86161"/>
    <w:rsid w:val="00A861E2"/>
    <w:rsid w:val="00A8622D"/>
    <w:rsid w:val="00A862F8"/>
    <w:rsid w:val="00A864A4"/>
    <w:rsid w:val="00A86628"/>
    <w:rsid w:val="00A86657"/>
    <w:rsid w:val="00A8668C"/>
    <w:rsid w:val="00A866C7"/>
    <w:rsid w:val="00A8674B"/>
    <w:rsid w:val="00A867ED"/>
    <w:rsid w:val="00A8681D"/>
    <w:rsid w:val="00A86842"/>
    <w:rsid w:val="00A86AB0"/>
    <w:rsid w:val="00A86E44"/>
    <w:rsid w:val="00A86E6A"/>
    <w:rsid w:val="00A86EDD"/>
    <w:rsid w:val="00A86F44"/>
    <w:rsid w:val="00A87156"/>
    <w:rsid w:val="00A8720B"/>
    <w:rsid w:val="00A87271"/>
    <w:rsid w:val="00A8739D"/>
    <w:rsid w:val="00A8742C"/>
    <w:rsid w:val="00A8768E"/>
    <w:rsid w:val="00A87715"/>
    <w:rsid w:val="00A877B4"/>
    <w:rsid w:val="00A878AE"/>
    <w:rsid w:val="00A87ACB"/>
    <w:rsid w:val="00A87B2F"/>
    <w:rsid w:val="00A87BD4"/>
    <w:rsid w:val="00A87BDD"/>
    <w:rsid w:val="00A87CA9"/>
    <w:rsid w:val="00A87CC5"/>
    <w:rsid w:val="00A87ED8"/>
    <w:rsid w:val="00A87EDB"/>
    <w:rsid w:val="00A90042"/>
    <w:rsid w:val="00A9011E"/>
    <w:rsid w:val="00A90191"/>
    <w:rsid w:val="00A903CA"/>
    <w:rsid w:val="00A903F3"/>
    <w:rsid w:val="00A90519"/>
    <w:rsid w:val="00A9051B"/>
    <w:rsid w:val="00A907E4"/>
    <w:rsid w:val="00A909CE"/>
    <w:rsid w:val="00A90A44"/>
    <w:rsid w:val="00A90B95"/>
    <w:rsid w:val="00A90BDD"/>
    <w:rsid w:val="00A90D14"/>
    <w:rsid w:val="00A90E15"/>
    <w:rsid w:val="00A90E9E"/>
    <w:rsid w:val="00A91041"/>
    <w:rsid w:val="00A91058"/>
    <w:rsid w:val="00A9124D"/>
    <w:rsid w:val="00A91270"/>
    <w:rsid w:val="00A91336"/>
    <w:rsid w:val="00A9135E"/>
    <w:rsid w:val="00A91369"/>
    <w:rsid w:val="00A915CA"/>
    <w:rsid w:val="00A91774"/>
    <w:rsid w:val="00A91807"/>
    <w:rsid w:val="00A919C8"/>
    <w:rsid w:val="00A91AD0"/>
    <w:rsid w:val="00A91AD4"/>
    <w:rsid w:val="00A91AFA"/>
    <w:rsid w:val="00A91B11"/>
    <w:rsid w:val="00A91C11"/>
    <w:rsid w:val="00A91DFF"/>
    <w:rsid w:val="00A91F5A"/>
    <w:rsid w:val="00A9200B"/>
    <w:rsid w:val="00A92115"/>
    <w:rsid w:val="00A92196"/>
    <w:rsid w:val="00A9222B"/>
    <w:rsid w:val="00A922E7"/>
    <w:rsid w:val="00A92345"/>
    <w:rsid w:val="00A923E2"/>
    <w:rsid w:val="00A924C8"/>
    <w:rsid w:val="00A924DA"/>
    <w:rsid w:val="00A924DC"/>
    <w:rsid w:val="00A9257F"/>
    <w:rsid w:val="00A9272F"/>
    <w:rsid w:val="00A92858"/>
    <w:rsid w:val="00A929D4"/>
    <w:rsid w:val="00A92ABF"/>
    <w:rsid w:val="00A92ACF"/>
    <w:rsid w:val="00A92CB8"/>
    <w:rsid w:val="00A92FF3"/>
    <w:rsid w:val="00A93034"/>
    <w:rsid w:val="00A93079"/>
    <w:rsid w:val="00A9311C"/>
    <w:rsid w:val="00A93126"/>
    <w:rsid w:val="00A93276"/>
    <w:rsid w:val="00A932B2"/>
    <w:rsid w:val="00A932FF"/>
    <w:rsid w:val="00A933C3"/>
    <w:rsid w:val="00A93446"/>
    <w:rsid w:val="00A934FC"/>
    <w:rsid w:val="00A93544"/>
    <w:rsid w:val="00A93698"/>
    <w:rsid w:val="00A936D7"/>
    <w:rsid w:val="00A9370A"/>
    <w:rsid w:val="00A937B8"/>
    <w:rsid w:val="00A9397A"/>
    <w:rsid w:val="00A93A4D"/>
    <w:rsid w:val="00A93B56"/>
    <w:rsid w:val="00A93B98"/>
    <w:rsid w:val="00A93CDB"/>
    <w:rsid w:val="00A93D0B"/>
    <w:rsid w:val="00A93F55"/>
    <w:rsid w:val="00A93FA6"/>
    <w:rsid w:val="00A94061"/>
    <w:rsid w:val="00A94107"/>
    <w:rsid w:val="00A94127"/>
    <w:rsid w:val="00A943C2"/>
    <w:rsid w:val="00A944F3"/>
    <w:rsid w:val="00A94549"/>
    <w:rsid w:val="00A94576"/>
    <w:rsid w:val="00A94587"/>
    <w:rsid w:val="00A945D5"/>
    <w:rsid w:val="00A94621"/>
    <w:rsid w:val="00A94655"/>
    <w:rsid w:val="00A9469A"/>
    <w:rsid w:val="00A94A26"/>
    <w:rsid w:val="00A94B10"/>
    <w:rsid w:val="00A94C8C"/>
    <w:rsid w:val="00A94CF4"/>
    <w:rsid w:val="00A94EF3"/>
    <w:rsid w:val="00A9500A"/>
    <w:rsid w:val="00A95021"/>
    <w:rsid w:val="00A95075"/>
    <w:rsid w:val="00A9512E"/>
    <w:rsid w:val="00A951B9"/>
    <w:rsid w:val="00A9525C"/>
    <w:rsid w:val="00A953D3"/>
    <w:rsid w:val="00A95439"/>
    <w:rsid w:val="00A95490"/>
    <w:rsid w:val="00A954A5"/>
    <w:rsid w:val="00A95614"/>
    <w:rsid w:val="00A95632"/>
    <w:rsid w:val="00A95668"/>
    <w:rsid w:val="00A95847"/>
    <w:rsid w:val="00A95972"/>
    <w:rsid w:val="00A95A62"/>
    <w:rsid w:val="00A95D55"/>
    <w:rsid w:val="00A95D60"/>
    <w:rsid w:val="00A95DA2"/>
    <w:rsid w:val="00A95E46"/>
    <w:rsid w:val="00A962A4"/>
    <w:rsid w:val="00A962AC"/>
    <w:rsid w:val="00A963BA"/>
    <w:rsid w:val="00A9651E"/>
    <w:rsid w:val="00A96542"/>
    <w:rsid w:val="00A966D3"/>
    <w:rsid w:val="00A9679C"/>
    <w:rsid w:val="00A96855"/>
    <w:rsid w:val="00A9690E"/>
    <w:rsid w:val="00A96931"/>
    <w:rsid w:val="00A969A2"/>
    <w:rsid w:val="00A969CE"/>
    <w:rsid w:val="00A96A99"/>
    <w:rsid w:val="00A96C5F"/>
    <w:rsid w:val="00A96CAD"/>
    <w:rsid w:val="00A96D29"/>
    <w:rsid w:val="00A96D42"/>
    <w:rsid w:val="00A96E4E"/>
    <w:rsid w:val="00A96ECF"/>
    <w:rsid w:val="00A96F11"/>
    <w:rsid w:val="00A96F8E"/>
    <w:rsid w:val="00A97058"/>
    <w:rsid w:val="00A97356"/>
    <w:rsid w:val="00A973EA"/>
    <w:rsid w:val="00A97508"/>
    <w:rsid w:val="00A976BA"/>
    <w:rsid w:val="00A97797"/>
    <w:rsid w:val="00A9781B"/>
    <w:rsid w:val="00A97842"/>
    <w:rsid w:val="00A979A5"/>
    <w:rsid w:val="00A979F2"/>
    <w:rsid w:val="00A97B22"/>
    <w:rsid w:val="00A97BC2"/>
    <w:rsid w:val="00A97C80"/>
    <w:rsid w:val="00A97D02"/>
    <w:rsid w:val="00A97D25"/>
    <w:rsid w:val="00A97D39"/>
    <w:rsid w:val="00A97D44"/>
    <w:rsid w:val="00A97DE0"/>
    <w:rsid w:val="00A97EBE"/>
    <w:rsid w:val="00A97EEB"/>
    <w:rsid w:val="00AA009F"/>
    <w:rsid w:val="00AA00B9"/>
    <w:rsid w:val="00AA01D0"/>
    <w:rsid w:val="00AA0248"/>
    <w:rsid w:val="00AA0265"/>
    <w:rsid w:val="00AA02EC"/>
    <w:rsid w:val="00AA0335"/>
    <w:rsid w:val="00AA0457"/>
    <w:rsid w:val="00AA055C"/>
    <w:rsid w:val="00AA073D"/>
    <w:rsid w:val="00AA082A"/>
    <w:rsid w:val="00AA0878"/>
    <w:rsid w:val="00AA08CF"/>
    <w:rsid w:val="00AA0AB7"/>
    <w:rsid w:val="00AA0ADC"/>
    <w:rsid w:val="00AA0BCA"/>
    <w:rsid w:val="00AA0D0A"/>
    <w:rsid w:val="00AA0DF7"/>
    <w:rsid w:val="00AA0E53"/>
    <w:rsid w:val="00AA0EEA"/>
    <w:rsid w:val="00AA0F1A"/>
    <w:rsid w:val="00AA0F35"/>
    <w:rsid w:val="00AA0FD3"/>
    <w:rsid w:val="00AA0FE0"/>
    <w:rsid w:val="00AA116D"/>
    <w:rsid w:val="00AA11D1"/>
    <w:rsid w:val="00AA134A"/>
    <w:rsid w:val="00AA153F"/>
    <w:rsid w:val="00AA16E7"/>
    <w:rsid w:val="00AA1719"/>
    <w:rsid w:val="00AA19F2"/>
    <w:rsid w:val="00AA19F3"/>
    <w:rsid w:val="00AA1B72"/>
    <w:rsid w:val="00AA1B8C"/>
    <w:rsid w:val="00AA1D40"/>
    <w:rsid w:val="00AA1DEC"/>
    <w:rsid w:val="00AA1FAB"/>
    <w:rsid w:val="00AA2085"/>
    <w:rsid w:val="00AA216D"/>
    <w:rsid w:val="00AA2236"/>
    <w:rsid w:val="00AA2275"/>
    <w:rsid w:val="00AA22BD"/>
    <w:rsid w:val="00AA22DE"/>
    <w:rsid w:val="00AA2315"/>
    <w:rsid w:val="00AA23C9"/>
    <w:rsid w:val="00AA24A7"/>
    <w:rsid w:val="00AA24AB"/>
    <w:rsid w:val="00AA2581"/>
    <w:rsid w:val="00AA2608"/>
    <w:rsid w:val="00AA2724"/>
    <w:rsid w:val="00AA2899"/>
    <w:rsid w:val="00AA2A3C"/>
    <w:rsid w:val="00AA2AEC"/>
    <w:rsid w:val="00AA2B15"/>
    <w:rsid w:val="00AA2B6B"/>
    <w:rsid w:val="00AA2BB0"/>
    <w:rsid w:val="00AA2CDA"/>
    <w:rsid w:val="00AA2D5D"/>
    <w:rsid w:val="00AA2D9E"/>
    <w:rsid w:val="00AA2DA6"/>
    <w:rsid w:val="00AA3002"/>
    <w:rsid w:val="00AA3015"/>
    <w:rsid w:val="00AA34BF"/>
    <w:rsid w:val="00AA372B"/>
    <w:rsid w:val="00AA373C"/>
    <w:rsid w:val="00AA378E"/>
    <w:rsid w:val="00AA37D2"/>
    <w:rsid w:val="00AA3800"/>
    <w:rsid w:val="00AA382E"/>
    <w:rsid w:val="00AA387B"/>
    <w:rsid w:val="00AA38AF"/>
    <w:rsid w:val="00AA39E6"/>
    <w:rsid w:val="00AA3A36"/>
    <w:rsid w:val="00AA3A69"/>
    <w:rsid w:val="00AA3D99"/>
    <w:rsid w:val="00AA3DA7"/>
    <w:rsid w:val="00AA3DF0"/>
    <w:rsid w:val="00AA3ED1"/>
    <w:rsid w:val="00AA3F16"/>
    <w:rsid w:val="00AA4076"/>
    <w:rsid w:val="00AA40C3"/>
    <w:rsid w:val="00AA40F8"/>
    <w:rsid w:val="00AA4104"/>
    <w:rsid w:val="00AA416A"/>
    <w:rsid w:val="00AA423B"/>
    <w:rsid w:val="00AA4311"/>
    <w:rsid w:val="00AA432C"/>
    <w:rsid w:val="00AA436F"/>
    <w:rsid w:val="00AA443C"/>
    <w:rsid w:val="00AA45D1"/>
    <w:rsid w:val="00AA4687"/>
    <w:rsid w:val="00AA478B"/>
    <w:rsid w:val="00AA47ED"/>
    <w:rsid w:val="00AA4858"/>
    <w:rsid w:val="00AA4906"/>
    <w:rsid w:val="00AA4958"/>
    <w:rsid w:val="00AA4C02"/>
    <w:rsid w:val="00AA4C8C"/>
    <w:rsid w:val="00AA4CCA"/>
    <w:rsid w:val="00AA4D0F"/>
    <w:rsid w:val="00AA4D36"/>
    <w:rsid w:val="00AA4D38"/>
    <w:rsid w:val="00AA4E11"/>
    <w:rsid w:val="00AA4E31"/>
    <w:rsid w:val="00AA4E68"/>
    <w:rsid w:val="00AA5251"/>
    <w:rsid w:val="00AA5310"/>
    <w:rsid w:val="00AA5485"/>
    <w:rsid w:val="00AA54D1"/>
    <w:rsid w:val="00AA54FC"/>
    <w:rsid w:val="00AA5547"/>
    <w:rsid w:val="00AA5725"/>
    <w:rsid w:val="00AA5883"/>
    <w:rsid w:val="00AA58F5"/>
    <w:rsid w:val="00AA59FD"/>
    <w:rsid w:val="00AA5A6E"/>
    <w:rsid w:val="00AA5D3F"/>
    <w:rsid w:val="00AA5F09"/>
    <w:rsid w:val="00AA5F18"/>
    <w:rsid w:val="00AA5FA3"/>
    <w:rsid w:val="00AA5FC6"/>
    <w:rsid w:val="00AA6343"/>
    <w:rsid w:val="00AA6370"/>
    <w:rsid w:val="00AA63AC"/>
    <w:rsid w:val="00AA64E6"/>
    <w:rsid w:val="00AA650A"/>
    <w:rsid w:val="00AA6552"/>
    <w:rsid w:val="00AA6561"/>
    <w:rsid w:val="00AA670B"/>
    <w:rsid w:val="00AA6837"/>
    <w:rsid w:val="00AA6898"/>
    <w:rsid w:val="00AA68C9"/>
    <w:rsid w:val="00AA6993"/>
    <w:rsid w:val="00AA6AC5"/>
    <w:rsid w:val="00AA6AF7"/>
    <w:rsid w:val="00AA6B06"/>
    <w:rsid w:val="00AA6E11"/>
    <w:rsid w:val="00AA6E89"/>
    <w:rsid w:val="00AA6E8B"/>
    <w:rsid w:val="00AA6E9C"/>
    <w:rsid w:val="00AA6F7F"/>
    <w:rsid w:val="00AA6FCC"/>
    <w:rsid w:val="00AA721B"/>
    <w:rsid w:val="00AA7261"/>
    <w:rsid w:val="00AA7343"/>
    <w:rsid w:val="00AA73EA"/>
    <w:rsid w:val="00AA7701"/>
    <w:rsid w:val="00AA772B"/>
    <w:rsid w:val="00AA7887"/>
    <w:rsid w:val="00AA7A44"/>
    <w:rsid w:val="00AA7A68"/>
    <w:rsid w:val="00AA7B5C"/>
    <w:rsid w:val="00AA7B6D"/>
    <w:rsid w:val="00AA7B8F"/>
    <w:rsid w:val="00AA7C6A"/>
    <w:rsid w:val="00AA7C8D"/>
    <w:rsid w:val="00AA7CBB"/>
    <w:rsid w:val="00AA7DA7"/>
    <w:rsid w:val="00AA7DB3"/>
    <w:rsid w:val="00AA7DBF"/>
    <w:rsid w:val="00AA7EF6"/>
    <w:rsid w:val="00AA7F74"/>
    <w:rsid w:val="00AA7F85"/>
    <w:rsid w:val="00AA7FCF"/>
    <w:rsid w:val="00AB014F"/>
    <w:rsid w:val="00AB01BF"/>
    <w:rsid w:val="00AB0217"/>
    <w:rsid w:val="00AB025C"/>
    <w:rsid w:val="00AB02AD"/>
    <w:rsid w:val="00AB03AC"/>
    <w:rsid w:val="00AB05D6"/>
    <w:rsid w:val="00AB064E"/>
    <w:rsid w:val="00AB0767"/>
    <w:rsid w:val="00AB085D"/>
    <w:rsid w:val="00AB0A5D"/>
    <w:rsid w:val="00AB0AE1"/>
    <w:rsid w:val="00AB0B33"/>
    <w:rsid w:val="00AB0BD5"/>
    <w:rsid w:val="00AB0C2C"/>
    <w:rsid w:val="00AB0C34"/>
    <w:rsid w:val="00AB0D55"/>
    <w:rsid w:val="00AB0DB9"/>
    <w:rsid w:val="00AB0F7F"/>
    <w:rsid w:val="00AB1079"/>
    <w:rsid w:val="00AB10E1"/>
    <w:rsid w:val="00AB1179"/>
    <w:rsid w:val="00AB1258"/>
    <w:rsid w:val="00AB1310"/>
    <w:rsid w:val="00AB131F"/>
    <w:rsid w:val="00AB13BA"/>
    <w:rsid w:val="00AB13F9"/>
    <w:rsid w:val="00AB1445"/>
    <w:rsid w:val="00AB14E6"/>
    <w:rsid w:val="00AB154A"/>
    <w:rsid w:val="00AB1960"/>
    <w:rsid w:val="00AB1995"/>
    <w:rsid w:val="00AB1A41"/>
    <w:rsid w:val="00AB1ACB"/>
    <w:rsid w:val="00AB1B48"/>
    <w:rsid w:val="00AB1B4F"/>
    <w:rsid w:val="00AB1C14"/>
    <w:rsid w:val="00AB1C56"/>
    <w:rsid w:val="00AB1C95"/>
    <w:rsid w:val="00AB1E95"/>
    <w:rsid w:val="00AB1F02"/>
    <w:rsid w:val="00AB1F31"/>
    <w:rsid w:val="00AB200E"/>
    <w:rsid w:val="00AB2131"/>
    <w:rsid w:val="00AB2139"/>
    <w:rsid w:val="00AB221E"/>
    <w:rsid w:val="00AB23DD"/>
    <w:rsid w:val="00AB247B"/>
    <w:rsid w:val="00AB2483"/>
    <w:rsid w:val="00AB2484"/>
    <w:rsid w:val="00AB2573"/>
    <w:rsid w:val="00AB273F"/>
    <w:rsid w:val="00AB27D9"/>
    <w:rsid w:val="00AB2836"/>
    <w:rsid w:val="00AB289C"/>
    <w:rsid w:val="00AB2A43"/>
    <w:rsid w:val="00AB2B04"/>
    <w:rsid w:val="00AB2BFB"/>
    <w:rsid w:val="00AB2C50"/>
    <w:rsid w:val="00AB2CBE"/>
    <w:rsid w:val="00AB2CC2"/>
    <w:rsid w:val="00AB2CFA"/>
    <w:rsid w:val="00AB2EA9"/>
    <w:rsid w:val="00AB2FFB"/>
    <w:rsid w:val="00AB3002"/>
    <w:rsid w:val="00AB3045"/>
    <w:rsid w:val="00AB31BC"/>
    <w:rsid w:val="00AB3278"/>
    <w:rsid w:val="00AB3315"/>
    <w:rsid w:val="00AB3382"/>
    <w:rsid w:val="00AB35ED"/>
    <w:rsid w:val="00AB36CF"/>
    <w:rsid w:val="00AB3768"/>
    <w:rsid w:val="00AB37F4"/>
    <w:rsid w:val="00AB3850"/>
    <w:rsid w:val="00AB38D6"/>
    <w:rsid w:val="00AB3958"/>
    <w:rsid w:val="00AB3B46"/>
    <w:rsid w:val="00AB3BB0"/>
    <w:rsid w:val="00AB3BFD"/>
    <w:rsid w:val="00AB3EB2"/>
    <w:rsid w:val="00AB3F4E"/>
    <w:rsid w:val="00AB414C"/>
    <w:rsid w:val="00AB4457"/>
    <w:rsid w:val="00AB46C4"/>
    <w:rsid w:val="00AB47B3"/>
    <w:rsid w:val="00AB4895"/>
    <w:rsid w:val="00AB48A5"/>
    <w:rsid w:val="00AB48A8"/>
    <w:rsid w:val="00AB4B18"/>
    <w:rsid w:val="00AB4B3A"/>
    <w:rsid w:val="00AB4D63"/>
    <w:rsid w:val="00AB4E0C"/>
    <w:rsid w:val="00AB4EC8"/>
    <w:rsid w:val="00AB4FCA"/>
    <w:rsid w:val="00AB4FE7"/>
    <w:rsid w:val="00AB5056"/>
    <w:rsid w:val="00AB50CC"/>
    <w:rsid w:val="00AB5110"/>
    <w:rsid w:val="00AB5301"/>
    <w:rsid w:val="00AB5354"/>
    <w:rsid w:val="00AB55DD"/>
    <w:rsid w:val="00AB577A"/>
    <w:rsid w:val="00AB580E"/>
    <w:rsid w:val="00AB58E6"/>
    <w:rsid w:val="00AB5907"/>
    <w:rsid w:val="00AB59CF"/>
    <w:rsid w:val="00AB5B6A"/>
    <w:rsid w:val="00AB5C34"/>
    <w:rsid w:val="00AB5D02"/>
    <w:rsid w:val="00AB5DD5"/>
    <w:rsid w:val="00AB5EFB"/>
    <w:rsid w:val="00AB6029"/>
    <w:rsid w:val="00AB605C"/>
    <w:rsid w:val="00AB6114"/>
    <w:rsid w:val="00AB6135"/>
    <w:rsid w:val="00AB622F"/>
    <w:rsid w:val="00AB6286"/>
    <w:rsid w:val="00AB6368"/>
    <w:rsid w:val="00AB63FA"/>
    <w:rsid w:val="00AB6418"/>
    <w:rsid w:val="00AB6631"/>
    <w:rsid w:val="00AB6967"/>
    <w:rsid w:val="00AB6C1B"/>
    <w:rsid w:val="00AB6C4C"/>
    <w:rsid w:val="00AB6D5B"/>
    <w:rsid w:val="00AB6DFF"/>
    <w:rsid w:val="00AB6E5E"/>
    <w:rsid w:val="00AB727A"/>
    <w:rsid w:val="00AB7297"/>
    <w:rsid w:val="00AB73D6"/>
    <w:rsid w:val="00AB7400"/>
    <w:rsid w:val="00AB770C"/>
    <w:rsid w:val="00AB77E7"/>
    <w:rsid w:val="00AB7945"/>
    <w:rsid w:val="00AB7955"/>
    <w:rsid w:val="00AB7A14"/>
    <w:rsid w:val="00AB7A36"/>
    <w:rsid w:val="00AB7EBE"/>
    <w:rsid w:val="00AB7F0A"/>
    <w:rsid w:val="00AB7F25"/>
    <w:rsid w:val="00AC0029"/>
    <w:rsid w:val="00AC0176"/>
    <w:rsid w:val="00AC01F6"/>
    <w:rsid w:val="00AC02B5"/>
    <w:rsid w:val="00AC0459"/>
    <w:rsid w:val="00AC0663"/>
    <w:rsid w:val="00AC070A"/>
    <w:rsid w:val="00AC0888"/>
    <w:rsid w:val="00AC0A08"/>
    <w:rsid w:val="00AC0AAC"/>
    <w:rsid w:val="00AC0ACD"/>
    <w:rsid w:val="00AC0BC1"/>
    <w:rsid w:val="00AC0BCF"/>
    <w:rsid w:val="00AC0D19"/>
    <w:rsid w:val="00AC0E08"/>
    <w:rsid w:val="00AC0FA9"/>
    <w:rsid w:val="00AC10E9"/>
    <w:rsid w:val="00AC1246"/>
    <w:rsid w:val="00AC14D3"/>
    <w:rsid w:val="00AC14DE"/>
    <w:rsid w:val="00AC150D"/>
    <w:rsid w:val="00AC1609"/>
    <w:rsid w:val="00AC17B8"/>
    <w:rsid w:val="00AC18E0"/>
    <w:rsid w:val="00AC1A03"/>
    <w:rsid w:val="00AC1A63"/>
    <w:rsid w:val="00AC1A73"/>
    <w:rsid w:val="00AC1BB2"/>
    <w:rsid w:val="00AC1BDC"/>
    <w:rsid w:val="00AC1BF8"/>
    <w:rsid w:val="00AC1C71"/>
    <w:rsid w:val="00AC1D6F"/>
    <w:rsid w:val="00AC1DBD"/>
    <w:rsid w:val="00AC1E3A"/>
    <w:rsid w:val="00AC20AA"/>
    <w:rsid w:val="00AC2158"/>
    <w:rsid w:val="00AC21E6"/>
    <w:rsid w:val="00AC23EB"/>
    <w:rsid w:val="00AC2453"/>
    <w:rsid w:val="00AC2474"/>
    <w:rsid w:val="00AC2708"/>
    <w:rsid w:val="00AC2794"/>
    <w:rsid w:val="00AC2B24"/>
    <w:rsid w:val="00AC2B45"/>
    <w:rsid w:val="00AC2D10"/>
    <w:rsid w:val="00AC2D28"/>
    <w:rsid w:val="00AC2E40"/>
    <w:rsid w:val="00AC3128"/>
    <w:rsid w:val="00AC317E"/>
    <w:rsid w:val="00AC3299"/>
    <w:rsid w:val="00AC32AE"/>
    <w:rsid w:val="00AC340B"/>
    <w:rsid w:val="00AC3454"/>
    <w:rsid w:val="00AC3662"/>
    <w:rsid w:val="00AC36CE"/>
    <w:rsid w:val="00AC36EB"/>
    <w:rsid w:val="00AC3B7E"/>
    <w:rsid w:val="00AC3C0C"/>
    <w:rsid w:val="00AC3E9E"/>
    <w:rsid w:val="00AC3F83"/>
    <w:rsid w:val="00AC3F93"/>
    <w:rsid w:val="00AC3FC4"/>
    <w:rsid w:val="00AC4023"/>
    <w:rsid w:val="00AC4043"/>
    <w:rsid w:val="00AC4045"/>
    <w:rsid w:val="00AC4067"/>
    <w:rsid w:val="00AC4076"/>
    <w:rsid w:val="00AC40D8"/>
    <w:rsid w:val="00AC4143"/>
    <w:rsid w:val="00AC416B"/>
    <w:rsid w:val="00AC4202"/>
    <w:rsid w:val="00AC42BC"/>
    <w:rsid w:val="00AC4309"/>
    <w:rsid w:val="00AC4387"/>
    <w:rsid w:val="00AC4592"/>
    <w:rsid w:val="00AC45AB"/>
    <w:rsid w:val="00AC464E"/>
    <w:rsid w:val="00AC46D2"/>
    <w:rsid w:val="00AC46F0"/>
    <w:rsid w:val="00AC4807"/>
    <w:rsid w:val="00AC4809"/>
    <w:rsid w:val="00AC4838"/>
    <w:rsid w:val="00AC48FF"/>
    <w:rsid w:val="00AC495D"/>
    <w:rsid w:val="00AC4B05"/>
    <w:rsid w:val="00AC4C38"/>
    <w:rsid w:val="00AC4EF6"/>
    <w:rsid w:val="00AC4FB7"/>
    <w:rsid w:val="00AC50D4"/>
    <w:rsid w:val="00AC50F5"/>
    <w:rsid w:val="00AC5132"/>
    <w:rsid w:val="00AC524A"/>
    <w:rsid w:val="00AC53E5"/>
    <w:rsid w:val="00AC5438"/>
    <w:rsid w:val="00AC54B9"/>
    <w:rsid w:val="00AC54EB"/>
    <w:rsid w:val="00AC551C"/>
    <w:rsid w:val="00AC557F"/>
    <w:rsid w:val="00AC5602"/>
    <w:rsid w:val="00AC56A0"/>
    <w:rsid w:val="00AC5869"/>
    <w:rsid w:val="00AC5900"/>
    <w:rsid w:val="00AC5997"/>
    <w:rsid w:val="00AC5A1E"/>
    <w:rsid w:val="00AC5A3A"/>
    <w:rsid w:val="00AC5BA7"/>
    <w:rsid w:val="00AC5CA6"/>
    <w:rsid w:val="00AC5DD9"/>
    <w:rsid w:val="00AC5E4F"/>
    <w:rsid w:val="00AC5F71"/>
    <w:rsid w:val="00AC6104"/>
    <w:rsid w:val="00AC6232"/>
    <w:rsid w:val="00AC62FF"/>
    <w:rsid w:val="00AC631A"/>
    <w:rsid w:val="00AC631E"/>
    <w:rsid w:val="00AC6327"/>
    <w:rsid w:val="00AC6463"/>
    <w:rsid w:val="00AC64AA"/>
    <w:rsid w:val="00AC6543"/>
    <w:rsid w:val="00AC65EC"/>
    <w:rsid w:val="00AC688F"/>
    <w:rsid w:val="00AC6916"/>
    <w:rsid w:val="00AC6975"/>
    <w:rsid w:val="00AC6AB0"/>
    <w:rsid w:val="00AC6BC6"/>
    <w:rsid w:val="00AC6C73"/>
    <w:rsid w:val="00AC6CB8"/>
    <w:rsid w:val="00AC6CCF"/>
    <w:rsid w:val="00AC6CD4"/>
    <w:rsid w:val="00AC6E3F"/>
    <w:rsid w:val="00AC6F6C"/>
    <w:rsid w:val="00AC713E"/>
    <w:rsid w:val="00AC71E4"/>
    <w:rsid w:val="00AC7442"/>
    <w:rsid w:val="00AC760B"/>
    <w:rsid w:val="00AC7676"/>
    <w:rsid w:val="00AC768C"/>
    <w:rsid w:val="00AC76EB"/>
    <w:rsid w:val="00AC777A"/>
    <w:rsid w:val="00AC7798"/>
    <w:rsid w:val="00AC781D"/>
    <w:rsid w:val="00AC78AA"/>
    <w:rsid w:val="00AC790E"/>
    <w:rsid w:val="00AC79DE"/>
    <w:rsid w:val="00AC7A13"/>
    <w:rsid w:val="00AC7A19"/>
    <w:rsid w:val="00AC7A7E"/>
    <w:rsid w:val="00AC7AF1"/>
    <w:rsid w:val="00AC7BC6"/>
    <w:rsid w:val="00AC7DE5"/>
    <w:rsid w:val="00AC7E20"/>
    <w:rsid w:val="00AC7E79"/>
    <w:rsid w:val="00AC7EEC"/>
    <w:rsid w:val="00AD00AC"/>
    <w:rsid w:val="00AD00DB"/>
    <w:rsid w:val="00AD00F1"/>
    <w:rsid w:val="00AD02EC"/>
    <w:rsid w:val="00AD05D2"/>
    <w:rsid w:val="00AD074D"/>
    <w:rsid w:val="00AD077B"/>
    <w:rsid w:val="00AD09ED"/>
    <w:rsid w:val="00AD0A47"/>
    <w:rsid w:val="00AD0B4C"/>
    <w:rsid w:val="00AD0BED"/>
    <w:rsid w:val="00AD0CE0"/>
    <w:rsid w:val="00AD0E05"/>
    <w:rsid w:val="00AD0E30"/>
    <w:rsid w:val="00AD0EDD"/>
    <w:rsid w:val="00AD0EFE"/>
    <w:rsid w:val="00AD0FCA"/>
    <w:rsid w:val="00AD1450"/>
    <w:rsid w:val="00AD1610"/>
    <w:rsid w:val="00AD16FC"/>
    <w:rsid w:val="00AD17FD"/>
    <w:rsid w:val="00AD18FB"/>
    <w:rsid w:val="00AD1A10"/>
    <w:rsid w:val="00AD1A9D"/>
    <w:rsid w:val="00AD1CC2"/>
    <w:rsid w:val="00AD1D9F"/>
    <w:rsid w:val="00AD1E8D"/>
    <w:rsid w:val="00AD1F87"/>
    <w:rsid w:val="00AD1FE3"/>
    <w:rsid w:val="00AD2020"/>
    <w:rsid w:val="00AD2070"/>
    <w:rsid w:val="00AD211C"/>
    <w:rsid w:val="00AD2146"/>
    <w:rsid w:val="00AD2268"/>
    <w:rsid w:val="00AD2386"/>
    <w:rsid w:val="00AD23EE"/>
    <w:rsid w:val="00AD24C4"/>
    <w:rsid w:val="00AD2549"/>
    <w:rsid w:val="00AD2637"/>
    <w:rsid w:val="00AD28A2"/>
    <w:rsid w:val="00AD2913"/>
    <w:rsid w:val="00AD299A"/>
    <w:rsid w:val="00AD29A8"/>
    <w:rsid w:val="00AD2AE0"/>
    <w:rsid w:val="00AD2B48"/>
    <w:rsid w:val="00AD2ECC"/>
    <w:rsid w:val="00AD3035"/>
    <w:rsid w:val="00AD30C5"/>
    <w:rsid w:val="00AD30CF"/>
    <w:rsid w:val="00AD3239"/>
    <w:rsid w:val="00AD32FB"/>
    <w:rsid w:val="00AD335F"/>
    <w:rsid w:val="00AD3491"/>
    <w:rsid w:val="00AD34D8"/>
    <w:rsid w:val="00AD350A"/>
    <w:rsid w:val="00AD35A2"/>
    <w:rsid w:val="00AD3681"/>
    <w:rsid w:val="00AD3711"/>
    <w:rsid w:val="00AD38AD"/>
    <w:rsid w:val="00AD3ACA"/>
    <w:rsid w:val="00AD3C81"/>
    <w:rsid w:val="00AD3D04"/>
    <w:rsid w:val="00AD3E37"/>
    <w:rsid w:val="00AD3E96"/>
    <w:rsid w:val="00AD3EEB"/>
    <w:rsid w:val="00AD3FE3"/>
    <w:rsid w:val="00AD3FE7"/>
    <w:rsid w:val="00AD4104"/>
    <w:rsid w:val="00AD418D"/>
    <w:rsid w:val="00AD42F9"/>
    <w:rsid w:val="00AD433E"/>
    <w:rsid w:val="00AD43DE"/>
    <w:rsid w:val="00AD443E"/>
    <w:rsid w:val="00AD449C"/>
    <w:rsid w:val="00AD44B8"/>
    <w:rsid w:val="00AD451D"/>
    <w:rsid w:val="00AD4521"/>
    <w:rsid w:val="00AD4567"/>
    <w:rsid w:val="00AD45A8"/>
    <w:rsid w:val="00AD45AD"/>
    <w:rsid w:val="00AD45C1"/>
    <w:rsid w:val="00AD45F7"/>
    <w:rsid w:val="00AD47D0"/>
    <w:rsid w:val="00AD4983"/>
    <w:rsid w:val="00AD4AC1"/>
    <w:rsid w:val="00AD4C15"/>
    <w:rsid w:val="00AD4CD0"/>
    <w:rsid w:val="00AD4D0F"/>
    <w:rsid w:val="00AD4D23"/>
    <w:rsid w:val="00AD4D3B"/>
    <w:rsid w:val="00AD4D80"/>
    <w:rsid w:val="00AD4EDD"/>
    <w:rsid w:val="00AD4F4E"/>
    <w:rsid w:val="00AD4F69"/>
    <w:rsid w:val="00AD4FA7"/>
    <w:rsid w:val="00AD5110"/>
    <w:rsid w:val="00AD5175"/>
    <w:rsid w:val="00AD517A"/>
    <w:rsid w:val="00AD5246"/>
    <w:rsid w:val="00AD549B"/>
    <w:rsid w:val="00AD5546"/>
    <w:rsid w:val="00AD5568"/>
    <w:rsid w:val="00AD56BF"/>
    <w:rsid w:val="00AD5903"/>
    <w:rsid w:val="00AD5905"/>
    <w:rsid w:val="00AD5A27"/>
    <w:rsid w:val="00AD5A31"/>
    <w:rsid w:val="00AD5A87"/>
    <w:rsid w:val="00AD5CF4"/>
    <w:rsid w:val="00AD5D3A"/>
    <w:rsid w:val="00AD5E38"/>
    <w:rsid w:val="00AD5EF9"/>
    <w:rsid w:val="00AD6038"/>
    <w:rsid w:val="00AD6280"/>
    <w:rsid w:val="00AD628D"/>
    <w:rsid w:val="00AD6301"/>
    <w:rsid w:val="00AD63C1"/>
    <w:rsid w:val="00AD64E5"/>
    <w:rsid w:val="00AD690B"/>
    <w:rsid w:val="00AD6A31"/>
    <w:rsid w:val="00AD6C94"/>
    <w:rsid w:val="00AD6E5D"/>
    <w:rsid w:val="00AD705F"/>
    <w:rsid w:val="00AD736F"/>
    <w:rsid w:val="00AD73FA"/>
    <w:rsid w:val="00AD743F"/>
    <w:rsid w:val="00AD7442"/>
    <w:rsid w:val="00AD74FE"/>
    <w:rsid w:val="00AD75F0"/>
    <w:rsid w:val="00AD76E4"/>
    <w:rsid w:val="00AD777F"/>
    <w:rsid w:val="00AD7787"/>
    <w:rsid w:val="00AD7890"/>
    <w:rsid w:val="00AD7973"/>
    <w:rsid w:val="00AD7AF1"/>
    <w:rsid w:val="00AD7AF2"/>
    <w:rsid w:val="00AD7B7B"/>
    <w:rsid w:val="00AD7D5E"/>
    <w:rsid w:val="00AD7F52"/>
    <w:rsid w:val="00AD7FC2"/>
    <w:rsid w:val="00AE0128"/>
    <w:rsid w:val="00AE0759"/>
    <w:rsid w:val="00AE07EA"/>
    <w:rsid w:val="00AE08BF"/>
    <w:rsid w:val="00AE09B6"/>
    <w:rsid w:val="00AE0A63"/>
    <w:rsid w:val="00AE0A75"/>
    <w:rsid w:val="00AE0AD2"/>
    <w:rsid w:val="00AE0B03"/>
    <w:rsid w:val="00AE0B6E"/>
    <w:rsid w:val="00AE0CFE"/>
    <w:rsid w:val="00AE0D04"/>
    <w:rsid w:val="00AE0EFC"/>
    <w:rsid w:val="00AE0F07"/>
    <w:rsid w:val="00AE0FA8"/>
    <w:rsid w:val="00AE118F"/>
    <w:rsid w:val="00AE12A0"/>
    <w:rsid w:val="00AE13CB"/>
    <w:rsid w:val="00AE146B"/>
    <w:rsid w:val="00AE1515"/>
    <w:rsid w:val="00AE1587"/>
    <w:rsid w:val="00AE15AA"/>
    <w:rsid w:val="00AE1790"/>
    <w:rsid w:val="00AE192A"/>
    <w:rsid w:val="00AE192E"/>
    <w:rsid w:val="00AE1A61"/>
    <w:rsid w:val="00AE1AD6"/>
    <w:rsid w:val="00AE1E5E"/>
    <w:rsid w:val="00AE1EFC"/>
    <w:rsid w:val="00AE1F4E"/>
    <w:rsid w:val="00AE1F89"/>
    <w:rsid w:val="00AE2054"/>
    <w:rsid w:val="00AE206C"/>
    <w:rsid w:val="00AE20A4"/>
    <w:rsid w:val="00AE2102"/>
    <w:rsid w:val="00AE2121"/>
    <w:rsid w:val="00AE2177"/>
    <w:rsid w:val="00AE2250"/>
    <w:rsid w:val="00AE22F8"/>
    <w:rsid w:val="00AE2354"/>
    <w:rsid w:val="00AE23A9"/>
    <w:rsid w:val="00AE24BF"/>
    <w:rsid w:val="00AE25DA"/>
    <w:rsid w:val="00AE2610"/>
    <w:rsid w:val="00AE263E"/>
    <w:rsid w:val="00AE2670"/>
    <w:rsid w:val="00AE2683"/>
    <w:rsid w:val="00AE276E"/>
    <w:rsid w:val="00AE2803"/>
    <w:rsid w:val="00AE285A"/>
    <w:rsid w:val="00AE285F"/>
    <w:rsid w:val="00AE2923"/>
    <w:rsid w:val="00AE2999"/>
    <w:rsid w:val="00AE2A8A"/>
    <w:rsid w:val="00AE2C56"/>
    <w:rsid w:val="00AE2DFF"/>
    <w:rsid w:val="00AE2EF2"/>
    <w:rsid w:val="00AE30C7"/>
    <w:rsid w:val="00AE324E"/>
    <w:rsid w:val="00AE329B"/>
    <w:rsid w:val="00AE3304"/>
    <w:rsid w:val="00AE33BC"/>
    <w:rsid w:val="00AE3605"/>
    <w:rsid w:val="00AE365F"/>
    <w:rsid w:val="00AE3750"/>
    <w:rsid w:val="00AE37BA"/>
    <w:rsid w:val="00AE3B3A"/>
    <w:rsid w:val="00AE3B87"/>
    <w:rsid w:val="00AE3B90"/>
    <w:rsid w:val="00AE3BCF"/>
    <w:rsid w:val="00AE3C0B"/>
    <w:rsid w:val="00AE3E39"/>
    <w:rsid w:val="00AE4322"/>
    <w:rsid w:val="00AE4370"/>
    <w:rsid w:val="00AE44B6"/>
    <w:rsid w:val="00AE44B8"/>
    <w:rsid w:val="00AE453C"/>
    <w:rsid w:val="00AE4655"/>
    <w:rsid w:val="00AE479D"/>
    <w:rsid w:val="00AE47E6"/>
    <w:rsid w:val="00AE47F2"/>
    <w:rsid w:val="00AE4809"/>
    <w:rsid w:val="00AE4880"/>
    <w:rsid w:val="00AE4A35"/>
    <w:rsid w:val="00AE4AE4"/>
    <w:rsid w:val="00AE4D10"/>
    <w:rsid w:val="00AE4E02"/>
    <w:rsid w:val="00AE4FC2"/>
    <w:rsid w:val="00AE50C1"/>
    <w:rsid w:val="00AE52DA"/>
    <w:rsid w:val="00AE536F"/>
    <w:rsid w:val="00AE54D5"/>
    <w:rsid w:val="00AE54E1"/>
    <w:rsid w:val="00AE5615"/>
    <w:rsid w:val="00AE5BA6"/>
    <w:rsid w:val="00AE5C1C"/>
    <w:rsid w:val="00AE5C6B"/>
    <w:rsid w:val="00AE5C6D"/>
    <w:rsid w:val="00AE5C78"/>
    <w:rsid w:val="00AE5C7C"/>
    <w:rsid w:val="00AE5D28"/>
    <w:rsid w:val="00AE5F5F"/>
    <w:rsid w:val="00AE5F91"/>
    <w:rsid w:val="00AE6015"/>
    <w:rsid w:val="00AE639B"/>
    <w:rsid w:val="00AE6410"/>
    <w:rsid w:val="00AE652D"/>
    <w:rsid w:val="00AE6755"/>
    <w:rsid w:val="00AE67B9"/>
    <w:rsid w:val="00AE685B"/>
    <w:rsid w:val="00AE686A"/>
    <w:rsid w:val="00AE68E1"/>
    <w:rsid w:val="00AE6A34"/>
    <w:rsid w:val="00AE6BF9"/>
    <w:rsid w:val="00AE6D98"/>
    <w:rsid w:val="00AE70F8"/>
    <w:rsid w:val="00AE71B3"/>
    <w:rsid w:val="00AE71D3"/>
    <w:rsid w:val="00AE74BD"/>
    <w:rsid w:val="00AE74DD"/>
    <w:rsid w:val="00AE7555"/>
    <w:rsid w:val="00AE75D2"/>
    <w:rsid w:val="00AE760F"/>
    <w:rsid w:val="00AE7633"/>
    <w:rsid w:val="00AE791E"/>
    <w:rsid w:val="00AE79D5"/>
    <w:rsid w:val="00AE7B03"/>
    <w:rsid w:val="00AE7C4B"/>
    <w:rsid w:val="00AE7D7C"/>
    <w:rsid w:val="00AE7FA4"/>
    <w:rsid w:val="00AF00DD"/>
    <w:rsid w:val="00AF0105"/>
    <w:rsid w:val="00AF0195"/>
    <w:rsid w:val="00AF042A"/>
    <w:rsid w:val="00AF042B"/>
    <w:rsid w:val="00AF04A1"/>
    <w:rsid w:val="00AF04A6"/>
    <w:rsid w:val="00AF063E"/>
    <w:rsid w:val="00AF0650"/>
    <w:rsid w:val="00AF0683"/>
    <w:rsid w:val="00AF094A"/>
    <w:rsid w:val="00AF09CA"/>
    <w:rsid w:val="00AF09E2"/>
    <w:rsid w:val="00AF0AEB"/>
    <w:rsid w:val="00AF0BC1"/>
    <w:rsid w:val="00AF0F60"/>
    <w:rsid w:val="00AF0F71"/>
    <w:rsid w:val="00AF0FD0"/>
    <w:rsid w:val="00AF1457"/>
    <w:rsid w:val="00AF16C0"/>
    <w:rsid w:val="00AF16E2"/>
    <w:rsid w:val="00AF1991"/>
    <w:rsid w:val="00AF19F0"/>
    <w:rsid w:val="00AF1C41"/>
    <w:rsid w:val="00AF1C71"/>
    <w:rsid w:val="00AF1DE2"/>
    <w:rsid w:val="00AF1DEA"/>
    <w:rsid w:val="00AF1F53"/>
    <w:rsid w:val="00AF2059"/>
    <w:rsid w:val="00AF2093"/>
    <w:rsid w:val="00AF20A3"/>
    <w:rsid w:val="00AF2180"/>
    <w:rsid w:val="00AF21FF"/>
    <w:rsid w:val="00AF2292"/>
    <w:rsid w:val="00AF23E4"/>
    <w:rsid w:val="00AF2487"/>
    <w:rsid w:val="00AF24A4"/>
    <w:rsid w:val="00AF2557"/>
    <w:rsid w:val="00AF257E"/>
    <w:rsid w:val="00AF271C"/>
    <w:rsid w:val="00AF28C7"/>
    <w:rsid w:val="00AF28E3"/>
    <w:rsid w:val="00AF2939"/>
    <w:rsid w:val="00AF2A8E"/>
    <w:rsid w:val="00AF2AE4"/>
    <w:rsid w:val="00AF2E38"/>
    <w:rsid w:val="00AF2E49"/>
    <w:rsid w:val="00AF302D"/>
    <w:rsid w:val="00AF3030"/>
    <w:rsid w:val="00AF3154"/>
    <w:rsid w:val="00AF3184"/>
    <w:rsid w:val="00AF3278"/>
    <w:rsid w:val="00AF35A4"/>
    <w:rsid w:val="00AF3600"/>
    <w:rsid w:val="00AF3756"/>
    <w:rsid w:val="00AF38CC"/>
    <w:rsid w:val="00AF3DD5"/>
    <w:rsid w:val="00AF3E41"/>
    <w:rsid w:val="00AF3E68"/>
    <w:rsid w:val="00AF3EFF"/>
    <w:rsid w:val="00AF3FF6"/>
    <w:rsid w:val="00AF4007"/>
    <w:rsid w:val="00AF4078"/>
    <w:rsid w:val="00AF43D7"/>
    <w:rsid w:val="00AF4441"/>
    <w:rsid w:val="00AF4550"/>
    <w:rsid w:val="00AF4577"/>
    <w:rsid w:val="00AF4605"/>
    <w:rsid w:val="00AF462B"/>
    <w:rsid w:val="00AF46F9"/>
    <w:rsid w:val="00AF4A46"/>
    <w:rsid w:val="00AF4AA4"/>
    <w:rsid w:val="00AF4AB5"/>
    <w:rsid w:val="00AF4B95"/>
    <w:rsid w:val="00AF4C55"/>
    <w:rsid w:val="00AF4E07"/>
    <w:rsid w:val="00AF4EC5"/>
    <w:rsid w:val="00AF5097"/>
    <w:rsid w:val="00AF510C"/>
    <w:rsid w:val="00AF5248"/>
    <w:rsid w:val="00AF5315"/>
    <w:rsid w:val="00AF53BA"/>
    <w:rsid w:val="00AF540C"/>
    <w:rsid w:val="00AF542B"/>
    <w:rsid w:val="00AF557F"/>
    <w:rsid w:val="00AF55C5"/>
    <w:rsid w:val="00AF5729"/>
    <w:rsid w:val="00AF574F"/>
    <w:rsid w:val="00AF5750"/>
    <w:rsid w:val="00AF5965"/>
    <w:rsid w:val="00AF5983"/>
    <w:rsid w:val="00AF59DA"/>
    <w:rsid w:val="00AF5A69"/>
    <w:rsid w:val="00AF5AB1"/>
    <w:rsid w:val="00AF5C88"/>
    <w:rsid w:val="00AF5DC1"/>
    <w:rsid w:val="00AF5DC2"/>
    <w:rsid w:val="00AF5E74"/>
    <w:rsid w:val="00AF5F30"/>
    <w:rsid w:val="00AF6005"/>
    <w:rsid w:val="00AF602B"/>
    <w:rsid w:val="00AF6093"/>
    <w:rsid w:val="00AF6207"/>
    <w:rsid w:val="00AF6361"/>
    <w:rsid w:val="00AF64BC"/>
    <w:rsid w:val="00AF66C6"/>
    <w:rsid w:val="00AF66FC"/>
    <w:rsid w:val="00AF681B"/>
    <w:rsid w:val="00AF6976"/>
    <w:rsid w:val="00AF69A3"/>
    <w:rsid w:val="00AF69C8"/>
    <w:rsid w:val="00AF6D61"/>
    <w:rsid w:val="00AF6E26"/>
    <w:rsid w:val="00AF6FF6"/>
    <w:rsid w:val="00AF7009"/>
    <w:rsid w:val="00AF7058"/>
    <w:rsid w:val="00AF7122"/>
    <w:rsid w:val="00AF72A2"/>
    <w:rsid w:val="00AF72FE"/>
    <w:rsid w:val="00AF73A7"/>
    <w:rsid w:val="00AF74FF"/>
    <w:rsid w:val="00AF783E"/>
    <w:rsid w:val="00AF7906"/>
    <w:rsid w:val="00AF79E4"/>
    <w:rsid w:val="00AF7A20"/>
    <w:rsid w:val="00AF7C55"/>
    <w:rsid w:val="00AF7D3C"/>
    <w:rsid w:val="00AF7D7F"/>
    <w:rsid w:val="00AF7E5C"/>
    <w:rsid w:val="00AF7FB7"/>
    <w:rsid w:val="00B00067"/>
    <w:rsid w:val="00B001B0"/>
    <w:rsid w:val="00B002C3"/>
    <w:rsid w:val="00B00342"/>
    <w:rsid w:val="00B004E1"/>
    <w:rsid w:val="00B00539"/>
    <w:rsid w:val="00B00587"/>
    <w:rsid w:val="00B006B4"/>
    <w:rsid w:val="00B0090C"/>
    <w:rsid w:val="00B009B3"/>
    <w:rsid w:val="00B00AFA"/>
    <w:rsid w:val="00B00C6E"/>
    <w:rsid w:val="00B00DD3"/>
    <w:rsid w:val="00B00E22"/>
    <w:rsid w:val="00B00F43"/>
    <w:rsid w:val="00B00FA3"/>
    <w:rsid w:val="00B01111"/>
    <w:rsid w:val="00B011EA"/>
    <w:rsid w:val="00B01344"/>
    <w:rsid w:val="00B01398"/>
    <w:rsid w:val="00B0140E"/>
    <w:rsid w:val="00B01479"/>
    <w:rsid w:val="00B01503"/>
    <w:rsid w:val="00B0150C"/>
    <w:rsid w:val="00B0150D"/>
    <w:rsid w:val="00B01548"/>
    <w:rsid w:val="00B01551"/>
    <w:rsid w:val="00B01679"/>
    <w:rsid w:val="00B01713"/>
    <w:rsid w:val="00B01721"/>
    <w:rsid w:val="00B01857"/>
    <w:rsid w:val="00B01884"/>
    <w:rsid w:val="00B0189E"/>
    <w:rsid w:val="00B01A9D"/>
    <w:rsid w:val="00B01B54"/>
    <w:rsid w:val="00B01BBE"/>
    <w:rsid w:val="00B01C4C"/>
    <w:rsid w:val="00B01C9B"/>
    <w:rsid w:val="00B01D89"/>
    <w:rsid w:val="00B01DD9"/>
    <w:rsid w:val="00B01E9D"/>
    <w:rsid w:val="00B01FD5"/>
    <w:rsid w:val="00B02086"/>
    <w:rsid w:val="00B020E0"/>
    <w:rsid w:val="00B020F8"/>
    <w:rsid w:val="00B02145"/>
    <w:rsid w:val="00B02159"/>
    <w:rsid w:val="00B02241"/>
    <w:rsid w:val="00B0248B"/>
    <w:rsid w:val="00B024E9"/>
    <w:rsid w:val="00B024FB"/>
    <w:rsid w:val="00B02659"/>
    <w:rsid w:val="00B02688"/>
    <w:rsid w:val="00B0289B"/>
    <w:rsid w:val="00B029BF"/>
    <w:rsid w:val="00B02A30"/>
    <w:rsid w:val="00B02A76"/>
    <w:rsid w:val="00B02AF4"/>
    <w:rsid w:val="00B02B51"/>
    <w:rsid w:val="00B02CF1"/>
    <w:rsid w:val="00B02D62"/>
    <w:rsid w:val="00B02E73"/>
    <w:rsid w:val="00B02EF1"/>
    <w:rsid w:val="00B02FAE"/>
    <w:rsid w:val="00B0328D"/>
    <w:rsid w:val="00B0332D"/>
    <w:rsid w:val="00B03403"/>
    <w:rsid w:val="00B035D3"/>
    <w:rsid w:val="00B038DA"/>
    <w:rsid w:val="00B038FD"/>
    <w:rsid w:val="00B039CE"/>
    <w:rsid w:val="00B03AB4"/>
    <w:rsid w:val="00B03BA8"/>
    <w:rsid w:val="00B03BB6"/>
    <w:rsid w:val="00B03BDA"/>
    <w:rsid w:val="00B03C11"/>
    <w:rsid w:val="00B03F3E"/>
    <w:rsid w:val="00B040C4"/>
    <w:rsid w:val="00B040ED"/>
    <w:rsid w:val="00B04117"/>
    <w:rsid w:val="00B04149"/>
    <w:rsid w:val="00B04180"/>
    <w:rsid w:val="00B0428F"/>
    <w:rsid w:val="00B042A2"/>
    <w:rsid w:val="00B042A9"/>
    <w:rsid w:val="00B042AA"/>
    <w:rsid w:val="00B0432A"/>
    <w:rsid w:val="00B043D8"/>
    <w:rsid w:val="00B04428"/>
    <w:rsid w:val="00B04594"/>
    <w:rsid w:val="00B045A4"/>
    <w:rsid w:val="00B047F6"/>
    <w:rsid w:val="00B04812"/>
    <w:rsid w:val="00B048F4"/>
    <w:rsid w:val="00B04918"/>
    <w:rsid w:val="00B0494F"/>
    <w:rsid w:val="00B04996"/>
    <w:rsid w:val="00B049D4"/>
    <w:rsid w:val="00B049E9"/>
    <w:rsid w:val="00B04D10"/>
    <w:rsid w:val="00B04D1F"/>
    <w:rsid w:val="00B04DAA"/>
    <w:rsid w:val="00B04E5D"/>
    <w:rsid w:val="00B04F86"/>
    <w:rsid w:val="00B050D2"/>
    <w:rsid w:val="00B051EB"/>
    <w:rsid w:val="00B052D5"/>
    <w:rsid w:val="00B0536A"/>
    <w:rsid w:val="00B053BD"/>
    <w:rsid w:val="00B053DB"/>
    <w:rsid w:val="00B0557C"/>
    <w:rsid w:val="00B055DE"/>
    <w:rsid w:val="00B0577A"/>
    <w:rsid w:val="00B05821"/>
    <w:rsid w:val="00B05AA3"/>
    <w:rsid w:val="00B05ADA"/>
    <w:rsid w:val="00B05B81"/>
    <w:rsid w:val="00B05EBA"/>
    <w:rsid w:val="00B05FEB"/>
    <w:rsid w:val="00B06223"/>
    <w:rsid w:val="00B06314"/>
    <w:rsid w:val="00B065A5"/>
    <w:rsid w:val="00B066C0"/>
    <w:rsid w:val="00B066F5"/>
    <w:rsid w:val="00B0672C"/>
    <w:rsid w:val="00B06A79"/>
    <w:rsid w:val="00B06A89"/>
    <w:rsid w:val="00B06A95"/>
    <w:rsid w:val="00B06B62"/>
    <w:rsid w:val="00B06BB0"/>
    <w:rsid w:val="00B06C11"/>
    <w:rsid w:val="00B06F05"/>
    <w:rsid w:val="00B06F15"/>
    <w:rsid w:val="00B06F37"/>
    <w:rsid w:val="00B06F60"/>
    <w:rsid w:val="00B06FF2"/>
    <w:rsid w:val="00B07127"/>
    <w:rsid w:val="00B071A7"/>
    <w:rsid w:val="00B071BC"/>
    <w:rsid w:val="00B07235"/>
    <w:rsid w:val="00B072D7"/>
    <w:rsid w:val="00B07368"/>
    <w:rsid w:val="00B07397"/>
    <w:rsid w:val="00B074CB"/>
    <w:rsid w:val="00B07528"/>
    <w:rsid w:val="00B075CF"/>
    <w:rsid w:val="00B07908"/>
    <w:rsid w:val="00B079B1"/>
    <w:rsid w:val="00B07D57"/>
    <w:rsid w:val="00B07DBE"/>
    <w:rsid w:val="00B07DFD"/>
    <w:rsid w:val="00B07E44"/>
    <w:rsid w:val="00B07ECA"/>
    <w:rsid w:val="00B101C4"/>
    <w:rsid w:val="00B1033C"/>
    <w:rsid w:val="00B10398"/>
    <w:rsid w:val="00B10415"/>
    <w:rsid w:val="00B104E7"/>
    <w:rsid w:val="00B10766"/>
    <w:rsid w:val="00B1076C"/>
    <w:rsid w:val="00B10793"/>
    <w:rsid w:val="00B10CBA"/>
    <w:rsid w:val="00B10D07"/>
    <w:rsid w:val="00B10DAC"/>
    <w:rsid w:val="00B10DDE"/>
    <w:rsid w:val="00B10E44"/>
    <w:rsid w:val="00B10EC2"/>
    <w:rsid w:val="00B10FAD"/>
    <w:rsid w:val="00B110A7"/>
    <w:rsid w:val="00B110CF"/>
    <w:rsid w:val="00B111B2"/>
    <w:rsid w:val="00B11510"/>
    <w:rsid w:val="00B11534"/>
    <w:rsid w:val="00B1167F"/>
    <w:rsid w:val="00B116FF"/>
    <w:rsid w:val="00B117A5"/>
    <w:rsid w:val="00B1183C"/>
    <w:rsid w:val="00B11872"/>
    <w:rsid w:val="00B119F3"/>
    <w:rsid w:val="00B11A7A"/>
    <w:rsid w:val="00B11B8A"/>
    <w:rsid w:val="00B11C23"/>
    <w:rsid w:val="00B11CE1"/>
    <w:rsid w:val="00B11D36"/>
    <w:rsid w:val="00B11E2A"/>
    <w:rsid w:val="00B11E9C"/>
    <w:rsid w:val="00B11EB5"/>
    <w:rsid w:val="00B11EFC"/>
    <w:rsid w:val="00B11F3B"/>
    <w:rsid w:val="00B11F91"/>
    <w:rsid w:val="00B12083"/>
    <w:rsid w:val="00B1229F"/>
    <w:rsid w:val="00B123DA"/>
    <w:rsid w:val="00B126CD"/>
    <w:rsid w:val="00B126E6"/>
    <w:rsid w:val="00B1277D"/>
    <w:rsid w:val="00B12931"/>
    <w:rsid w:val="00B1294E"/>
    <w:rsid w:val="00B129E0"/>
    <w:rsid w:val="00B12A56"/>
    <w:rsid w:val="00B12B4D"/>
    <w:rsid w:val="00B12BD6"/>
    <w:rsid w:val="00B12D68"/>
    <w:rsid w:val="00B12E00"/>
    <w:rsid w:val="00B137A1"/>
    <w:rsid w:val="00B13A16"/>
    <w:rsid w:val="00B13AB2"/>
    <w:rsid w:val="00B13BF0"/>
    <w:rsid w:val="00B13CA9"/>
    <w:rsid w:val="00B13CBD"/>
    <w:rsid w:val="00B13CC9"/>
    <w:rsid w:val="00B13D6A"/>
    <w:rsid w:val="00B13F97"/>
    <w:rsid w:val="00B142E6"/>
    <w:rsid w:val="00B14304"/>
    <w:rsid w:val="00B1432E"/>
    <w:rsid w:val="00B14399"/>
    <w:rsid w:val="00B1449B"/>
    <w:rsid w:val="00B144EC"/>
    <w:rsid w:val="00B14693"/>
    <w:rsid w:val="00B14705"/>
    <w:rsid w:val="00B1481E"/>
    <w:rsid w:val="00B14A0C"/>
    <w:rsid w:val="00B14CBA"/>
    <w:rsid w:val="00B14D68"/>
    <w:rsid w:val="00B14DAB"/>
    <w:rsid w:val="00B14EFE"/>
    <w:rsid w:val="00B14F17"/>
    <w:rsid w:val="00B14FE0"/>
    <w:rsid w:val="00B151D7"/>
    <w:rsid w:val="00B1528E"/>
    <w:rsid w:val="00B152AB"/>
    <w:rsid w:val="00B152C1"/>
    <w:rsid w:val="00B1540F"/>
    <w:rsid w:val="00B15446"/>
    <w:rsid w:val="00B15693"/>
    <w:rsid w:val="00B15963"/>
    <w:rsid w:val="00B15ADF"/>
    <w:rsid w:val="00B15B13"/>
    <w:rsid w:val="00B15B89"/>
    <w:rsid w:val="00B15C0B"/>
    <w:rsid w:val="00B15F03"/>
    <w:rsid w:val="00B15F25"/>
    <w:rsid w:val="00B15F56"/>
    <w:rsid w:val="00B16061"/>
    <w:rsid w:val="00B16155"/>
    <w:rsid w:val="00B16297"/>
    <w:rsid w:val="00B1656C"/>
    <w:rsid w:val="00B165CB"/>
    <w:rsid w:val="00B165F3"/>
    <w:rsid w:val="00B16660"/>
    <w:rsid w:val="00B16663"/>
    <w:rsid w:val="00B166C3"/>
    <w:rsid w:val="00B167E8"/>
    <w:rsid w:val="00B168A5"/>
    <w:rsid w:val="00B168CF"/>
    <w:rsid w:val="00B1697F"/>
    <w:rsid w:val="00B16983"/>
    <w:rsid w:val="00B16A34"/>
    <w:rsid w:val="00B16A3E"/>
    <w:rsid w:val="00B16ABB"/>
    <w:rsid w:val="00B16AF4"/>
    <w:rsid w:val="00B16B54"/>
    <w:rsid w:val="00B16C06"/>
    <w:rsid w:val="00B16CBA"/>
    <w:rsid w:val="00B16D86"/>
    <w:rsid w:val="00B16F1F"/>
    <w:rsid w:val="00B16F55"/>
    <w:rsid w:val="00B16FD7"/>
    <w:rsid w:val="00B17112"/>
    <w:rsid w:val="00B17146"/>
    <w:rsid w:val="00B171A6"/>
    <w:rsid w:val="00B171AF"/>
    <w:rsid w:val="00B17219"/>
    <w:rsid w:val="00B1725E"/>
    <w:rsid w:val="00B172AB"/>
    <w:rsid w:val="00B17308"/>
    <w:rsid w:val="00B17578"/>
    <w:rsid w:val="00B175CA"/>
    <w:rsid w:val="00B17617"/>
    <w:rsid w:val="00B17662"/>
    <w:rsid w:val="00B176F8"/>
    <w:rsid w:val="00B1798B"/>
    <w:rsid w:val="00B179BD"/>
    <w:rsid w:val="00B17BD2"/>
    <w:rsid w:val="00B17E1C"/>
    <w:rsid w:val="00B17F0D"/>
    <w:rsid w:val="00B2012D"/>
    <w:rsid w:val="00B20174"/>
    <w:rsid w:val="00B201AF"/>
    <w:rsid w:val="00B2021C"/>
    <w:rsid w:val="00B206AB"/>
    <w:rsid w:val="00B20978"/>
    <w:rsid w:val="00B2099F"/>
    <w:rsid w:val="00B20A22"/>
    <w:rsid w:val="00B20CD4"/>
    <w:rsid w:val="00B20DFB"/>
    <w:rsid w:val="00B20E2C"/>
    <w:rsid w:val="00B20ED6"/>
    <w:rsid w:val="00B21111"/>
    <w:rsid w:val="00B21130"/>
    <w:rsid w:val="00B211FB"/>
    <w:rsid w:val="00B21232"/>
    <w:rsid w:val="00B212BA"/>
    <w:rsid w:val="00B21597"/>
    <w:rsid w:val="00B215CF"/>
    <w:rsid w:val="00B215FF"/>
    <w:rsid w:val="00B2162F"/>
    <w:rsid w:val="00B21B91"/>
    <w:rsid w:val="00B21BD3"/>
    <w:rsid w:val="00B21BE3"/>
    <w:rsid w:val="00B21CEB"/>
    <w:rsid w:val="00B21E03"/>
    <w:rsid w:val="00B21E09"/>
    <w:rsid w:val="00B21E19"/>
    <w:rsid w:val="00B21EFC"/>
    <w:rsid w:val="00B21EFF"/>
    <w:rsid w:val="00B21FCB"/>
    <w:rsid w:val="00B22057"/>
    <w:rsid w:val="00B22093"/>
    <w:rsid w:val="00B222A3"/>
    <w:rsid w:val="00B22407"/>
    <w:rsid w:val="00B2243F"/>
    <w:rsid w:val="00B22462"/>
    <w:rsid w:val="00B224DA"/>
    <w:rsid w:val="00B224F6"/>
    <w:rsid w:val="00B22663"/>
    <w:rsid w:val="00B2271D"/>
    <w:rsid w:val="00B22CDE"/>
    <w:rsid w:val="00B22D8E"/>
    <w:rsid w:val="00B22DF3"/>
    <w:rsid w:val="00B22EA1"/>
    <w:rsid w:val="00B22EAD"/>
    <w:rsid w:val="00B22F55"/>
    <w:rsid w:val="00B2336D"/>
    <w:rsid w:val="00B233B4"/>
    <w:rsid w:val="00B234A6"/>
    <w:rsid w:val="00B2350B"/>
    <w:rsid w:val="00B23708"/>
    <w:rsid w:val="00B2371F"/>
    <w:rsid w:val="00B23763"/>
    <w:rsid w:val="00B237A3"/>
    <w:rsid w:val="00B2393F"/>
    <w:rsid w:val="00B23B87"/>
    <w:rsid w:val="00B23C44"/>
    <w:rsid w:val="00B23CC7"/>
    <w:rsid w:val="00B23EEB"/>
    <w:rsid w:val="00B23F1B"/>
    <w:rsid w:val="00B24061"/>
    <w:rsid w:val="00B24252"/>
    <w:rsid w:val="00B24415"/>
    <w:rsid w:val="00B24587"/>
    <w:rsid w:val="00B245A4"/>
    <w:rsid w:val="00B245A5"/>
    <w:rsid w:val="00B245E6"/>
    <w:rsid w:val="00B2462D"/>
    <w:rsid w:val="00B24686"/>
    <w:rsid w:val="00B2481E"/>
    <w:rsid w:val="00B248D3"/>
    <w:rsid w:val="00B24908"/>
    <w:rsid w:val="00B24A40"/>
    <w:rsid w:val="00B24A93"/>
    <w:rsid w:val="00B24B63"/>
    <w:rsid w:val="00B24C4F"/>
    <w:rsid w:val="00B24C96"/>
    <w:rsid w:val="00B24D30"/>
    <w:rsid w:val="00B24DE4"/>
    <w:rsid w:val="00B24E55"/>
    <w:rsid w:val="00B25090"/>
    <w:rsid w:val="00B251E2"/>
    <w:rsid w:val="00B251F4"/>
    <w:rsid w:val="00B25207"/>
    <w:rsid w:val="00B25361"/>
    <w:rsid w:val="00B25416"/>
    <w:rsid w:val="00B255D6"/>
    <w:rsid w:val="00B255F2"/>
    <w:rsid w:val="00B2567D"/>
    <w:rsid w:val="00B256E5"/>
    <w:rsid w:val="00B256F3"/>
    <w:rsid w:val="00B2585B"/>
    <w:rsid w:val="00B258A6"/>
    <w:rsid w:val="00B25A39"/>
    <w:rsid w:val="00B25B0B"/>
    <w:rsid w:val="00B25B59"/>
    <w:rsid w:val="00B25B90"/>
    <w:rsid w:val="00B25B92"/>
    <w:rsid w:val="00B25BBD"/>
    <w:rsid w:val="00B25BC4"/>
    <w:rsid w:val="00B25BFC"/>
    <w:rsid w:val="00B25DA6"/>
    <w:rsid w:val="00B25E4D"/>
    <w:rsid w:val="00B25EA4"/>
    <w:rsid w:val="00B25FDD"/>
    <w:rsid w:val="00B2600E"/>
    <w:rsid w:val="00B2631B"/>
    <w:rsid w:val="00B26383"/>
    <w:rsid w:val="00B263CA"/>
    <w:rsid w:val="00B2645B"/>
    <w:rsid w:val="00B2645C"/>
    <w:rsid w:val="00B264B8"/>
    <w:rsid w:val="00B2652D"/>
    <w:rsid w:val="00B2657A"/>
    <w:rsid w:val="00B265F7"/>
    <w:rsid w:val="00B26637"/>
    <w:rsid w:val="00B266FB"/>
    <w:rsid w:val="00B26794"/>
    <w:rsid w:val="00B267C7"/>
    <w:rsid w:val="00B26900"/>
    <w:rsid w:val="00B26BC9"/>
    <w:rsid w:val="00B26DA0"/>
    <w:rsid w:val="00B26E10"/>
    <w:rsid w:val="00B2706B"/>
    <w:rsid w:val="00B27087"/>
    <w:rsid w:val="00B270EA"/>
    <w:rsid w:val="00B271F0"/>
    <w:rsid w:val="00B27294"/>
    <w:rsid w:val="00B272F9"/>
    <w:rsid w:val="00B273FC"/>
    <w:rsid w:val="00B27404"/>
    <w:rsid w:val="00B27591"/>
    <w:rsid w:val="00B27696"/>
    <w:rsid w:val="00B276B5"/>
    <w:rsid w:val="00B27765"/>
    <w:rsid w:val="00B277B0"/>
    <w:rsid w:val="00B277BF"/>
    <w:rsid w:val="00B277D1"/>
    <w:rsid w:val="00B2788F"/>
    <w:rsid w:val="00B278B7"/>
    <w:rsid w:val="00B279DA"/>
    <w:rsid w:val="00B27A0B"/>
    <w:rsid w:val="00B27A57"/>
    <w:rsid w:val="00B27B85"/>
    <w:rsid w:val="00B27C32"/>
    <w:rsid w:val="00B27DE8"/>
    <w:rsid w:val="00B27E36"/>
    <w:rsid w:val="00B27EF7"/>
    <w:rsid w:val="00B3018B"/>
    <w:rsid w:val="00B301DE"/>
    <w:rsid w:val="00B3035B"/>
    <w:rsid w:val="00B304ED"/>
    <w:rsid w:val="00B30500"/>
    <w:rsid w:val="00B3064C"/>
    <w:rsid w:val="00B3064E"/>
    <w:rsid w:val="00B308BE"/>
    <w:rsid w:val="00B308CC"/>
    <w:rsid w:val="00B30A84"/>
    <w:rsid w:val="00B30BBD"/>
    <w:rsid w:val="00B30C1D"/>
    <w:rsid w:val="00B30C60"/>
    <w:rsid w:val="00B30CD6"/>
    <w:rsid w:val="00B30F20"/>
    <w:rsid w:val="00B3107E"/>
    <w:rsid w:val="00B310BD"/>
    <w:rsid w:val="00B310C5"/>
    <w:rsid w:val="00B31268"/>
    <w:rsid w:val="00B3128C"/>
    <w:rsid w:val="00B312FF"/>
    <w:rsid w:val="00B31542"/>
    <w:rsid w:val="00B31728"/>
    <w:rsid w:val="00B3172C"/>
    <w:rsid w:val="00B317DA"/>
    <w:rsid w:val="00B3189E"/>
    <w:rsid w:val="00B318CD"/>
    <w:rsid w:val="00B318FA"/>
    <w:rsid w:val="00B3192B"/>
    <w:rsid w:val="00B31943"/>
    <w:rsid w:val="00B319CB"/>
    <w:rsid w:val="00B31AB1"/>
    <w:rsid w:val="00B31BB7"/>
    <w:rsid w:val="00B31CA3"/>
    <w:rsid w:val="00B31CA7"/>
    <w:rsid w:val="00B31E18"/>
    <w:rsid w:val="00B31EC0"/>
    <w:rsid w:val="00B31F66"/>
    <w:rsid w:val="00B31FBE"/>
    <w:rsid w:val="00B31FE8"/>
    <w:rsid w:val="00B32149"/>
    <w:rsid w:val="00B32214"/>
    <w:rsid w:val="00B3229A"/>
    <w:rsid w:val="00B32347"/>
    <w:rsid w:val="00B32486"/>
    <w:rsid w:val="00B324AC"/>
    <w:rsid w:val="00B324D6"/>
    <w:rsid w:val="00B324FB"/>
    <w:rsid w:val="00B3251F"/>
    <w:rsid w:val="00B325AD"/>
    <w:rsid w:val="00B3262A"/>
    <w:rsid w:val="00B32652"/>
    <w:rsid w:val="00B3267F"/>
    <w:rsid w:val="00B32716"/>
    <w:rsid w:val="00B3287F"/>
    <w:rsid w:val="00B328CE"/>
    <w:rsid w:val="00B32B0F"/>
    <w:rsid w:val="00B32B7B"/>
    <w:rsid w:val="00B32C25"/>
    <w:rsid w:val="00B32C43"/>
    <w:rsid w:val="00B32C6C"/>
    <w:rsid w:val="00B32D7B"/>
    <w:rsid w:val="00B32DC6"/>
    <w:rsid w:val="00B32DFE"/>
    <w:rsid w:val="00B32F89"/>
    <w:rsid w:val="00B32FAD"/>
    <w:rsid w:val="00B33133"/>
    <w:rsid w:val="00B331F3"/>
    <w:rsid w:val="00B33344"/>
    <w:rsid w:val="00B333F1"/>
    <w:rsid w:val="00B33430"/>
    <w:rsid w:val="00B334A5"/>
    <w:rsid w:val="00B33500"/>
    <w:rsid w:val="00B335D8"/>
    <w:rsid w:val="00B3361F"/>
    <w:rsid w:val="00B3366F"/>
    <w:rsid w:val="00B33841"/>
    <w:rsid w:val="00B3386E"/>
    <w:rsid w:val="00B33D06"/>
    <w:rsid w:val="00B33D1E"/>
    <w:rsid w:val="00B33D89"/>
    <w:rsid w:val="00B33DDE"/>
    <w:rsid w:val="00B33DEB"/>
    <w:rsid w:val="00B33E6E"/>
    <w:rsid w:val="00B33F65"/>
    <w:rsid w:val="00B33FD7"/>
    <w:rsid w:val="00B34072"/>
    <w:rsid w:val="00B3407F"/>
    <w:rsid w:val="00B340CA"/>
    <w:rsid w:val="00B3415E"/>
    <w:rsid w:val="00B34261"/>
    <w:rsid w:val="00B34310"/>
    <w:rsid w:val="00B34339"/>
    <w:rsid w:val="00B34380"/>
    <w:rsid w:val="00B344B5"/>
    <w:rsid w:val="00B34684"/>
    <w:rsid w:val="00B346F9"/>
    <w:rsid w:val="00B34843"/>
    <w:rsid w:val="00B348BA"/>
    <w:rsid w:val="00B3499C"/>
    <w:rsid w:val="00B349B7"/>
    <w:rsid w:val="00B34A2E"/>
    <w:rsid w:val="00B34A5C"/>
    <w:rsid w:val="00B34C97"/>
    <w:rsid w:val="00B34CCF"/>
    <w:rsid w:val="00B34D1A"/>
    <w:rsid w:val="00B34E62"/>
    <w:rsid w:val="00B34EF0"/>
    <w:rsid w:val="00B350F1"/>
    <w:rsid w:val="00B351A6"/>
    <w:rsid w:val="00B351C1"/>
    <w:rsid w:val="00B35210"/>
    <w:rsid w:val="00B355FE"/>
    <w:rsid w:val="00B35753"/>
    <w:rsid w:val="00B3580B"/>
    <w:rsid w:val="00B35868"/>
    <w:rsid w:val="00B358B6"/>
    <w:rsid w:val="00B35950"/>
    <w:rsid w:val="00B35A3A"/>
    <w:rsid w:val="00B35BC1"/>
    <w:rsid w:val="00B35C82"/>
    <w:rsid w:val="00B35C93"/>
    <w:rsid w:val="00B35F9B"/>
    <w:rsid w:val="00B36134"/>
    <w:rsid w:val="00B3628D"/>
    <w:rsid w:val="00B364C9"/>
    <w:rsid w:val="00B365A7"/>
    <w:rsid w:val="00B36668"/>
    <w:rsid w:val="00B369E9"/>
    <w:rsid w:val="00B36C33"/>
    <w:rsid w:val="00B36CAE"/>
    <w:rsid w:val="00B36CCC"/>
    <w:rsid w:val="00B36D15"/>
    <w:rsid w:val="00B36F67"/>
    <w:rsid w:val="00B37048"/>
    <w:rsid w:val="00B370D9"/>
    <w:rsid w:val="00B37272"/>
    <w:rsid w:val="00B373FD"/>
    <w:rsid w:val="00B3742A"/>
    <w:rsid w:val="00B37508"/>
    <w:rsid w:val="00B37562"/>
    <w:rsid w:val="00B3756D"/>
    <w:rsid w:val="00B375C5"/>
    <w:rsid w:val="00B37825"/>
    <w:rsid w:val="00B3787D"/>
    <w:rsid w:val="00B37AAC"/>
    <w:rsid w:val="00B37AF0"/>
    <w:rsid w:val="00B37B2C"/>
    <w:rsid w:val="00B37C0B"/>
    <w:rsid w:val="00B37E0A"/>
    <w:rsid w:val="00B37EC3"/>
    <w:rsid w:val="00B40034"/>
    <w:rsid w:val="00B4017B"/>
    <w:rsid w:val="00B4021C"/>
    <w:rsid w:val="00B40323"/>
    <w:rsid w:val="00B4038B"/>
    <w:rsid w:val="00B4053B"/>
    <w:rsid w:val="00B4060B"/>
    <w:rsid w:val="00B4071A"/>
    <w:rsid w:val="00B4082B"/>
    <w:rsid w:val="00B408B0"/>
    <w:rsid w:val="00B40BFA"/>
    <w:rsid w:val="00B40C61"/>
    <w:rsid w:val="00B40C94"/>
    <w:rsid w:val="00B40CBD"/>
    <w:rsid w:val="00B40CEA"/>
    <w:rsid w:val="00B40F1B"/>
    <w:rsid w:val="00B41050"/>
    <w:rsid w:val="00B41064"/>
    <w:rsid w:val="00B4113D"/>
    <w:rsid w:val="00B41162"/>
    <w:rsid w:val="00B4126A"/>
    <w:rsid w:val="00B41337"/>
    <w:rsid w:val="00B41380"/>
    <w:rsid w:val="00B415A0"/>
    <w:rsid w:val="00B415EA"/>
    <w:rsid w:val="00B419AB"/>
    <w:rsid w:val="00B41A0D"/>
    <w:rsid w:val="00B41B73"/>
    <w:rsid w:val="00B41C10"/>
    <w:rsid w:val="00B41C54"/>
    <w:rsid w:val="00B41D2A"/>
    <w:rsid w:val="00B41DD9"/>
    <w:rsid w:val="00B41E92"/>
    <w:rsid w:val="00B41F77"/>
    <w:rsid w:val="00B4208B"/>
    <w:rsid w:val="00B420F8"/>
    <w:rsid w:val="00B421B5"/>
    <w:rsid w:val="00B42260"/>
    <w:rsid w:val="00B422DB"/>
    <w:rsid w:val="00B422E4"/>
    <w:rsid w:val="00B42368"/>
    <w:rsid w:val="00B423DC"/>
    <w:rsid w:val="00B42650"/>
    <w:rsid w:val="00B426F0"/>
    <w:rsid w:val="00B4289B"/>
    <w:rsid w:val="00B4296A"/>
    <w:rsid w:val="00B42993"/>
    <w:rsid w:val="00B42E72"/>
    <w:rsid w:val="00B42EC0"/>
    <w:rsid w:val="00B42F23"/>
    <w:rsid w:val="00B43197"/>
    <w:rsid w:val="00B43494"/>
    <w:rsid w:val="00B434ED"/>
    <w:rsid w:val="00B437EC"/>
    <w:rsid w:val="00B438B4"/>
    <w:rsid w:val="00B438F1"/>
    <w:rsid w:val="00B43A52"/>
    <w:rsid w:val="00B43F2E"/>
    <w:rsid w:val="00B440EE"/>
    <w:rsid w:val="00B444EB"/>
    <w:rsid w:val="00B445B0"/>
    <w:rsid w:val="00B446B6"/>
    <w:rsid w:val="00B446F4"/>
    <w:rsid w:val="00B4473B"/>
    <w:rsid w:val="00B44782"/>
    <w:rsid w:val="00B447E4"/>
    <w:rsid w:val="00B447F4"/>
    <w:rsid w:val="00B448DF"/>
    <w:rsid w:val="00B44928"/>
    <w:rsid w:val="00B44AEF"/>
    <w:rsid w:val="00B44B8B"/>
    <w:rsid w:val="00B44D11"/>
    <w:rsid w:val="00B44DAD"/>
    <w:rsid w:val="00B44DB6"/>
    <w:rsid w:val="00B44EA0"/>
    <w:rsid w:val="00B44EC6"/>
    <w:rsid w:val="00B44EC9"/>
    <w:rsid w:val="00B45006"/>
    <w:rsid w:val="00B45077"/>
    <w:rsid w:val="00B4512D"/>
    <w:rsid w:val="00B453B7"/>
    <w:rsid w:val="00B453FA"/>
    <w:rsid w:val="00B454BE"/>
    <w:rsid w:val="00B455CE"/>
    <w:rsid w:val="00B45623"/>
    <w:rsid w:val="00B456B6"/>
    <w:rsid w:val="00B456F4"/>
    <w:rsid w:val="00B456FB"/>
    <w:rsid w:val="00B45841"/>
    <w:rsid w:val="00B4599F"/>
    <w:rsid w:val="00B45B18"/>
    <w:rsid w:val="00B45C1B"/>
    <w:rsid w:val="00B45D49"/>
    <w:rsid w:val="00B45E97"/>
    <w:rsid w:val="00B45EB1"/>
    <w:rsid w:val="00B46142"/>
    <w:rsid w:val="00B461E6"/>
    <w:rsid w:val="00B46222"/>
    <w:rsid w:val="00B4628E"/>
    <w:rsid w:val="00B46397"/>
    <w:rsid w:val="00B464DC"/>
    <w:rsid w:val="00B46521"/>
    <w:rsid w:val="00B46638"/>
    <w:rsid w:val="00B46665"/>
    <w:rsid w:val="00B46754"/>
    <w:rsid w:val="00B4680C"/>
    <w:rsid w:val="00B46946"/>
    <w:rsid w:val="00B46A7F"/>
    <w:rsid w:val="00B46AA4"/>
    <w:rsid w:val="00B46AD7"/>
    <w:rsid w:val="00B46B02"/>
    <w:rsid w:val="00B46C17"/>
    <w:rsid w:val="00B46C18"/>
    <w:rsid w:val="00B46D74"/>
    <w:rsid w:val="00B470FA"/>
    <w:rsid w:val="00B4715B"/>
    <w:rsid w:val="00B47161"/>
    <w:rsid w:val="00B472CC"/>
    <w:rsid w:val="00B47459"/>
    <w:rsid w:val="00B4745A"/>
    <w:rsid w:val="00B474E9"/>
    <w:rsid w:val="00B47625"/>
    <w:rsid w:val="00B47673"/>
    <w:rsid w:val="00B4769B"/>
    <w:rsid w:val="00B47768"/>
    <w:rsid w:val="00B4779C"/>
    <w:rsid w:val="00B4783A"/>
    <w:rsid w:val="00B4790E"/>
    <w:rsid w:val="00B4793B"/>
    <w:rsid w:val="00B479CA"/>
    <w:rsid w:val="00B47BB8"/>
    <w:rsid w:val="00B47BF1"/>
    <w:rsid w:val="00B47C0C"/>
    <w:rsid w:val="00B47C94"/>
    <w:rsid w:val="00B47D70"/>
    <w:rsid w:val="00B47D8C"/>
    <w:rsid w:val="00B47E06"/>
    <w:rsid w:val="00B47E88"/>
    <w:rsid w:val="00B47F3F"/>
    <w:rsid w:val="00B50146"/>
    <w:rsid w:val="00B5022F"/>
    <w:rsid w:val="00B502BF"/>
    <w:rsid w:val="00B50332"/>
    <w:rsid w:val="00B50344"/>
    <w:rsid w:val="00B5049B"/>
    <w:rsid w:val="00B504D1"/>
    <w:rsid w:val="00B5072D"/>
    <w:rsid w:val="00B507B2"/>
    <w:rsid w:val="00B507D9"/>
    <w:rsid w:val="00B508E2"/>
    <w:rsid w:val="00B50939"/>
    <w:rsid w:val="00B50D24"/>
    <w:rsid w:val="00B50D9D"/>
    <w:rsid w:val="00B50E19"/>
    <w:rsid w:val="00B50E9B"/>
    <w:rsid w:val="00B50F2E"/>
    <w:rsid w:val="00B50F74"/>
    <w:rsid w:val="00B51016"/>
    <w:rsid w:val="00B5103A"/>
    <w:rsid w:val="00B511E2"/>
    <w:rsid w:val="00B51200"/>
    <w:rsid w:val="00B51235"/>
    <w:rsid w:val="00B51254"/>
    <w:rsid w:val="00B5138B"/>
    <w:rsid w:val="00B51783"/>
    <w:rsid w:val="00B517A8"/>
    <w:rsid w:val="00B51857"/>
    <w:rsid w:val="00B51D9C"/>
    <w:rsid w:val="00B51EAD"/>
    <w:rsid w:val="00B51EB7"/>
    <w:rsid w:val="00B51EF6"/>
    <w:rsid w:val="00B51F03"/>
    <w:rsid w:val="00B51FD9"/>
    <w:rsid w:val="00B5202D"/>
    <w:rsid w:val="00B52061"/>
    <w:rsid w:val="00B52176"/>
    <w:rsid w:val="00B521A5"/>
    <w:rsid w:val="00B52340"/>
    <w:rsid w:val="00B52356"/>
    <w:rsid w:val="00B5236A"/>
    <w:rsid w:val="00B52380"/>
    <w:rsid w:val="00B523EC"/>
    <w:rsid w:val="00B52519"/>
    <w:rsid w:val="00B5298F"/>
    <w:rsid w:val="00B52A64"/>
    <w:rsid w:val="00B52AB7"/>
    <w:rsid w:val="00B52B60"/>
    <w:rsid w:val="00B52D1B"/>
    <w:rsid w:val="00B52E59"/>
    <w:rsid w:val="00B5300A"/>
    <w:rsid w:val="00B53113"/>
    <w:rsid w:val="00B5311D"/>
    <w:rsid w:val="00B53163"/>
    <w:rsid w:val="00B531EC"/>
    <w:rsid w:val="00B53446"/>
    <w:rsid w:val="00B534C9"/>
    <w:rsid w:val="00B5355E"/>
    <w:rsid w:val="00B535D7"/>
    <w:rsid w:val="00B53640"/>
    <w:rsid w:val="00B53717"/>
    <w:rsid w:val="00B53775"/>
    <w:rsid w:val="00B53782"/>
    <w:rsid w:val="00B537A4"/>
    <w:rsid w:val="00B5396B"/>
    <w:rsid w:val="00B5397B"/>
    <w:rsid w:val="00B53A12"/>
    <w:rsid w:val="00B53A3A"/>
    <w:rsid w:val="00B53A48"/>
    <w:rsid w:val="00B53B6B"/>
    <w:rsid w:val="00B53BE7"/>
    <w:rsid w:val="00B53C36"/>
    <w:rsid w:val="00B53C6A"/>
    <w:rsid w:val="00B53C8E"/>
    <w:rsid w:val="00B53D00"/>
    <w:rsid w:val="00B53E0C"/>
    <w:rsid w:val="00B53E25"/>
    <w:rsid w:val="00B53E48"/>
    <w:rsid w:val="00B53E66"/>
    <w:rsid w:val="00B54022"/>
    <w:rsid w:val="00B5406B"/>
    <w:rsid w:val="00B540BB"/>
    <w:rsid w:val="00B541C4"/>
    <w:rsid w:val="00B5421D"/>
    <w:rsid w:val="00B5425C"/>
    <w:rsid w:val="00B542C5"/>
    <w:rsid w:val="00B54376"/>
    <w:rsid w:val="00B5462A"/>
    <w:rsid w:val="00B547F4"/>
    <w:rsid w:val="00B54812"/>
    <w:rsid w:val="00B54893"/>
    <w:rsid w:val="00B548CE"/>
    <w:rsid w:val="00B548D1"/>
    <w:rsid w:val="00B549E3"/>
    <w:rsid w:val="00B54BE3"/>
    <w:rsid w:val="00B54C26"/>
    <w:rsid w:val="00B54CEF"/>
    <w:rsid w:val="00B54D62"/>
    <w:rsid w:val="00B54E32"/>
    <w:rsid w:val="00B550C8"/>
    <w:rsid w:val="00B550CF"/>
    <w:rsid w:val="00B550DD"/>
    <w:rsid w:val="00B5536D"/>
    <w:rsid w:val="00B5544E"/>
    <w:rsid w:val="00B556D7"/>
    <w:rsid w:val="00B558F5"/>
    <w:rsid w:val="00B55992"/>
    <w:rsid w:val="00B559BA"/>
    <w:rsid w:val="00B55B2E"/>
    <w:rsid w:val="00B55C08"/>
    <w:rsid w:val="00B55C24"/>
    <w:rsid w:val="00B55C91"/>
    <w:rsid w:val="00B55D02"/>
    <w:rsid w:val="00B55D9C"/>
    <w:rsid w:val="00B55DA3"/>
    <w:rsid w:val="00B55E0B"/>
    <w:rsid w:val="00B55EDD"/>
    <w:rsid w:val="00B55F3B"/>
    <w:rsid w:val="00B55F4F"/>
    <w:rsid w:val="00B55FB4"/>
    <w:rsid w:val="00B56323"/>
    <w:rsid w:val="00B5639A"/>
    <w:rsid w:val="00B563F4"/>
    <w:rsid w:val="00B5640B"/>
    <w:rsid w:val="00B56415"/>
    <w:rsid w:val="00B56436"/>
    <w:rsid w:val="00B5655F"/>
    <w:rsid w:val="00B5656A"/>
    <w:rsid w:val="00B5664F"/>
    <w:rsid w:val="00B5678C"/>
    <w:rsid w:val="00B567AB"/>
    <w:rsid w:val="00B568E9"/>
    <w:rsid w:val="00B56980"/>
    <w:rsid w:val="00B56A76"/>
    <w:rsid w:val="00B56BBD"/>
    <w:rsid w:val="00B56C8A"/>
    <w:rsid w:val="00B56C8E"/>
    <w:rsid w:val="00B56DD5"/>
    <w:rsid w:val="00B56DDE"/>
    <w:rsid w:val="00B56EF4"/>
    <w:rsid w:val="00B56F4B"/>
    <w:rsid w:val="00B56FF3"/>
    <w:rsid w:val="00B56FFE"/>
    <w:rsid w:val="00B570C4"/>
    <w:rsid w:val="00B5717B"/>
    <w:rsid w:val="00B572B4"/>
    <w:rsid w:val="00B572CA"/>
    <w:rsid w:val="00B572DB"/>
    <w:rsid w:val="00B5739D"/>
    <w:rsid w:val="00B57677"/>
    <w:rsid w:val="00B577D1"/>
    <w:rsid w:val="00B579AB"/>
    <w:rsid w:val="00B57C0E"/>
    <w:rsid w:val="00B57C82"/>
    <w:rsid w:val="00B57D03"/>
    <w:rsid w:val="00B57D08"/>
    <w:rsid w:val="00B57D55"/>
    <w:rsid w:val="00B57FDD"/>
    <w:rsid w:val="00B57FEC"/>
    <w:rsid w:val="00B6009A"/>
    <w:rsid w:val="00B600D7"/>
    <w:rsid w:val="00B60380"/>
    <w:rsid w:val="00B6053B"/>
    <w:rsid w:val="00B60553"/>
    <w:rsid w:val="00B60788"/>
    <w:rsid w:val="00B60938"/>
    <w:rsid w:val="00B60A7C"/>
    <w:rsid w:val="00B60A88"/>
    <w:rsid w:val="00B60B89"/>
    <w:rsid w:val="00B60C54"/>
    <w:rsid w:val="00B60D85"/>
    <w:rsid w:val="00B60DBA"/>
    <w:rsid w:val="00B60EAD"/>
    <w:rsid w:val="00B60F26"/>
    <w:rsid w:val="00B60F3F"/>
    <w:rsid w:val="00B6102D"/>
    <w:rsid w:val="00B61103"/>
    <w:rsid w:val="00B611B1"/>
    <w:rsid w:val="00B6123C"/>
    <w:rsid w:val="00B61275"/>
    <w:rsid w:val="00B612C7"/>
    <w:rsid w:val="00B613C7"/>
    <w:rsid w:val="00B6142E"/>
    <w:rsid w:val="00B614C2"/>
    <w:rsid w:val="00B6160C"/>
    <w:rsid w:val="00B61833"/>
    <w:rsid w:val="00B618C5"/>
    <w:rsid w:val="00B6190F"/>
    <w:rsid w:val="00B6198E"/>
    <w:rsid w:val="00B619DD"/>
    <w:rsid w:val="00B619E7"/>
    <w:rsid w:val="00B61B6F"/>
    <w:rsid w:val="00B61C32"/>
    <w:rsid w:val="00B61C8A"/>
    <w:rsid w:val="00B61D6E"/>
    <w:rsid w:val="00B61D71"/>
    <w:rsid w:val="00B61E28"/>
    <w:rsid w:val="00B61EC6"/>
    <w:rsid w:val="00B61FCF"/>
    <w:rsid w:val="00B62050"/>
    <w:rsid w:val="00B62188"/>
    <w:rsid w:val="00B6218B"/>
    <w:rsid w:val="00B621FE"/>
    <w:rsid w:val="00B62224"/>
    <w:rsid w:val="00B62375"/>
    <w:rsid w:val="00B624C1"/>
    <w:rsid w:val="00B625CB"/>
    <w:rsid w:val="00B62667"/>
    <w:rsid w:val="00B6275E"/>
    <w:rsid w:val="00B62769"/>
    <w:rsid w:val="00B627C9"/>
    <w:rsid w:val="00B628AC"/>
    <w:rsid w:val="00B62A9C"/>
    <w:rsid w:val="00B62AEC"/>
    <w:rsid w:val="00B62CB2"/>
    <w:rsid w:val="00B62D9B"/>
    <w:rsid w:val="00B62E9C"/>
    <w:rsid w:val="00B62FFA"/>
    <w:rsid w:val="00B63044"/>
    <w:rsid w:val="00B63270"/>
    <w:rsid w:val="00B632DB"/>
    <w:rsid w:val="00B63452"/>
    <w:rsid w:val="00B634DA"/>
    <w:rsid w:val="00B635ED"/>
    <w:rsid w:val="00B63773"/>
    <w:rsid w:val="00B637B5"/>
    <w:rsid w:val="00B637C5"/>
    <w:rsid w:val="00B63806"/>
    <w:rsid w:val="00B63AAB"/>
    <w:rsid w:val="00B63AF2"/>
    <w:rsid w:val="00B63B81"/>
    <w:rsid w:val="00B63C29"/>
    <w:rsid w:val="00B63C66"/>
    <w:rsid w:val="00B63CCA"/>
    <w:rsid w:val="00B63D4F"/>
    <w:rsid w:val="00B63E03"/>
    <w:rsid w:val="00B63ED4"/>
    <w:rsid w:val="00B63F10"/>
    <w:rsid w:val="00B6411D"/>
    <w:rsid w:val="00B64173"/>
    <w:rsid w:val="00B642EA"/>
    <w:rsid w:val="00B644C6"/>
    <w:rsid w:val="00B6452F"/>
    <w:rsid w:val="00B64665"/>
    <w:rsid w:val="00B64746"/>
    <w:rsid w:val="00B64859"/>
    <w:rsid w:val="00B64888"/>
    <w:rsid w:val="00B648C6"/>
    <w:rsid w:val="00B649DA"/>
    <w:rsid w:val="00B64A08"/>
    <w:rsid w:val="00B64BAD"/>
    <w:rsid w:val="00B64E16"/>
    <w:rsid w:val="00B64F7C"/>
    <w:rsid w:val="00B65149"/>
    <w:rsid w:val="00B65180"/>
    <w:rsid w:val="00B651CD"/>
    <w:rsid w:val="00B651E4"/>
    <w:rsid w:val="00B65302"/>
    <w:rsid w:val="00B65362"/>
    <w:rsid w:val="00B6547C"/>
    <w:rsid w:val="00B657A9"/>
    <w:rsid w:val="00B65832"/>
    <w:rsid w:val="00B65B01"/>
    <w:rsid w:val="00B65B1B"/>
    <w:rsid w:val="00B65B26"/>
    <w:rsid w:val="00B65EBE"/>
    <w:rsid w:val="00B66018"/>
    <w:rsid w:val="00B66053"/>
    <w:rsid w:val="00B663E0"/>
    <w:rsid w:val="00B66515"/>
    <w:rsid w:val="00B6677D"/>
    <w:rsid w:val="00B668CF"/>
    <w:rsid w:val="00B669E1"/>
    <w:rsid w:val="00B66BE9"/>
    <w:rsid w:val="00B66CA1"/>
    <w:rsid w:val="00B66D81"/>
    <w:rsid w:val="00B66E6D"/>
    <w:rsid w:val="00B67136"/>
    <w:rsid w:val="00B67158"/>
    <w:rsid w:val="00B67239"/>
    <w:rsid w:val="00B67373"/>
    <w:rsid w:val="00B673BD"/>
    <w:rsid w:val="00B67403"/>
    <w:rsid w:val="00B67466"/>
    <w:rsid w:val="00B6776A"/>
    <w:rsid w:val="00B67A86"/>
    <w:rsid w:val="00B67BE2"/>
    <w:rsid w:val="00B67BFE"/>
    <w:rsid w:val="00B67C0B"/>
    <w:rsid w:val="00B67D95"/>
    <w:rsid w:val="00B67EB8"/>
    <w:rsid w:val="00B67ED6"/>
    <w:rsid w:val="00B700B6"/>
    <w:rsid w:val="00B703CB"/>
    <w:rsid w:val="00B70414"/>
    <w:rsid w:val="00B70416"/>
    <w:rsid w:val="00B70637"/>
    <w:rsid w:val="00B70652"/>
    <w:rsid w:val="00B70668"/>
    <w:rsid w:val="00B7070E"/>
    <w:rsid w:val="00B707FC"/>
    <w:rsid w:val="00B708AF"/>
    <w:rsid w:val="00B70924"/>
    <w:rsid w:val="00B70963"/>
    <w:rsid w:val="00B709E4"/>
    <w:rsid w:val="00B70A12"/>
    <w:rsid w:val="00B70A78"/>
    <w:rsid w:val="00B70BB1"/>
    <w:rsid w:val="00B70C34"/>
    <w:rsid w:val="00B70D26"/>
    <w:rsid w:val="00B70ECF"/>
    <w:rsid w:val="00B711C6"/>
    <w:rsid w:val="00B71536"/>
    <w:rsid w:val="00B71591"/>
    <w:rsid w:val="00B71696"/>
    <w:rsid w:val="00B716A3"/>
    <w:rsid w:val="00B71707"/>
    <w:rsid w:val="00B71846"/>
    <w:rsid w:val="00B71868"/>
    <w:rsid w:val="00B719E6"/>
    <w:rsid w:val="00B719F9"/>
    <w:rsid w:val="00B71A47"/>
    <w:rsid w:val="00B71ADC"/>
    <w:rsid w:val="00B71B4D"/>
    <w:rsid w:val="00B71BF6"/>
    <w:rsid w:val="00B71D2A"/>
    <w:rsid w:val="00B71D4C"/>
    <w:rsid w:val="00B71E20"/>
    <w:rsid w:val="00B71E4A"/>
    <w:rsid w:val="00B71F69"/>
    <w:rsid w:val="00B7201F"/>
    <w:rsid w:val="00B72043"/>
    <w:rsid w:val="00B7235F"/>
    <w:rsid w:val="00B72436"/>
    <w:rsid w:val="00B724D4"/>
    <w:rsid w:val="00B72610"/>
    <w:rsid w:val="00B727F3"/>
    <w:rsid w:val="00B72817"/>
    <w:rsid w:val="00B728E7"/>
    <w:rsid w:val="00B7295A"/>
    <w:rsid w:val="00B72B62"/>
    <w:rsid w:val="00B72CA3"/>
    <w:rsid w:val="00B72CEF"/>
    <w:rsid w:val="00B72D19"/>
    <w:rsid w:val="00B72E24"/>
    <w:rsid w:val="00B72E4B"/>
    <w:rsid w:val="00B72F71"/>
    <w:rsid w:val="00B72FC8"/>
    <w:rsid w:val="00B730A6"/>
    <w:rsid w:val="00B7326A"/>
    <w:rsid w:val="00B73331"/>
    <w:rsid w:val="00B73529"/>
    <w:rsid w:val="00B735E6"/>
    <w:rsid w:val="00B737F4"/>
    <w:rsid w:val="00B738DE"/>
    <w:rsid w:val="00B7392B"/>
    <w:rsid w:val="00B739A3"/>
    <w:rsid w:val="00B739A8"/>
    <w:rsid w:val="00B73A3A"/>
    <w:rsid w:val="00B73C18"/>
    <w:rsid w:val="00B73C77"/>
    <w:rsid w:val="00B73DBA"/>
    <w:rsid w:val="00B73F5B"/>
    <w:rsid w:val="00B73FBB"/>
    <w:rsid w:val="00B7400E"/>
    <w:rsid w:val="00B740BA"/>
    <w:rsid w:val="00B74239"/>
    <w:rsid w:val="00B742B9"/>
    <w:rsid w:val="00B74331"/>
    <w:rsid w:val="00B7448F"/>
    <w:rsid w:val="00B7455D"/>
    <w:rsid w:val="00B74593"/>
    <w:rsid w:val="00B7467F"/>
    <w:rsid w:val="00B74727"/>
    <w:rsid w:val="00B748EA"/>
    <w:rsid w:val="00B749E3"/>
    <w:rsid w:val="00B74A10"/>
    <w:rsid w:val="00B74B80"/>
    <w:rsid w:val="00B74D7F"/>
    <w:rsid w:val="00B74FDE"/>
    <w:rsid w:val="00B75013"/>
    <w:rsid w:val="00B7515E"/>
    <w:rsid w:val="00B75186"/>
    <w:rsid w:val="00B7525D"/>
    <w:rsid w:val="00B752AE"/>
    <w:rsid w:val="00B75314"/>
    <w:rsid w:val="00B7533C"/>
    <w:rsid w:val="00B754C1"/>
    <w:rsid w:val="00B7560A"/>
    <w:rsid w:val="00B758BD"/>
    <w:rsid w:val="00B75A2E"/>
    <w:rsid w:val="00B75A3F"/>
    <w:rsid w:val="00B75A6F"/>
    <w:rsid w:val="00B75AD7"/>
    <w:rsid w:val="00B75BF2"/>
    <w:rsid w:val="00B75D73"/>
    <w:rsid w:val="00B75DDD"/>
    <w:rsid w:val="00B75E85"/>
    <w:rsid w:val="00B75FD4"/>
    <w:rsid w:val="00B75FDE"/>
    <w:rsid w:val="00B75FFA"/>
    <w:rsid w:val="00B7609B"/>
    <w:rsid w:val="00B7624C"/>
    <w:rsid w:val="00B76412"/>
    <w:rsid w:val="00B76503"/>
    <w:rsid w:val="00B7658C"/>
    <w:rsid w:val="00B765CB"/>
    <w:rsid w:val="00B7678E"/>
    <w:rsid w:val="00B76816"/>
    <w:rsid w:val="00B7685D"/>
    <w:rsid w:val="00B76903"/>
    <w:rsid w:val="00B7693B"/>
    <w:rsid w:val="00B769A6"/>
    <w:rsid w:val="00B76ABB"/>
    <w:rsid w:val="00B76ACC"/>
    <w:rsid w:val="00B76BDE"/>
    <w:rsid w:val="00B76C84"/>
    <w:rsid w:val="00B76D88"/>
    <w:rsid w:val="00B7715A"/>
    <w:rsid w:val="00B7739B"/>
    <w:rsid w:val="00B773F3"/>
    <w:rsid w:val="00B7749F"/>
    <w:rsid w:val="00B775B6"/>
    <w:rsid w:val="00B777F4"/>
    <w:rsid w:val="00B77815"/>
    <w:rsid w:val="00B778BC"/>
    <w:rsid w:val="00B77932"/>
    <w:rsid w:val="00B77A6E"/>
    <w:rsid w:val="00B77AB4"/>
    <w:rsid w:val="00B77AF7"/>
    <w:rsid w:val="00B77B71"/>
    <w:rsid w:val="00B77BD0"/>
    <w:rsid w:val="00B77C46"/>
    <w:rsid w:val="00B77CE3"/>
    <w:rsid w:val="00B77D67"/>
    <w:rsid w:val="00B77E19"/>
    <w:rsid w:val="00B77E21"/>
    <w:rsid w:val="00B77E6E"/>
    <w:rsid w:val="00B77F0A"/>
    <w:rsid w:val="00B77FA2"/>
    <w:rsid w:val="00B77FF5"/>
    <w:rsid w:val="00B800A5"/>
    <w:rsid w:val="00B8026E"/>
    <w:rsid w:val="00B80312"/>
    <w:rsid w:val="00B80781"/>
    <w:rsid w:val="00B80BC5"/>
    <w:rsid w:val="00B80BFB"/>
    <w:rsid w:val="00B81155"/>
    <w:rsid w:val="00B812F3"/>
    <w:rsid w:val="00B81367"/>
    <w:rsid w:val="00B813B2"/>
    <w:rsid w:val="00B813D6"/>
    <w:rsid w:val="00B813EC"/>
    <w:rsid w:val="00B8144C"/>
    <w:rsid w:val="00B816A9"/>
    <w:rsid w:val="00B8175F"/>
    <w:rsid w:val="00B81AB5"/>
    <w:rsid w:val="00B81CA2"/>
    <w:rsid w:val="00B81D12"/>
    <w:rsid w:val="00B81D4A"/>
    <w:rsid w:val="00B81DDA"/>
    <w:rsid w:val="00B81E13"/>
    <w:rsid w:val="00B81F8D"/>
    <w:rsid w:val="00B81F94"/>
    <w:rsid w:val="00B8203C"/>
    <w:rsid w:val="00B82076"/>
    <w:rsid w:val="00B82102"/>
    <w:rsid w:val="00B821E7"/>
    <w:rsid w:val="00B8236B"/>
    <w:rsid w:val="00B8240F"/>
    <w:rsid w:val="00B8243D"/>
    <w:rsid w:val="00B82473"/>
    <w:rsid w:val="00B82835"/>
    <w:rsid w:val="00B8287C"/>
    <w:rsid w:val="00B8289E"/>
    <w:rsid w:val="00B829D7"/>
    <w:rsid w:val="00B82A81"/>
    <w:rsid w:val="00B82ADF"/>
    <w:rsid w:val="00B82C4F"/>
    <w:rsid w:val="00B82CF5"/>
    <w:rsid w:val="00B82D8C"/>
    <w:rsid w:val="00B82F31"/>
    <w:rsid w:val="00B830E8"/>
    <w:rsid w:val="00B83248"/>
    <w:rsid w:val="00B83583"/>
    <w:rsid w:val="00B8362C"/>
    <w:rsid w:val="00B8370B"/>
    <w:rsid w:val="00B83751"/>
    <w:rsid w:val="00B837BC"/>
    <w:rsid w:val="00B8386D"/>
    <w:rsid w:val="00B83909"/>
    <w:rsid w:val="00B8390C"/>
    <w:rsid w:val="00B83942"/>
    <w:rsid w:val="00B83A7C"/>
    <w:rsid w:val="00B83ABF"/>
    <w:rsid w:val="00B83BE2"/>
    <w:rsid w:val="00B83C74"/>
    <w:rsid w:val="00B83CDB"/>
    <w:rsid w:val="00B83D40"/>
    <w:rsid w:val="00B83D5F"/>
    <w:rsid w:val="00B83E14"/>
    <w:rsid w:val="00B83EB4"/>
    <w:rsid w:val="00B83F39"/>
    <w:rsid w:val="00B8410F"/>
    <w:rsid w:val="00B84120"/>
    <w:rsid w:val="00B841A2"/>
    <w:rsid w:val="00B841ED"/>
    <w:rsid w:val="00B84208"/>
    <w:rsid w:val="00B842C1"/>
    <w:rsid w:val="00B84300"/>
    <w:rsid w:val="00B84312"/>
    <w:rsid w:val="00B84828"/>
    <w:rsid w:val="00B84985"/>
    <w:rsid w:val="00B849D6"/>
    <w:rsid w:val="00B84A3B"/>
    <w:rsid w:val="00B84CDD"/>
    <w:rsid w:val="00B84E12"/>
    <w:rsid w:val="00B84E1E"/>
    <w:rsid w:val="00B84E36"/>
    <w:rsid w:val="00B84E57"/>
    <w:rsid w:val="00B84F6F"/>
    <w:rsid w:val="00B84FD1"/>
    <w:rsid w:val="00B84FFE"/>
    <w:rsid w:val="00B851B1"/>
    <w:rsid w:val="00B85297"/>
    <w:rsid w:val="00B852A4"/>
    <w:rsid w:val="00B852BA"/>
    <w:rsid w:val="00B85504"/>
    <w:rsid w:val="00B85684"/>
    <w:rsid w:val="00B856C5"/>
    <w:rsid w:val="00B85714"/>
    <w:rsid w:val="00B858D6"/>
    <w:rsid w:val="00B859BE"/>
    <w:rsid w:val="00B859FB"/>
    <w:rsid w:val="00B85EA5"/>
    <w:rsid w:val="00B85FB1"/>
    <w:rsid w:val="00B85FEA"/>
    <w:rsid w:val="00B86024"/>
    <w:rsid w:val="00B861FE"/>
    <w:rsid w:val="00B862C0"/>
    <w:rsid w:val="00B86322"/>
    <w:rsid w:val="00B86395"/>
    <w:rsid w:val="00B86488"/>
    <w:rsid w:val="00B86828"/>
    <w:rsid w:val="00B86A69"/>
    <w:rsid w:val="00B86AD2"/>
    <w:rsid w:val="00B86B49"/>
    <w:rsid w:val="00B86C05"/>
    <w:rsid w:val="00B86E02"/>
    <w:rsid w:val="00B86FAE"/>
    <w:rsid w:val="00B8701E"/>
    <w:rsid w:val="00B870A1"/>
    <w:rsid w:val="00B871A3"/>
    <w:rsid w:val="00B871C5"/>
    <w:rsid w:val="00B872CD"/>
    <w:rsid w:val="00B87304"/>
    <w:rsid w:val="00B87779"/>
    <w:rsid w:val="00B8788E"/>
    <w:rsid w:val="00B878E5"/>
    <w:rsid w:val="00B8794D"/>
    <w:rsid w:val="00B87B4A"/>
    <w:rsid w:val="00B87B95"/>
    <w:rsid w:val="00B87BAB"/>
    <w:rsid w:val="00B87C3B"/>
    <w:rsid w:val="00B87CFA"/>
    <w:rsid w:val="00B87EF7"/>
    <w:rsid w:val="00B900A0"/>
    <w:rsid w:val="00B90119"/>
    <w:rsid w:val="00B901F3"/>
    <w:rsid w:val="00B902D4"/>
    <w:rsid w:val="00B90312"/>
    <w:rsid w:val="00B90489"/>
    <w:rsid w:val="00B904A7"/>
    <w:rsid w:val="00B90596"/>
    <w:rsid w:val="00B907E6"/>
    <w:rsid w:val="00B907E9"/>
    <w:rsid w:val="00B9096D"/>
    <w:rsid w:val="00B90A55"/>
    <w:rsid w:val="00B90EA7"/>
    <w:rsid w:val="00B91056"/>
    <w:rsid w:val="00B91081"/>
    <w:rsid w:val="00B910BF"/>
    <w:rsid w:val="00B910D4"/>
    <w:rsid w:val="00B91161"/>
    <w:rsid w:val="00B9117C"/>
    <w:rsid w:val="00B911EC"/>
    <w:rsid w:val="00B911F7"/>
    <w:rsid w:val="00B91215"/>
    <w:rsid w:val="00B9127E"/>
    <w:rsid w:val="00B912A4"/>
    <w:rsid w:val="00B914F2"/>
    <w:rsid w:val="00B916CA"/>
    <w:rsid w:val="00B916F7"/>
    <w:rsid w:val="00B917BB"/>
    <w:rsid w:val="00B9182A"/>
    <w:rsid w:val="00B9183E"/>
    <w:rsid w:val="00B91865"/>
    <w:rsid w:val="00B91892"/>
    <w:rsid w:val="00B91D2B"/>
    <w:rsid w:val="00B91EE7"/>
    <w:rsid w:val="00B91F22"/>
    <w:rsid w:val="00B9203B"/>
    <w:rsid w:val="00B92062"/>
    <w:rsid w:val="00B920E4"/>
    <w:rsid w:val="00B921FF"/>
    <w:rsid w:val="00B92368"/>
    <w:rsid w:val="00B9270D"/>
    <w:rsid w:val="00B92749"/>
    <w:rsid w:val="00B92AB6"/>
    <w:rsid w:val="00B92CAC"/>
    <w:rsid w:val="00B92E2D"/>
    <w:rsid w:val="00B92F57"/>
    <w:rsid w:val="00B92FEC"/>
    <w:rsid w:val="00B93199"/>
    <w:rsid w:val="00B931AC"/>
    <w:rsid w:val="00B93276"/>
    <w:rsid w:val="00B93346"/>
    <w:rsid w:val="00B93387"/>
    <w:rsid w:val="00B93421"/>
    <w:rsid w:val="00B93423"/>
    <w:rsid w:val="00B934A6"/>
    <w:rsid w:val="00B934BC"/>
    <w:rsid w:val="00B935AC"/>
    <w:rsid w:val="00B935B9"/>
    <w:rsid w:val="00B936E7"/>
    <w:rsid w:val="00B93995"/>
    <w:rsid w:val="00B93C31"/>
    <w:rsid w:val="00B93D30"/>
    <w:rsid w:val="00B93D36"/>
    <w:rsid w:val="00B93DF9"/>
    <w:rsid w:val="00B93F97"/>
    <w:rsid w:val="00B94123"/>
    <w:rsid w:val="00B941B7"/>
    <w:rsid w:val="00B94256"/>
    <w:rsid w:val="00B942DA"/>
    <w:rsid w:val="00B94308"/>
    <w:rsid w:val="00B94447"/>
    <w:rsid w:val="00B94495"/>
    <w:rsid w:val="00B944C8"/>
    <w:rsid w:val="00B9453A"/>
    <w:rsid w:val="00B94801"/>
    <w:rsid w:val="00B94995"/>
    <w:rsid w:val="00B949C2"/>
    <w:rsid w:val="00B94B60"/>
    <w:rsid w:val="00B94F9C"/>
    <w:rsid w:val="00B9513E"/>
    <w:rsid w:val="00B951D8"/>
    <w:rsid w:val="00B95215"/>
    <w:rsid w:val="00B95225"/>
    <w:rsid w:val="00B95238"/>
    <w:rsid w:val="00B953D2"/>
    <w:rsid w:val="00B956DB"/>
    <w:rsid w:val="00B95851"/>
    <w:rsid w:val="00B95860"/>
    <w:rsid w:val="00B9589E"/>
    <w:rsid w:val="00B95953"/>
    <w:rsid w:val="00B95A0E"/>
    <w:rsid w:val="00B95BF4"/>
    <w:rsid w:val="00B95C4E"/>
    <w:rsid w:val="00B95C6D"/>
    <w:rsid w:val="00B95CCD"/>
    <w:rsid w:val="00B95CDD"/>
    <w:rsid w:val="00B95D42"/>
    <w:rsid w:val="00B95E5F"/>
    <w:rsid w:val="00B95E61"/>
    <w:rsid w:val="00B95F83"/>
    <w:rsid w:val="00B96053"/>
    <w:rsid w:val="00B960E3"/>
    <w:rsid w:val="00B96179"/>
    <w:rsid w:val="00B96250"/>
    <w:rsid w:val="00B9626B"/>
    <w:rsid w:val="00B963D0"/>
    <w:rsid w:val="00B963D5"/>
    <w:rsid w:val="00B964FD"/>
    <w:rsid w:val="00B96517"/>
    <w:rsid w:val="00B9670F"/>
    <w:rsid w:val="00B96770"/>
    <w:rsid w:val="00B969C8"/>
    <w:rsid w:val="00B96A38"/>
    <w:rsid w:val="00B96A9E"/>
    <w:rsid w:val="00B96C9B"/>
    <w:rsid w:val="00B96CD9"/>
    <w:rsid w:val="00B96D5E"/>
    <w:rsid w:val="00B96DC3"/>
    <w:rsid w:val="00B96E67"/>
    <w:rsid w:val="00B96F49"/>
    <w:rsid w:val="00B96F9F"/>
    <w:rsid w:val="00B97109"/>
    <w:rsid w:val="00B971AB"/>
    <w:rsid w:val="00B9731A"/>
    <w:rsid w:val="00B9735E"/>
    <w:rsid w:val="00B97373"/>
    <w:rsid w:val="00B975D0"/>
    <w:rsid w:val="00B97639"/>
    <w:rsid w:val="00B97661"/>
    <w:rsid w:val="00B97728"/>
    <w:rsid w:val="00B97754"/>
    <w:rsid w:val="00B977C1"/>
    <w:rsid w:val="00B978DA"/>
    <w:rsid w:val="00B979ED"/>
    <w:rsid w:val="00B97BB0"/>
    <w:rsid w:val="00B97C54"/>
    <w:rsid w:val="00B97C55"/>
    <w:rsid w:val="00B97CC4"/>
    <w:rsid w:val="00B97D02"/>
    <w:rsid w:val="00B97E98"/>
    <w:rsid w:val="00B97F5B"/>
    <w:rsid w:val="00BA000E"/>
    <w:rsid w:val="00BA008B"/>
    <w:rsid w:val="00BA0278"/>
    <w:rsid w:val="00BA055E"/>
    <w:rsid w:val="00BA0591"/>
    <w:rsid w:val="00BA06FC"/>
    <w:rsid w:val="00BA0700"/>
    <w:rsid w:val="00BA082D"/>
    <w:rsid w:val="00BA08CE"/>
    <w:rsid w:val="00BA09D9"/>
    <w:rsid w:val="00BA0BA6"/>
    <w:rsid w:val="00BA0C05"/>
    <w:rsid w:val="00BA0C60"/>
    <w:rsid w:val="00BA0CD6"/>
    <w:rsid w:val="00BA0E15"/>
    <w:rsid w:val="00BA10CC"/>
    <w:rsid w:val="00BA10E0"/>
    <w:rsid w:val="00BA11C8"/>
    <w:rsid w:val="00BA12B3"/>
    <w:rsid w:val="00BA12E3"/>
    <w:rsid w:val="00BA131B"/>
    <w:rsid w:val="00BA146A"/>
    <w:rsid w:val="00BA15C5"/>
    <w:rsid w:val="00BA167B"/>
    <w:rsid w:val="00BA1689"/>
    <w:rsid w:val="00BA19E0"/>
    <w:rsid w:val="00BA1C02"/>
    <w:rsid w:val="00BA1E18"/>
    <w:rsid w:val="00BA1E58"/>
    <w:rsid w:val="00BA20B6"/>
    <w:rsid w:val="00BA21EA"/>
    <w:rsid w:val="00BA2274"/>
    <w:rsid w:val="00BA22FB"/>
    <w:rsid w:val="00BA253A"/>
    <w:rsid w:val="00BA264A"/>
    <w:rsid w:val="00BA27B4"/>
    <w:rsid w:val="00BA27DA"/>
    <w:rsid w:val="00BA2813"/>
    <w:rsid w:val="00BA28E6"/>
    <w:rsid w:val="00BA2929"/>
    <w:rsid w:val="00BA2963"/>
    <w:rsid w:val="00BA29F7"/>
    <w:rsid w:val="00BA2A14"/>
    <w:rsid w:val="00BA2A35"/>
    <w:rsid w:val="00BA2A40"/>
    <w:rsid w:val="00BA2A4B"/>
    <w:rsid w:val="00BA2AC1"/>
    <w:rsid w:val="00BA2EA4"/>
    <w:rsid w:val="00BA2F76"/>
    <w:rsid w:val="00BA2F8E"/>
    <w:rsid w:val="00BA307A"/>
    <w:rsid w:val="00BA30A9"/>
    <w:rsid w:val="00BA32AE"/>
    <w:rsid w:val="00BA330A"/>
    <w:rsid w:val="00BA3337"/>
    <w:rsid w:val="00BA34B2"/>
    <w:rsid w:val="00BA358A"/>
    <w:rsid w:val="00BA3663"/>
    <w:rsid w:val="00BA36A4"/>
    <w:rsid w:val="00BA36AF"/>
    <w:rsid w:val="00BA36E9"/>
    <w:rsid w:val="00BA39BC"/>
    <w:rsid w:val="00BA3A92"/>
    <w:rsid w:val="00BA3B78"/>
    <w:rsid w:val="00BA3C69"/>
    <w:rsid w:val="00BA3C7A"/>
    <w:rsid w:val="00BA3DFE"/>
    <w:rsid w:val="00BA3E1D"/>
    <w:rsid w:val="00BA3F29"/>
    <w:rsid w:val="00BA3F30"/>
    <w:rsid w:val="00BA3F6E"/>
    <w:rsid w:val="00BA4061"/>
    <w:rsid w:val="00BA4091"/>
    <w:rsid w:val="00BA40CB"/>
    <w:rsid w:val="00BA4206"/>
    <w:rsid w:val="00BA44F0"/>
    <w:rsid w:val="00BA45E5"/>
    <w:rsid w:val="00BA4699"/>
    <w:rsid w:val="00BA46DD"/>
    <w:rsid w:val="00BA4750"/>
    <w:rsid w:val="00BA484E"/>
    <w:rsid w:val="00BA488C"/>
    <w:rsid w:val="00BA49DF"/>
    <w:rsid w:val="00BA4A1F"/>
    <w:rsid w:val="00BA4CF5"/>
    <w:rsid w:val="00BA4D7F"/>
    <w:rsid w:val="00BA4E63"/>
    <w:rsid w:val="00BA4E8A"/>
    <w:rsid w:val="00BA4FE0"/>
    <w:rsid w:val="00BA5239"/>
    <w:rsid w:val="00BA536F"/>
    <w:rsid w:val="00BA5439"/>
    <w:rsid w:val="00BA5449"/>
    <w:rsid w:val="00BA54A6"/>
    <w:rsid w:val="00BA5902"/>
    <w:rsid w:val="00BA59F8"/>
    <w:rsid w:val="00BA5A37"/>
    <w:rsid w:val="00BA5A57"/>
    <w:rsid w:val="00BA5C09"/>
    <w:rsid w:val="00BA5C5C"/>
    <w:rsid w:val="00BA5D0B"/>
    <w:rsid w:val="00BA5E2D"/>
    <w:rsid w:val="00BA5E85"/>
    <w:rsid w:val="00BA5F7C"/>
    <w:rsid w:val="00BA5F7F"/>
    <w:rsid w:val="00BA604E"/>
    <w:rsid w:val="00BA60A0"/>
    <w:rsid w:val="00BA6104"/>
    <w:rsid w:val="00BA6193"/>
    <w:rsid w:val="00BA61D6"/>
    <w:rsid w:val="00BA62F6"/>
    <w:rsid w:val="00BA62FC"/>
    <w:rsid w:val="00BA64E0"/>
    <w:rsid w:val="00BA651C"/>
    <w:rsid w:val="00BA65F2"/>
    <w:rsid w:val="00BA6652"/>
    <w:rsid w:val="00BA66F0"/>
    <w:rsid w:val="00BA6827"/>
    <w:rsid w:val="00BA6828"/>
    <w:rsid w:val="00BA6861"/>
    <w:rsid w:val="00BA687F"/>
    <w:rsid w:val="00BA6A72"/>
    <w:rsid w:val="00BA6BD4"/>
    <w:rsid w:val="00BA6BEF"/>
    <w:rsid w:val="00BA6C95"/>
    <w:rsid w:val="00BA6D74"/>
    <w:rsid w:val="00BA6EC2"/>
    <w:rsid w:val="00BA6EF8"/>
    <w:rsid w:val="00BA7356"/>
    <w:rsid w:val="00BA73DB"/>
    <w:rsid w:val="00BA73E9"/>
    <w:rsid w:val="00BA760B"/>
    <w:rsid w:val="00BA76D2"/>
    <w:rsid w:val="00BA774D"/>
    <w:rsid w:val="00BA7760"/>
    <w:rsid w:val="00BA779C"/>
    <w:rsid w:val="00BA78EF"/>
    <w:rsid w:val="00BA7A87"/>
    <w:rsid w:val="00BA7AFB"/>
    <w:rsid w:val="00BA7BDA"/>
    <w:rsid w:val="00BA7BE0"/>
    <w:rsid w:val="00BA7C07"/>
    <w:rsid w:val="00BA7D3E"/>
    <w:rsid w:val="00BA7EB4"/>
    <w:rsid w:val="00BA7F24"/>
    <w:rsid w:val="00BA7F8A"/>
    <w:rsid w:val="00BA7FD2"/>
    <w:rsid w:val="00BB011C"/>
    <w:rsid w:val="00BB0134"/>
    <w:rsid w:val="00BB0172"/>
    <w:rsid w:val="00BB019E"/>
    <w:rsid w:val="00BB0280"/>
    <w:rsid w:val="00BB042A"/>
    <w:rsid w:val="00BB05E2"/>
    <w:rsid w:val="00BB0614"/>
    <w:rsid w:val="00BB0636"/>
    <w:rsid w:val="00BB0725"/>
    <w:rsid w:val="00BB0883"/>
    <w:rsid w:val="00BB08B2"/>
    <w:rsid w:val="00BB08D7"/>
    <w:rsid w:val="00BB09BA"/>
    <w:rsid w:val="00BB0AC5"/>
    <w:rsid w:val="00BB0B78"/>
    <w:rsid w:val="00BB0C0A"/>
    <w:rsid w:val="00BB0C26"/>
    <w:rsid w:val="00BB0FBC"/>
    <w:rsid w:val="00BB10DB"/>
    <w:rsid w:val="00BB111F"/>
    <w:rsid w:val="00BB11E7"/>
    <w:rsid w:val="00BB129E"/>
    <w:rsid w:val="00BB1462"/>
    <w:rsid w:val="00BB1994"/>
    <w:rsid w:val="00BB1A92"/>
    <w:rsid w:val="00BB1B16"/>
    <w:rsid w:val="00BB1C8E"/>
    <w:rsid w:val="00BB1CDF"/>
    <w:rsid w:val="00BB1FB3"/>
    <w:rsid w:val="00BB1FF6"/>
    <w:rsid w:val="00BB2014"/>
    <w:rsid w:val="00BB20E0"/>
    <w:rsid w:val="00BB2215"/>
    <w:rsid w:val="00BB237B"/>
    <w:rsid w:val="00BB2460"/>
    <w:rsid w:val="00BB249C"/>
    <w:rsid w:val="00BB24B9"/>
    <w:rsid w:val="00BB24EB"/>
    <w:rsid w:val="00BB2631"/>
    <w:rsid w:val="00BB2731"/>
    <w:rsid w:val="00BB27BA"/>
    <w:rsid w:val="00BB28F8"/>
    <w:rsid w:val="00BB2C1B"/>
    <w:rsid w:val="00BB2D52"/>
    <w:rsid w:val="00BB2DD5"/>
    <w:rsid w:val="00BB2F99"/>
    <w:rsid w:val="00BB307E"/>
    <w:rsid w:val="00BB3134"/>
    <w:rsid w:val="00BB3138"/>
    <w:rsid w:val="00BB31D6"/>
    <w:rsid w:val="00BB3438"/>
    <w:rsid w:val="00BB3477"/>
    <w:rsid w:val="00BB365D"/>
    <w:rsid w:val="00BB368D"/>
    <w:rsid w:val="00BB36E3"/>
    <w:rsid w:val="00BB370B"/>
    <w:rsid w:val="00BB379E"/>
    <w:rsid w:val="00BB3840"/>
    <w:rsid w:val="00BB38C6"/>
    <w:rsid w:val="00BB3A61"/>
    <w:rsid w:val="00BB3AB4"/>
    <w:rsid w:val="00BB3B8D"/>
    <w:rsid w:val="00BB3B8E"/>
    <w:rsid w:val="00BB3BAE"/>
    <w:rsid w:val="00BB3DF7"/>
    <w:rsid w:val="00BB3EC1"/>
    <w:rsid w:val="00BB403B"/>
    <w:rsid w:val="00BB428D"/>
    <w:rsid w:val="00BB4487"/>
    <w:rsid w:val="00BB472D"/>
    <w:rsid w:val="00BB473E"/>
    <w:rsid w:val="00BB477B"/>
    <w:rsid w:val="00BB4837"/>
    <w:rsid w:val="00BB492D"/>
    <w:rsid w:val="00BB4B52"/>
    <w:rsid w:val="00BB4B5A"/>
    <w:rsid w:val="00BB4BFF"/>
    <w:rsid w:val="00BB4C0F"/>
    <w:rsid w:val="00BB4C3C"/>
    <w:rsid w:val="00BB4CA4"/>
    <w:rsid w:val="00BB4F2F"/>
    <w:rsid w:val="00BB4F35"/>
    <w:rsid w:val="00BB5306"/>
    <w:rsid w:val="00BB53DD"/>
    <w:rsid w:val="00BB53EF"/>
    <w:rsid w:val="00BB543C"/>
    <w:rsid w:val="00BB54ED"/>
    <w:rsid w:val="00BB54F3"/>
    <w:rsid w:val="00BB553B"/>
    <w:rsid w:val="00BB55EC"/>
    <w:rsid w:val="00BB5697"/>
    <w:rsid w:val="00BB56AC"/>
    <w:rsid w:val="00BB574C"/>
    <w:rsid w:val="00BB57A9"/>
    <w:rsid w:val="00BB57B5"/>
    <w:rsid w:val="00BB5924"/>
    <w:rsid w:val="00BB59A1"/>
    <w:rsid w:val="00BB5B54"/>
    <w:rsid w:val="00BB5BCE"/>
    <w:rsid w:val="00BB5C7F"/>
    <w:rsid w:val="00BB5E02"/>
    <w:rsid w:val="00BB5E39"/>
    <w:rsid w:val="00BB5EE5"/>
    <w:rsid w:val="00BB5F9C"/>
    <w:rsid w:val="00BB6216"/>
    <w:rsid w:val="00BB647F"/>
    <w:rsid w:val="00BB659E"/>
    <w:rsid w:val="00BB65AC"/>
    <w:rsid w:val="00BB6619"/>
    <w:rsid w:val="00BB6685"/>
    <w:rsid w:val="00BB668C"/>
    <w:rsid w:val="00BB66B2"/>
    <w:rsid w:val="00BB66B6"/>
    <w:rsid w:val="00BB671C"/>
    <w:rsid w:val="00BB6858"/>
    <w:rsid w:val="00BB68BA"/>
    <w:rsid w:val="00BB6979"/>
    <w:rsid w:val="00BB69B6"/>
    <w:rsid w:val="00BB69C6"/>
    <w:rsid w:val="00BB6A27"/>
    <w:rsid w:val="00BB6BFB"/>
    <w:rsid w:val="00BB6D48"/>
    <w:rsid w:val="00BB7117"/>
    <w:rsid w:val="00BB7246"/>
    <w:rsid w:val="00BB72DA"/>
    <w:rsid w:val="00BB7360"/>
    <w:rsid w:val="00BB75DA"/>
    <w:rsid w:val="00BB76A6"/>
    <w:rsid w:val="00BB7769"/>
    <w:rsid w:val="00BB77A8"/>
    <w:rsid w:val="00BB7982"/>
    <w:rsid w:val="00BB7A2F"/>
    <w:rsid w:val="00BB7D02"/>
    <w:rsid w:val="00BB7D42"/>
    <w:rsid w:val="00BB7EF8"/>
    <w:rsid w:val="00BC0068"/>
    <w:rsid w:val="00BC00AC"/>
    <w:rsid w:val="00BC0182"/>
    <w:rsid w:val="00BC01F7"/>
    <w:rsid w:val="00BC0270"/>
    <w:rsid w:val="00BC0276"/>
    <w:rsid w:val="00BC034C"/>
    <w:rsid w:val="00BC03F4"/>
    <w:rsid w:val="00BC0529"/>
    <w:rsid w:val="00BC0548"/>
    <w:rsid w:val="00BC055C"/>
    <w:rsid w:val="00BC0568"/>
    <w:rsid w:val="00BC06CD"/>
    <w:rsid w:val="00BC0712"/>
    <w:rsid w:val="00BC080E"/>
    <w:rsid w:val="00BC08FF"/>
    <w:rsid w:val="00BC0943"/>
    <w:rsid w:val="00BC09B0"/>
    <w:rsid w:val="00BC09CE"/>
    <w:rsid w:val="00BC09D9"/>
    <w:rsid w:val="00BC09DB"/>
    <w:rsid w:val="00BC0A2B"/>
    <w:rsid w:val="00BC0C1A"/>
    <w:rsid w:val="00BC0D1C"/>
    <w:rsid w:val="00BC0E2C"/>
    <w:rsid w:val="00BC0E7A"/>
    <w:rsid w:val="00BC0FF0"/>
    <w:rsid w:val="00BC10A5"/>
    <w:rsid w:val="00BC10FA"/>
    <w:rsid w:val="00BC10FF"/>
    <w:rsid w:val="00BC12AB"/>
    <w:rsid w:val="00BC1327"/>
    <w:rsid w:val="00BC1350"/>
    <w:rsid w:val="00BC13F0"/>
    <w:rsid w:val="00BC15BC"/>
    <w:rsid w:val="00BC16ED"/>
    <w:rsid w:val="00BC1730"/>
    <w:rsid w:val="00BC19A3"/>
    <w:rsid w:val="00BC1AAB"/>
    <w:rsid w:val="00BC1C7D"/>
    <w:rsid w:val="00BC1F17"/>
    <w:rsid w:val="00BC1F2A"/>
    <w:rsid w:val="00BC22C1"/>
    <w:rsid w:val="00BC235E"/>
    <w:rsid w:val="00BC23D7"/>
    <w:rsid w:val="00BC23F4"/>
    <w:rsid w:val="00BC2426"/>
    <w:rsid w:val="00BC249B"/>
    <w:rsid w:val="00BC24B7"/>
    <w:rsid w:val="00BC2528"/>
    <w:rsid w:val="00BC263B"/>
    <w:rsid w:val="00BC264A"/>
    <w:rsid w:val="00BC26E3"/>
    <w:rsid w:val="00BC27CC"/>
    <w:rsid w:val="00BC28BA"/>
    <w:rsid w:val="00BC2993"/>
    <w:rsid w:val="00BC29E3"/>
    <w:rsid w:val="00BC2B80"/>
    <w:rsid w:val="00BC2BF3"/>
    <w:rsid w:val="00BC2C25"/>
    <w:rsid w:val="00BC2E2B"/>
    <w:rsid w:val="00BC2F7B"/>
    <w:rsid w:val="00BC2FAA"/>
    <w:rsid w:val="00BC2FF0"/>
    <w:rsid w:val="00BC3009"/>
    <w:rsid w:val="00BC3199"/>
    <w:rsid w:val="00BC31A1"/>
    <w:rsid w:val="00BC31FF"/>
    <w:rsid w:val="00BC325A"/>
    <w:rsid w:val="00BC33F6"/>
    <w:rsid w:val="00BC3412"/>
    <w:rsid w:val="00BC3435"/>
    <w:rsid w:val="00BC34B1"/>
    <w:rsid w:val="00BC36A9"/>
    <w:rsid w:val="00BC3706"/>
    <w:rsid w:val="00BC3765"/>
    <w:rsid w:val="00BC377A"/>
    <w:rsid w:val="00BC37D9"/>
    <w:rsid w:val="00BC37F6"/>
    <w:rsid w:val="00BC382E"/>
    <w:rsid w:val="00BC3925"/>
    <w:rsid w:val="00BC395C"/>
    <w:rsid w:val="00BC395E"/>
    <w:rsid w:val="00BC3A65"/>
    <w:rsid w:val="00BC3B98"/>
    <w:rsid w:val="00BC3BB2"/>
    <w:rsid w:val="00BC3C42"/>
    <w:rsid w:val="00BC3C6A"/>
    <w:rsid w:val="00BC3D2D"/>
    <w:rsid w:val="00BC3F0F"/>
    <w:rsid w:val="00BC3F35"/>
    <w:rsid w:val="00BC3F69"/>
    <w:rsid w:val="00BC41FC"/>
    <w:rsid w:val="00BC422A"/>
    <w:rsid w:val="00BC428B"/>
    <w:rsid w:val="00BC42FD"/>
    <w:rsid w:val="00BC4351"/>
    <w:rsid w:val="00BC43DB"/>
    <w:rsid w:val="00BC43E5"/>
    <w:rsid w:val="00BC4510"/>
    <w:rsid w:val="00BC4668"/>
    <w:rsid w:val="00BC475A"/>
    <w:rsid w:val="00BC4784"/>
    <w:rsid w:val="00BC48E7"/>
    <w:rsid w:val="00BC4932"/>
    <w:rsid w:val="00BC4964"/>
    <w:rsid w:val="00BC4A8B"/>
    <w:rsid w:val="00BC4CE6"/>
    <w:rsid w:val="00BC4D08"/>
    <w:rsid w:val="00BC50B5"/>
    <w:rsid w:val="00BC516B"/>
    <w:rsid w:val="00BC5204"/>
    <w:rsid w:val="00BC5483"/>
    <w:rsid w:val="00BC54BE"/>
    <w:rsid w:val="00BC5685"/>
    <w:rsid w:val="00BC58CE"/>
    <w:rsid w:val="00BC5961"/>
    <w:rsid w:val="00BC5967"/>
    <w:rsid w:val="00BC59F4"/>
    <w:rsid w:val="00BC59F9"/>
    <w:rsid w:val="00BC5A7F"/>
    <w:rsid w:val="00BC5CF6"/>
    <w:rsid w:val="00BC5E40"/>
    <w:rsid w:val="00BC5E7D"/>
    <w:rsid w:val="00BC5EB6"/>
    <w:rsid w:val="00BC5F73"/>
    <w:rsid w:val="00BC636D"/>
    <w:rsid w:val="00BC64FC"/>
    <w:rsid w:val="00BC667A"/>
    <w:rsid w:val="00BC6684"/>
    <w:rsid w:val="00BC670E"/>
    <w:rsid w:val="00BC681F"/>
    <w:rsid w:val="00BC68A5"/>
    <w:rsid w:val="00BC68A7"/>
    <w:rsid w:val="00BC6A05"/>
    <w:rsid w:val="00BC6A3B"/>
    <w:rsid w:val="00BC6E15"/>
    <w:rsid w:val="00BC6E31"/>
    <w:rsid w:val="00BC70B8"/>
    <w:rsid w:val="00BC71E4"/>
    <w:rsid w:val="00BC7292"/>
    <w:rsid w:val="00BC734C"/>
    <w:rsid w:val="00BC7407"/>
    <w:rsid w:val="00BC745E"/>
    <w:rsid w:val="00BC74D0"/>
    <w:rsid w:val="00BC756A"/>
    <w:rsid w:val="00BC75A2"/>
    <w:rsid w:val="00BC75B6"/>
    <w:rsid w:val="00BC75E6"/>
    <w:rsid w:val="00BC788A"/>
    <w:rsid w:val="00BC7A6D"/>
    <w:rsid w:val="00BC7A90"/>
    <w:rsid w:val="00BC7AC2"/>
    <w:rsid w:val="00BC7CFF"/>
    <w:rsid w:val="00BC7D4B"/>
    <w:rsid w:val="00BC7F21"/>
    <w:rsid w:val="00BD004B"/>
    <w:rsid w:val="00BD00C5"/>
    <w:rsid w:val="00BD00D0"/>
    <w:rsid w:val="00BD010B"/>
    <w:rsid w:val="00BD01EE"/>
    <w:rsid w:val="00BD049C"/>
    <w:rsid w:val="00BD05B5"/>
    <w:rsid w:val="00BD05E7"/>
    <w:rsid w:val="00BD07E2"/>
    <w:rsid w:val="00BD0924"/>
    <w:rsid w:val="00BD0A3C"/>
    <w:rsid w:val="00BD0A71"/>
    <w:rsid w:val="00BD0A81"/>
    <w:rsid w:val="00BD0B4A"/>
    <w:rsid w:val="00BD0CCF"/>
    <w:rsid w:val="00BD0D03"/>
    <w:rsid w:val="00BD0D2C"/>
    <w:rsid w:val="00BD0D81"/>
    <w:rsid w:val="00BD0E18"/>
    <w:rsid w:val="00BD0EB8"/>
    <w:rsid w:val="00BD0FFF"/>
    <w:rsid w:val="00BD10AD"/>
    <w:rsid w:val="00BD111F"/>
    <w:rsid w:val="00BD13D7"/>
    <w:rsid w:val="00BD1403"/>
    <w:rsid w:val="00BD1498"/>
    <w:rsid w:val="00BD154F"/>
    <w:rsid w:val="00BD15FC"/>
    <w:rsid w:val="00BD17E9"/>
    <w:rsid w:val="00BD19E9"/>
    <w:rsid w:val="00BD1BF1"/>
    <w:rsid w:val="00BD1CBA"/>
    <w:rsid w:val="00BD1D44"/>
    <w:rsid w:val="00BD1DF0"/>
    <w:rsid w:val="00BD1E5F"/>
    <w:rsid w:val="00BD1F15"/>
    <w:rsid w:val="00BD1F77"/>
    <w:rsid w:val="00BD1FF7"/>
    <w:rsid w:val="00BD216A"/>
    <w:rsid w:val="00BD217A"/>
    <w:rsid w:val="00BD2226"/>
    <w:rsid w:val="00BD2228"/>
    <w:rsid w:val="00BD2337"/>
    <w:rsid w:val="00BD238F"/>
    <w:rsid w:val="00BD23DE"/>
    <w:rsid w:val="00BD2520"/>
    <w:rsid w:val="00BD257F"/>
    <w:rsid w:val="00BD25C6"/>
    <w:rsid w:val="00BD25D5"/>
    <w:rsid w:val="00BD2652"/>
    <w:rsid w:val="00BD26DA"/>
    <w:rsid w:val="00BD278A"/>
    <w:rsid w:val="00BD2808"/>
    <w:rsid w:val="00BD284A"/>
    <w:rsid w:val="00BD29EE"/>
    <w:rsid w:val="00BD2A16"/>
    <w:rsid w:val="00BD2B05"/>
    <w:rsid w:val="00BD2BD3"/>
    <w:rsid w:val="00BD2C1C"/>
    <w:rsid w:val="00BD2D16"/>
    <w:rsid w:val="00BD2E09"/>
    <w:rsid w:val="00BD2EDD"/>
    <w:rsid w:val="00BD2F3B"/>
    <w:rsid w:val="00BD2F98"/>
    <w:rsid w:val="00BD2FF2"/>
    <w:rsid w:val="00BD30FC"/>
    <w:rsid w:val="00BD3227"/>
    <w:rsid w:val="00BD32F3"/>
    <w:rsid w:val="00BD336D"/>
    <w:rsid w:val="00BD348B"/>
    <w:rsid w:val="00BD34CF"/>
    <w:rsid w:val="00BD34F6"/>
    <w:rsid w:val="00BD3560"/>
    <w:rsid w:val="00BD37DC"/>
    <w:rsid w:val="00BD381E"/>
    <w:rsid w:val="00BD3940"/>
    <w:rsid w:val="00BD3AC6"/>
    <w:rsid w:val="00BD3BC7"/>
    <w:rsid w:val="00BD3BF3"/>
    <w:rsid w:val="00BD3C5C"/>
    <w:rsid w:val="00BD3CB9"/>
    <w:rsid w:val="00BD3CF9"/>
    <w:rsid w:val="00BD3D13"/>
    <w:rsid w:val="00BD3D1D"/>
    <w:rsid w:val="00BD3D43"/>
    <w:rsid w:val="00BD3D9A"/>
    <w:rsid w:val="00BD3DD3"/>
    <w:rsid w:val="00BD3F3B"/>
    <w:rsid w:val="00BD3F71"/>
    <w:rsid w:val="00BD404B"/>
    <w:rsid w:val="00BD4179"/>
    <w:rsid w:val="00BD432D"/>
    <w:rsid w:val="00BD4580"/>
    <w:rsid w:val="00BD45D2"/>
    <w:rsid w:val="00BD45F9"/>
    <w:rsid w:val="00BD4783"/>
    <w:rsid w:val="00BD480A"/>
    <w:rsid w:val="00BD4882"/>
    <w:rsid w:val="00BD492D"/>
    <w:rsid w:val="00BD4954"/>
    <w:rsid w:val="00BD49DD"/>
    <w:rsid w:val="00BD4A1C"/>
    <w:rsid w:val="00BD4A24"/>
    <w:rsid w:val="00BD4B12"/>
    <w:rsid w:val="00BD4B1A"/>
    <w:rsid w:val="00BD4C05"/>
    <w:rsid w:val="00BD4C4A"/>
    <w:rsid w:val="00BD4C78"/>
    <w:rsid w:val="00BD4C9A"/>
    <w:rsid w:val="00BD4CE9"/>
    <w:rsid w:val="00BD4D77"/>
    <w:rsid w:val="00BD4E38"/>
    <w:rsid w:val="00BD4FCB"/>
    <w:rsid w:val="00BD5196"/>
    <w:rsid w:val="00BD52A7"/>
    <w:rsid w:val="00BD56A7"/>
    <w:rsid w:val="00BD56B3"/>
    <w:rsid w:val="00BD56D2"/>
    <w:rsid w:val="00BD56D5"/>
    <w:rsid w:val="00BD5777"/>
    <w:rsid w:val="00BD5986"/>
    <w:rsid w:val="00BD5BBF"/>
    <w:rsid w:val="00BD5D06"/>
    <w:rsid w:val="00BD5DD3"/>
    <w:rsid w:val="00BD5EA3"/>
    <w:rsid w:val="00BD5EC7"/>
    <w:rsid w:val="00BD6009"/>
    <w:rsid w:val="00BD62D2"/>
    <w:rsid w:val="00BD62F5"/>
    <w:rsid w:val="00BD647C"/>
    <w:rsid w:val="00BD6490"/>
    <w:rsid w:val="00BD659D"/>
    <w:rsid w:val="00BD65AA"/>
    <w:rsid w:val="00BD65B7"/>
    <w:rsid w:val="00BD66C3"/>
    <w:rsid w:val="00BD672B"/>
    <w:rsid w:val="00BD67F7"/>
    <w:rsid w:val="00BD69BC"/>
    <w:rsid w:val="00BD6A30"/>
    <w:rsid w:val="00BD6B43"/>
    <w:rsid w:val="00BD6C8A"/>
    <w:rsid w:val="00BD6DEC"/>
    <w:rsid w:val="00BD6E94"/>
    <w:rsid w:val="00BD7049"/>
    <w:rsid w:val="00BD718A"/>
    <w:rsid w:val="00BD71EE"/>
    <w:rsid w:val="00BD72A2"/>
    <w:rsid w:val="00BD72D5"/>
    <w:rsid w:val="00BD7344"/>
    <w:rsid w:val="00BD7492"/>
    <w:rsid w:val="00BD757E"/>
    <w:rsid w:val="00BD7666"/>
    <w:rsid w:val="00BD7679"/>
    <w:rsid w:val="00BD773D"/>
    <w:rsid w:val="00BD7AA5"/>
    <w:rsid w:val="00BD7B28"/>
    <w:rsid w:val="00BD7D3F"/>
    <w:rsid w:val="00BD7E05"/>
    <w:rsid w:val="00BD7EA8"/>
    <w:rsid w:val="00BD7EC2"/>
    <w:rsid w:val="00BD7EF9"/>
    <w:rsid w:val="00BE0028"/>
    <w:rsid w:val="00BE0132"/>
    <w:rsid w:val="00BE02AC"/>
    <w:rsid w:val="00BE02D3"/>
    <w:rsid w:val="00BE03D4"/>
    <w:rsid w:val="00BE0436"/>
    <w:rsid w:val="00BE04D5"/>
    <w:rsid w:val="00BE050E"/>
    <w:rsid w:val="00BE051E"/>
    <w:rsid w:val="00BE05C9"/>
    <w:rsid w:val="00BE0AC0"/>
    <w:rsid w:val="00BE0B27"/>
    <w:rsid w:val="00BE0B44"/>
    <w:rsid w:val="00BE0D39"/>
    <w:rsid w:val="00BE11D3"/>
    <w:rsid w:val="00BE12BD"/>
    <w:rsid w:val="00BE13F1"/>
    <w:rsid w:val="00BE1477"/>
    <w:rsid w:val="00BE14E2"/>
    <w:rsid w:val="00BE1678"/>
    <w:rsid w:val="00BE1833"/>
    <w:rsid w:val="00BE18B9"/>
    <w:rsid w:val="00BE18E5"/>
    <w:rsid w:val="00BE1958"/>
    <w:rsid w:val="00BE1AF7"/>
    <w:rsid w:val="00BE1BB0"/>
    <w:rsid w:val="00BE1C07"/>
    <w:rsid w:val="00BE1C8A"/>
    <w:rsid w:val="00BE1ED8"/>
    <w:rsid w:val="00BE1EE5"/>
    <w:rsid w:val="00BE1F93"/>
    <w:rsid w:val="00BE2132"/>
    <w:rsid w:val="00BE237E"/>
    <w:rsid w:val="00BE23CB"/>
    <w:rsid w:val="00BE254C"/>
    <w:rsid w:val="00BE25C7"/>
    <w:rsid w:val="00BE270A"/>
    <w:rsid w:val="00BE2779"/>
    <w:rsid w:val="00BE27C4"/>
    <w:rsid w:val="00BE2815"/>
    <w:rsid w:val="00BE283D"/>
    <w:rsid w:val="00BE28A8"/>
    <w:rsid w:val="00BE2918"/>
    <w:rsid w:val="00BE2945"/>
    <w:rsid w:val="00BE299C"/>
    <w:rsid w:val="00BE2A82"/>
    <w:rsid w:val="00BE2C84"/>
    <w:rsid w:val="00BE2CA4"/>
    <w:rsid w:val="00BE2D8D"/>
    <w:rsid w:val="00BE2DB9"/>
    <w:rsid w:val="00BE2DCD"/>
    <w:rsid w:val="00BE2DE3"/>
    <w:rsid w:val="00BE2E73"/>
    <w:rsid w:val="00BE2ECB"/>
    <w:rsid w:val="00BE2FD4"/>
    <w:rsid w:val="00BE3049"/>
    <w:rsid w:val="00BE309A"/>
    <w:rsid w:val="00BE30FB"/>
    <w:rsid w:val="00BE30FF"/>
    <w:rsid w:val="00BE318D"/>
    <w:rsid w:val="00BE3328"/>
    <w:rsid w:val="00BE350B"/>
    <w:rsid w:val="00BE3646"/>
    <w:rsid w:val="00BE3690"/>
    <w:rsid w:val="00BE3789"/>
    <w:rsid w:val="00BE38DE"/>
    <w:rsid w:val="00BE3965"/>
    <w:rsid w:val="00BE39A3"/>
    <w:rsid w:val="00BE39CF"/>
    <w:rsid w:val="00BE3B5A"/>
    <w:rsid w:val="00BE3B85"/>
    <w:rsid w:val="00BE3CDC"/>
    <w:rsid w:val="00BE3D05"/>
    <w:rsid w:val="00BE3E41"/>
    <w:rsid w:val="00BE3ED7"/>
    <w:rsid w:val="00BE3F48"/>
    <w:rsid w:val="00BE3F96"/>
    <w:rsid w:val="00BE3FFE"/>
    <w:rsid w:val="00BE40BC"/>
    <w:rsid w:val="00BE4105"/>
    <w:rsid w:val="00BE4127"/>
    <w:rsid w:val="00BE433C"/>
    <w:rsid w:val="00BE4358"/>
    <w:rsid w:val="00BE43F9"/>
    <w:rsid w:val="00BE441E"/>
    <w:rsid w:val="00BE456E"/>
    <w:rsid w:val="00BE4591"/>
    <w:rsid w:val="00BE464D"/>
    <w:rsid w:val="00BE475F"/>
    <w:rsid w:val="00BE478A"/>
    <w:rsid w:val="00BE49E7"/>
    <w:rsid w:val="00BE4B09"/>
    <w:rsid w:val="00BE4D49"/>
    <w:rsid w:val="00BE4E5F"/>
    <w:rsid w:val="00BE51DE"/>
    <w:rsid w:val="00BE51EA"/>
    <w:rsid w:val="00BE5316"/>
    <w:rsid w:val="00BE549B"/>
    <w:rsid w:val="00BE54D1"/>
    <w:rsid w:val="00BE5546"/>
    <w:rsid w:val="00BE55CA"/>
    <w:rsid w:val="00BE5A18"/>
    <w:rsid w:val="00BE5CA1"/>
    <w:rsid w:val="00BE5CE8"/>
    <w:rsid w:val="00BE5D5B"/>
    <w:rsid w:val="00BE5E44"/>
    <w:rsid w:val="00BE5E86"/>
    <w:rsid w:val="00BE6161"/>
    <w:rsid w:val="00BE6162"/>
    <w:rsid w:val="00BE62FA"/>
    <w:rsid w:val="00BE6348"/>
    <w:rsid w:val="00BE64DD"/>
    <w:rsid w:val="00BE654D"/>
    <w:rsid w:val="00BE667D"/>
    <w:rsid w:val="00BE699C"/>
    <w:rsid w:val="00BE6A75"/>
    <w:rsid w:val="00BE6B7F"/>
    <w:rsid w:val="00BE6C2B"/>
    <w:rsid w:val="00BE6C88"/>
    <w:rsid w:val="00BE6E0D"/>
    <w:rsid w:val="00BE6E75"/>
    <w:rsid w:val="00BE6ECD"/>
    <w:rsid w:val="00BE6EE7"/>
    <w:rsid w:val="00BE7015"/>
    <w:rsid w:val="00BE70DC"/>
    <w:rsid w:val="00BE7285"/>
    <w:rsid w:val="00BE741D"/>
    <w:rsid w:val="00BE74EB"/>
    <w:rsid w:val="00BE750C"/>
    <w:rsid w:val="00BE7520"/>
    <w:rsid w:val="00BE7549"/>
    <w:rsid w:val="00BE75B5"/>
    <w:rsid w:val="00BE7671"/>
    <w:rsid w:val="00BE77FC"/>
    <w:rsid w:val="00BE781F"/>
    <w:rsid w:val="00BE78B9"/>
    <w:rsid w:val="00BE78D7"/>
    <w:rsid w:val="00BE795B"/>
    <w:rsid w:val="00BE7B0A"/>
    <w:rsid w:val="00BE7B42"/>
    <w:rsid w:val="00BE7B50"/>
    <w:rsid w:val="00BE7D6E"/>
    <w:rsid w:val="00BE7E78"/>
    <w:rsid w:val="00BF0056"/>
    <w:rsid w:val="00BF00AA"/>
    <w:rsid w:val="00BF018C"/>
    <w:rsid w:val="00BF02F1"/>
    <w:rsid w:val="00BF0389"/>
    <w:rsid w:val="00BF03A8"/>
    <w:rsid w:val="00BF03C2"/>
    <w:rsid w:val="00BF03E3"/>
    <w:rsid w:val="00BF048E"/>
    <w:rsid w:val="00BF04E7"/>
    <w:rsid w:val="00BF05ED"/>
    <w:rsid w:val="00BF06B3"/>
    <w:rsid w:val="00BF0871"/>
    <w:rsid w:val="00BF089D"/>
    <w:rsid w:val="00BF0A59"/>
    <w:rsid w:val="00BF0AA5"/>
    <w:rsid w:val="00BF0B39"/>
    <w:rsid w:val="00BF0DD7"/>
    <w:rsid w:val="00BF0ED1"/>
    <w:rsid w:val="00BF0F53"/>
    <w:rsid w:val="00BF104B"/>
    <w:rsid w:val="00BF1190"/>
    <w:rsid w:val="00BF11B4"/>
    <w:rsid w:val="00BF1216"/>
    <w:rsid w:val="00BF121B"/>
    <w:rsid w:val="00BF12AA"/>
    <w:rsid w:val="00BF148A"/>
    <w:rsid w:val="00BF1914"/>
    <w:rsid w:val="00BF19BE"/>
    <w:rsid w:val="00BF19D6"/>
    <w:rsid w:val="00BF1AC4"/>
    <w:rsid w:val="00BF1B2E"/>
    <w:rsid w:val="00BF1B60"/>
    <w:rsid w:val="00BF1BB4"/>
    <w:rsid w:val="00BF1BD1"/>
    <w:rsid w:val="00BF1CCA"/>
    <w:rsid w:val="00BF1D54"/>
    <w:rsid w:val="00BF1D99"/>
    <w:rsid w:val="00BF1E57"/>
    <w:rsid w:val="00BF1E6F"/>
    <w:rsid w:val="00BF1E70"/>
    <w:rsid w:val="00BF1F41"/>
    <w:rsid w:val="00BF201C"/>
    <w:rsid w:val="00BF20F9"/>
    <w:rsid w:val="00BF21FD"/>
    <w:rsid w:val="00BF2405"/>
    <w:rsid w:val="00BF2470"/>
    <w:rsid w:val="00BF2481"/>
    <w:rsid w:val="00BF24F0"/>
    <w:rsid w:val="00BF2549"/>
    <w:rsid w:val="00BF257B"/>
    <w:rsid w:val="00BF25C5"/>
    <w:rsid w:val="00BF27A5"/>
    <w:rsid w:val="00BF2939"/>
    <w:rsid w:val="00BF2B33"/>
    <w:rsid w:val="00BF2C04"/>
    <w:rsid w:val="00BF2DE4"/>
    <w:rsid w:val="00BF2E3F"/>
    <w:rsid w:val="00BF2F3B"/>
    <w:rsid w:val="00BF2F78"/>
    <w:rsid w:val="00BF31C0"/>
    <w:rsid w:val="00BF3218"/>
    <w:rsid w:val="00BF326D"/>
    <w:rsid w:val="00BF3387"/>
    <w:rsid w:val="00BF33D4"/>
    <w:rsid w:val="00BF348A"/>
    <w:rsid w:val="00BF356D"/>
    <w:rsid w:val="00BF3615"/>
    <w:rsid w:val="00BF3726"/>
    <w:rsid w:val="00BF3766"/>
    <w:rsid w:val="00BF3849"/>
    <w:rsid w:val="00BF38D2"/>
    <w:rsid w:val="00BF3928"/>
    <w:rsid w:val="00BF3A1A"/>
    <w:rsid w:val="00BF3AE1"/>
    <w:rsid w:val="00BF3C1E"/>
    <w:rsid w:val="00BF3D0A"/>
    <w:rsid w:val="00BF3DCD"/>
    <w:rsid w:val="00BF3FBC"/>
    <w:rsid w:val="00BF411B"/>
    <w:rsid w:val="00BF4335"/>
    <w:rsid w:val="00BF443A"/>
    <w:rsid w:val="00BF4575"/>
    <w:rsid w:val="00BF4609"/>
    <w:rsid w:val="00BF4642"/>
    <w:rsid w:val="00BF4838"/>
    <w:rsid w:val="00BF4854"/>
    <w:rsid w:val="00BF48C6"/>
    <w:rsid w:val="00BF494C"/>
    <w:rsid w:val="00BF4B56"/>
    <w:rsid w:val="00BF4B60"/>
    <w:rsid w:val="00BF4BA9"/>
    <w:rsid w:val="00BF4C1F"/>
    <w:rsid w:val="00BF4C68"/>
    <w:rsid w:val="00BF4D5A"/>
    <w:rsid w:val="00BF4D7E"/>
    <w:rsid w:val="00BF4F4F"/>
    <w:rsid w:val="00BF4FF9"/>
    <w:rsid w:val="00BF505F"/>
    <w:rsid w:val="00BF5221"/>
    <w:rsid w:val="00BF52AD"/>
    <w:rsid w:val="00BF52CA"/>
    <w:rsid w:val="00BF5387"/>
    <w:rsid w:val="00BF547D"/>
    <w:rsid w:val="00BF550B"/>
    <w:rsid w:val="00BF5544"/>
    <w:rsid w:val="00BF56D6"/>
    <w:rsid w:val="00BF57AA"/>
    <w:rsid w:val="00BF580E"/>
    <w:rsid w:val="00BF5894"/>
    <w:rsid w:val="00BF58AB"/>
    <w:rsid w:val="00BF59AC"/>
    <w:rsid w:val="00BF5B75"/>
    <w:rsid w:val="00BF5BB2"/>
    <w:rsid w:val="00BF5C42"/>
    <w:rsid w:val="00BF5D59"/>
    <w:rsid w:val="00BF5E12"/>
    <w:rsid w:val="00BF5E2A"/>
    <w:rsid w:val="00BF5E3F"/>
    <w:rsid w:val="00BF5E65"/>
    <w:rsid w:val="00BF5EA7"/>
    <w:rsid w:val="00BF5F54"/>
    <w:rsid w:val="00BF601B"/>
    <w:rsid w:val="00BF6067"/>
    <w:rsid w:val="00BF60BB"/>
    <w:rsid w:val="00BF62D7"/>
    <w:rsid w:val="00BF638D"/>
    <w:rsid w:val="00BF6443"/>
    <w:rsid w:val="00BF649B"/>
    <w:rsid w:val="00BF6561"/>
    <w:rsid w:val="00BF6570"/>
    <w:rsid w:val="00BF65F4"/>
    <w:rsid w:val="00BF693A"/>
    <w:rsid w:val="00BF6A1D"/>
    <w:rsid w:val="00BF6AFA"/>
    <w:rsid w:val="00BF6BFF"/>
    <w:rsid w:val="00BF6C43"/>
    <w:rsid w:val="00BF6D7B"/>
    <w:rsid w:val="00BF6E08"/>
    <w:rsid w:val="00BF6E4C"/>
    <w:rsid w:val="00BF6EE8"/>
    <w:rsid w:val="00BF6EF2"/>
    <w:rsid w:val="00BF6F87"/>
    <w:rsid w:val="00BF70F4"/>
    <w:rsid w:val="00BF71E7"/>
    <w:rsid w:val="00BF72E3"/>
    <w:rsid w:val="00BF731B"/>
    <w:rsid w:val="00BF7362"/>
    <w:rsid w:val="00BF73CF"/>
    <w:rsid w:val="00BF7660"/>
    <w:rsid w:val="00BF7678"/>
    <w:rsid w:val="00BF76F1"/>
    <w:rsid w:val="00BF7931"/>
    <w:rsid w:val="00BF796D"/>
    <w:rsid w:val="00BF7ABA"/>
    <w:rsid w:val="00BF7E34"/>
    <w:rsid w:val="00BF7E50"/>
    <w:rsid w:val="00BF7E87"/>
    <w:rsid w:val="00BF7F29"/>
    <w:rsid w:val="00BF7F47"/>
    <w:rsid w:val="00BF7F5E"/>
    <w:rsid w:val="00C00050"/>
    <w:rsid w:val="00C00062"/>
    <w:rsid w:val="00C00187"/>
    <w:rsid w:val="00C0039C"/>
    <w:rsid w:val="00C004F4"/>
    <w:rsid w:val="00C00839"/>
    <w:rsid w:val="00C00880"/>
    <w:rsid w:val="00C008D7"/>
    <w:rsid w:val="00C008EF"/>
    <w:rsid w:val="00C0097F"/>
    <w:rsid w:val="00C00B50"/>
    <w:rsid w:val="00C00C19"/>
    <w:rsid w:val="00C00FB4"/>
    <w:rsid w:val="00C00FDD"/>
    <w:rsid w:val="00C00FEB"/>
    <w:rsid w:val="00C01026"/>
    <w:rsid w:val="00C0108A"/>
    <w:rsid w:val="00C0127A"/>
    <w:rsid w:val="00C012EC"/>
    <w:rsid w:val="00C014C8"/>
    <w:rsid w:val="00C01510"/>
    <w:rsid w:val="00C0151B"/>
    <w:rsid w:val="00C01610"/>
    <w:rsid w:val="00C0191A"/>
    <w:rsid w:val="00C01A4B"/>
    <w:rsid w:val="00C01B83"/>
    <w:rsid w:val="00C01ECB"/>
    <w:rsid w:val="00C01F71"/>
    <w:rsid w:val="00C01FDF"/>
    <w:rsid w:val="00C02058"/>
    <w:rsid w:val="00C020CA"/>
    <w:rsid w:val="00C020DB"/>
    <w:rsid w:val="00C02409"/>
    <w:rsid w:val="00C02500"/>
    <w:rsid w:val="00C0258F"/>
    <w:rsid w:val="00C02638"/>
    <w:rsid w:val="00C026A9"/>
    <w:rsid w:val="00C0273E"/>
    <w:rsid w:val="00C0277E"/>
    <w:rsid w:val="00C02790"/>
    <w:rsid w:val="00C02A0B"/>
    <w:rsid w:val="00C02C20"/>
    <w:rsid w:val="00C02C53"/>
    <w:rsid w:val="00C02CE3"/>
    <w:rsid w:val="00C02E1F"/>
    <w:rsid w:val="00C02E34"/>
    <w:rsid w:val="00C02EAF"/>
    <w:rsid w:val="00C02F80"/>
    <w:rsid w:val="00C030E5"/>
    <w:rsid w:val="00C03149"/>
    <w:rsid w:val="00C031DC"/>
    <w:rsid w:val="00C03326"/>
    <w:rsid w:val="00C03362"/>
    <w:rsid w:val="00C03394"/>
    <w:rsid w:val="00C03453"/>
    <w:rsid w:val="00C034E6"/>
    <w:rsid w:val="00C03525"/>
    <w:rsid w:val="00C03586"/>
    <w:rsid w:val="00C03749"/>
    <w:rsid w:val="00C037A6"/>
    <w:rsid w:val="00C037F3"/>
    <w:rsid w:val="00C038B3"/>
    <w:rsid w:val="00C03A4A"/>
    <w:rsid w:val="00C03E8E"/>
    <w:rsid w:val="00C03F1C"/>
    <w:rsid w:val="00C03F34"/>
    <w:rsid w:val="00C0437D"/>
    <w:rsid w:val="00C04542"/>
    <w:rsid w:val="00C04649"/>
    <w:rsid w:val="00C046E4"/>
    <w:rsid w:val="00C04862"/>
    <w:rsid w:val="00C049CA"/>
    <w:rsid w:val="00C04A6E"/>
    <w:rsid w:val="00C04A76"/>
    <w:rsid w:val="00C04B64"/>
    <w:rsid w:val="00C04B91"/>
    <w:rsid w:val="00C04CCF"/>
    <w:rsid w:val="00C04D3E"/>
    <w:rsid w:val="00C04F9B"/>
    <w:rsid w:val="00C050AF"/>
    <w:rsid w:val="00C050C8"/>
    <w:rsid w:val="00C050E4"/>
    <w:rsid w:val="00C05241"/>
    <w:rsid w:val="00C0548A"/>
    <w:rsid w:val="00C054C5"/>
    <w:rsid w:val="00C05568"/>
    <w:rsid w:val="00C05887"/>
    <w:rsid w:val="00C058F1"/>
    <w:rsid w:val="00C0594F"/>
    <w:rsid w:val="00C05A7A"/>
    <w:rsid w:val="00C05B8A"/>
    <w:rsid w:val="00C05BD6"/>
    <w:rsid w:val="00C05D60"/>
    <w:rsid w:val="00C05DE4"/>
    <w:rsid w:val="00C05E5D"/>
    <w:rsid w:val="00C05E83"/>
    <w:rsid w:val="00C05F0A"/>
    <w:rsid w:val="00C06132"/>
    <w:rsid w:val="00C061BD"/>
    <w:rsid w:val="00C06209"/>
    <w:rsid w:val="00C06246"/>
    <w:rsid w:val="00C06269"/>
    <w:rsid w:val="00C062DE"/>
    <w:rsid w:val="00C06365"/>
    <w:rsid w:val="00C0642B"/>
    <w:rsid w:val="00C0646F"/>
    <w:rsid w:val="00C06525"/>
    <w:rsid w:val="00C066B6"/>
    <w:rsid w:val="00C067FE"/>
    <w:rsid w:val="00C06A51"/>
    <w:rsid w:val="00C06AA1"/>
    <w:rsid w:val="00C06BF7"/>
    <w:rsid w:val="00C06E9D"/>
    <w:rsid w:val="00C06FD2"/>
    <w:rsid w:val="00C07121"/>
    <w:rsid w:val="00C07164"/>
    <w:rsid w:val="00C0732C"/>
    <w:rsid w:val="00C0739B"/>
    <w:rsid w:val="00C073F6"/>
    <w:rsid w:val="00C0745F"/>
    <w:rsid w:val="00C0748A"/>
    <w:rsid w:val="00C074CC"/>
    <w:rsid w:val="00C07550"/>
    <w:rsid w:val="00C07584"/>
    <w:rsid w:val="00C075B2"/>
    <w:rsid w:val="00C075CA"/>
    <w:rsid w:val="00C0769F"/>
    <w:rsid w:val="00C076CC"/>
    <w:rsid w:val="00C07782"/>
    <w:rsid w:val="00C077DB"/>
    <w:rsid w:val="00C077E6"/>
    <w:rsid w:val="00C07815"/>
    <w:rsid w:val="00C078CB"/>
    <w:rsid w:val="00C07907"/>
    <w:rsid w:val="00C0792A"/>
    <w:rsid w:val="00C0795E"/>
    <w:rsid w:val="00C07A06"/>
    <w:rsid w:val="00C07A66"/>
    <w:rsid w:val="00C07B1D"/>
    <w:rsid w:val="00C07C93"/>
    <w:rsid w:val="00C1001C"/>
    <w:rsid w:val="00C10060"/>
    <w:rsid w:val="00C1007D"/>
    <w:rsid w:val="00C10180"/>
    <w:rsid w:val="00C10211"/>
    <w:rsid w:val="00C10311"/>
    <w:rsid w:val="00C1031E"/>
    <w:rsid w:val="00C1032A"/>
    <w:rsid w:val="00C10462"/>
    <w:rsid w:val="00C10485"/>
    <w:rsid w:val="00C1049E"/>
    <w:rsid w:val="00C104FE"/>
    <w:rsid w:val="00C10793"/>
    <w:rsid w:val="00C107CB"/>
    <w:rsid w:val="00C10887"/>
    <w:rsid w:val="00C108EE"/>
    <w:rsid w:val="00C10B08"/>
    <w:rsid w:val="00C10B78"/>
    <w:rsid w:val="00C10C3F"/>
    <w:rsid w:val="00C10C64"/>
    <w:rsid w:val="00C10D88"/>
    <w:rsid w:val="00C10E61"/>
    <w:rsid w:val="00C10E6E"/>
    <w:rsid w:val="00C10EE3"/>
    <w:rsid w:val="00C10F1B"/>
    <w:rsid w:val="00C110E0"/>
    <w:rsid w:val="00C110FF"/>
    <w:rsid w:val="00C11113"/>
    <w:rsid w:val="00C111E5"/>
    <w:rsid w:val="00C1122B"/>
    <w:rsid w:val="00C113F8"/>
    <w:rsid w:val="00C11401"/>
    <w:rsid w:val="00C11416"/>
    <w:rsid w:val="00C115B5"/>
    <w:rsid w:val="00C11701"/>
    <w:rsid w:val="00C1184A"/>
    <w:rsid w:val="00C119F5"/>
    <w:rsid w:val="00C11A13"/>
    <w:rsid w:val="00C11AE9"/>
    <w:rsid w:val="00C11BE5"/>
    <w:rsid w:val="00C11CFC"/>
    <w:rsid w:val="00C11D81"/>
    <w:rsid w:val="00C11D85"/>
    <w:rsid w:val="00C11E21"/>
    <w:rsid w:val="00C11E94"/>
    <w:rsid w:val="00C11EAE"/>
    <w:rsid w:val="00C120B6"/>
    <w:rsid w:val="00C121F1"/>
    <w:rsid w:val="00C1222F"/>
    <w:rsid w:val="00C1238B"/>
    <w:rsid w:val="00C12490"/>
    <w:rsid w:val="00C125D9"/>
    <w:rsid w:val="00C12691"/>
    <w:rsid w:val="00C12991"/>
    <w:rsid w:val="00C12AC2"/>
    <w:rsid w:val="00C12B17"/>
    <w:rsid w:val="00C12C5D"/>
    <w:rsid w:val="00C12C92"/>
    <w:rsid w:val="00C12D22"/>
    <w:rsid w:val="00C12D5D"/>
    <w:rsid w:val="00C13025"/>
    <w:rsid w:val="00C1312D"/>
    <w:rsid w:val="00C132CE"/>
    <w:rsid w:val="00C13925"/>
    <w:rsid w:val="00C13A47"/>
    <w:rsid w:val="00C13CFA"/>
    <w:rsid w:val="00C13E5F"/>
    <w:rsid w:val="00C13F38"/>
    <w:rsid w:val="00C13F5B"/>
    <w:rsid w:val="00C13FAF"/>
    <w:rsid w:val="00C14010"/>
    <w:rsid w:val="00C1403F"/>
    <w:rsid w:val="00C140A8"/>
    <w:rsid w:val="00C14362"/>
    <w:rsid w:val="00C145AD"/>
    <w:rsid w:val="00C14609"/>
    <w:rsid w:val="00C14696"/>
    <w:rsid w:val="00C146CD"/>
    <w:rsid w:val="00C146EA"/>
    <w:rsid w:val="00C147A7"/>
    <w:rsid w:val="00C14870"/>
    <w:rsid w:val="00C149CC"/>
    <w:rsid w:val="00C149CD"/>
    <w:rsid w:val="00C14B70"/>
    <w:rsid w:val="00C14C3C"/>
    <w:rsid w:val="00C14E28"/>
    <w:rsid w:val="00C14E39"/>
    <w:rsid w:val="00C14ECB"/>
    <w:rsid w:val="00C15042"/>
    <w:rsid w:val="00C150E6"/>
    <w:rsid w:val="00C15282"/>
    <w:rsid w:val="00C152F5"/>
    <w:rsid w:val="00C1534B"/>
    <w:rsid w:val="00C1536F"/>
    <w:rsid w:val="00C15401"/>
    <w:rsid w:val="00C15422"/>
    <w:rsid w:val="00C154C7"/>
    <w:rsid w:val="00C15516"/>
    <w:rsid w:val="00C155A7"/>
    <w:rsid w:val="00C155D4"/>
    <w:rsid w:val="00C15634"/>
    <w:rsid w:val="00C156C5"/>
    <w:rsid w:val="00C1582D"/>
    <w:rsid w:val="00C15855"/>
    <w:rsid w:val="00C15937"/>
    <w:rsid w:val="00C15B50"/>
    <w:rsid w:val="00C15B79"/>
    <w:rsid w:val="00C15C7C"/>
    <w:rsid w:val="00C15CA9"/>
    <w:rsid w:val="00C15CBB"/>
    <w:rsid w:val="00C15D21"/>
    <w:rsid w:val="00C15FDC"/>
    <w:rsid w:val="00C16031"/>
    <w:rsid w:val="00C16077"/>
    <w:rsid w:val="00C16096"/>
    <w:rsid w:val="00C160B7"/>
    <w:rsid w:val="00C16137"/>
    <w:rsid w:val="00C161BF"/>
    <w:rsid w:val="00C161CF"/>
    <w:rsid w:val="00C162C0"/>
    <w:rsid w:val="00C163F4"/>
    <w:rsid w:val="00C16414"/>
    <w:rsid w:val="00C164B5"/>
    <w:rsid w:val="00C164BB"/>
    <w:rsid w:val="00C164DC"/>
    <w:rsid w:val="00C16623"/>
    <w:rsid w:val="00C16673"/>
    <w:rsid w:val="00C169E6"/>
    <w:rsid w:val="00C16A01"/>
    <w:rsid w:val="00C16B48"/>
    <w:rsid w:val="00C16B6A"/>
    <w:rsid w:val="00C16D9B"/>
    <w:rsid w:val="00C16DC1"/>
    <w:rsid w:val="00C16F5C"/>
    <w:rsid w:val="00C16F71"/>
    <w:rsid w:val="00C16FEF"/>
    <w:rsid w:val="00C1715E"/>
    <w:rsid w:val="00C1722C"/>
    <w:rsid w:val="00C1724C"/>
    <w:rsid w:val="00C17311"/>
    <w:rsid w:val="00C17359"/>
    <w:rsid w:val="00C17370"/>
    <w:rsid w:val="00C174EB"/>
    <w:rsid w:val="00C176AB"/>
    <w:rsid w:val="00C176C3"/>
    <w:rsid w:val="00C176F3"/>
    <w:rsid w:val="00C1770A"/>
    <w:rsid w:val="00C1778D"/>
    <w:rsid w:val="00C17845"/>
    <w:rsid w:val="00C1784F"/>
    <w:rsid w:val="00C178A5"/>
    <w:rsid w:val="00C179B2"/>
    <w:rsid w:val="00C17AE3"/>
    <w:rsid w:val="00C17AEE"/>
    <w:rsid w:val="00C17B15"/>
    <w:rsid w:val="00C17D67"/>
    <w:rsid w:val="00C17E10"/>
    <w:rsid w:val="00C17F31"/>
    <w:rsid w:val="00C17F63"/>
    <w:rsid w:val="00C2005A"/>
    <w:rsid w:val="00C20061"/>
    <w:rsid w:val="00C20199"/>
    <w:rsid w:val="00C202C8"/>
    <w:rsid w:val="00C202FF"/>
    <w:rsid w:val="00C20383"/>
    <w:rsid w:val="00C20396"/>
    <w:rsid w:val="00C203A1"/>
    <w:rsid w:val="00C20461"/>
    <w:rsid w:val="00C20527"/>
    <w:rsid w:val="00C205E4"/>
    <w:rsid w:val="00C205E7"/>
    <w:rsid w:val="00C20770"/>
    <w:rsid w:val="00C20944"/>
    <w:rsid w:val="00C20A2B"/>
    <w:rsid w:val="00C20A33"/>
    <w:rsid w:val="00C20AD6"/>
    <w:rsid w:val="00C20B8A"/>
    <w:rsid w:val="00C20C5F"/>
    <w:rsid w:val="00C20E4D"/>
    <w:rsid w:val="00C20F1C"/>
    <w:rsid w:val="00C20F6B"/>
    <w:rsid w:val="00C210BB"/>
    <w:rsid w:val="00C212A1"/>
    <w:rsid w:val="00C212AA"/>
    <w:rsid w:val="00C212B3"/>
    <w:rsid w:val="00C212EE"/>
    <w:rsid w:val="00C212FA"/>
    <w:rsid w:val="00C213DF"/>
    <w:rsid w:val="00C21483"/>
    <w:rsid w:val="00C214D8"/>
    <w:rsid w:val="00C2166F"/>
    <w:rsid w:val="00C216BD"/>
    <w:rsid w:val="00C217BD"/>
    <w:rsid w:val="00C2180C"/>
    <w:rsid w:val="00C21B6A"/>
    <w:rsid w:val="00C21B78"/>
    <w:rsid w:val="00C21BB1"/>
    <w:rsid w:val="00C21BF3"/>
    <w:rsid w:val="00C21C82"/>
    <w:rsid w:val="00C21DDD"/>
    <w:rsid w:val="00C22130"/>
    <w:rsid w:val="00C22136"/>
    <w:rsid w:val="00C22200"/>
    <w:rsid w:val="00C2232E"/>
    <w:rsid w:val="00C2236E"/>
    <w:rsid w:val="00C22397"/>
    <w:rsid w:val="00C22456"/>
    <w:rsid w:val="00C22621"/>
    <w:rsid w:val="00C226FF"/>
    <w:rsid w:val="00C22785"/>
    <w:rsid w:val="00C2284A"/>
    <w:rsid w:val="00C228DE"/>
    <w:rsid w:val="00C2299E"/>
    <w:rsid w:val="00C22A49"/>
    <w:rsid w:val="00C22BB5"/>
    <w:rsid w:val="00C22C56"/>
    <w:rsid w:val="00C22D21"/>
    <w:rsid w:val="00C22D3B"/>
    <w:rsid w:val="00C22E44"/>
    <w:rsid w:val="00C22F9A"/>
    <w:rsid w:val="00C230C1"/>
    <w:rsid w:val="00C2334D"/>
    <w:rsid w:val="00C23423"/>
    <w:rsid w:val="00C234A8"/>
    <w:rsid w:val="00C23646"/>
    <w:rsid w:val="00C2366E"/>
    <w:rsid w:val="00C2368A"/>
    <w:rsid w:val="00C237C9"/>
    <w:rsid w:val="00C23916"/>
    <w:rsid w:val="00C23A76"/>
    <w:rsid w:val="00C23B27"/>
    <w:rsid w:val="00C23B6D"/>
    <w:rsid w:val="00C23BED"/>
    <w:rsid w:val="00C23D65"/>
    <w:rsid w:val="00C23D67"/>
    <w:rsid w:val="00C23EBC"/>
    <w:rsid w:val="00C23F1C"/>
    <w:rsid w:val="00C23FCC"/>
    <w:rsid w:val="00C240AC"/>
    <w:rsid w:val="00C240CA"/>
    <w:rsid w:val="00C2410A"/>
    <w:rsid w:val="00C2411D"/>
    <w:rsid w:val="00C2416F"/>
    <w:rsid w:val="00C24272"/>
    <w:rsid w:val="00C24404"/>
    <w:rsid w:val="00C24566"/>
    <w:rsid w:val="00C2469B"/>
    <w:rsid w:val="00C24737"/>
    <w:rsid w:val="00C247A1"/>
    <w:rsid w:val="00C247D7"/>
    <w:rsid w:val="00C2488A"/>
    <w:rsid w:val="00C24987"/>
    <w:rsid w:val="00C24A52"/>
    <w:rsid w:val="00C24A58"/>
    <w:rsid w:val="00C24A92"/>
    <w:rsid w:val="00C24ABD"/>
    <w:rsid w:val="00C24CFF"/>
    <w:rsid w:val="00C24E71"/>
    <w:rsid w:val="00C24F00"/>
    <w:rsid w:val="00C25091"/>
    <w:rsid w:val="00C25144"/>
    <w:rsid w:val="00C251BE"/>
    <w:rsid w:val="00C251CB"/>
    <w:rsid w:val="00C25266"/>
    <w:rsid w:val="00C252F9"/>
    <w:rsid w:val="00C2540E"/>
    <w:rsid w:val="00C254EA"/>
    <w:rsid w:val="00C25551"/>
    <w:rsid w:val="00C25586"/>
    <w:rsid w:val="00C25650"/>
    <w:rsid w:val="00C2566F"/>
    <w:rsid w:val="00C256C5"/>
    <w:rsid w:val="00C25879"/>
    <w:rsid w:val="00C25969"/>
    <w:rsid w:val="00C259FA"/>
    <w:rsid w:val="00C25A4E"/>
    <w:rsid w:val="00C25A9C"/>
    <w:rsid w:val="00C25B13"/>
    <w:rsid w:val="00C25B23"/>
    <w:rsid w:val="00C25E8E"/>
    <w:rsid w:val="00C25E90"/>
    <w:rsid w:val="00C25F65"/>
    <w:rsid w:val="00C2601C"/>
    <w:rsid w:val="00C261C0"/>
    <w:rsid w:val="00C26222"/>
    <w:rsid w:val="00C2630B"/>
    <w:rsid w:val="00C263DA"/>
    <w:rsid w:val="00C26523"/>
    <w:rsid w:val="00C26702"/>
    <w:rsid w:val="00C26754"/>
    <w:rsid w:val="00C2680D"/>
    <w:rsid w:val="00C26874"/>
    <w:rsid w:val="00C2690A"/>
    <w:rsid w:val="00C2693C"/>
    <w:rsid w:val="00C26C18"/>
    <w:rsid w:val="00C26D24"/>
    <w:rsid w:val="00C2707F"/>
    <w:rsid w:val="00C27152"/>
    <w:rsid w:val="00C2716E"/>
    <w:rsid w:val="00C27222"/>
    <w:rsid w:val="00C27385"/>
    <w:rsid w:val="00C27546"/>
    <w:rsid w:val="00C2756A"/>
    <w:rsid w:val="00C279AE"/>
    <w:rsid w:val="00C27A44"/>
    <w:rsid w:val="00C27BBF"/>
    <w:rsid w:val="00C27BC8"/>
    <w:rsid w:val="00C27C20"/>
    <w:rsid w:val="00C27CD3"/>
    <w:rsid w:val="00C27E80"/>
    <w:rsid w:val="00C27F3F"/>
    <w:rsid w:val="00C27FAB"/>
    <w:rsid w:val="00C27FDD"/>
    <w:rsid w:val="00C30108"/>
    <w:rsid w:val="00C301C8"/>
    <w:rsid w:val="00C30248"/>
    <w:rsid w:val="00C3038E"/>
    <w:rsid w:val="00C304DD"/>
    <w:rsid w:val="00C30656"/>
    <w:rsid w:val="00C307D8"/>
    <w:rsid w:val="00C308B2"/>
    <w:rsid w:val="00C30969"/>
    <w:rsid w:val="00C30979"/>
    <w:rsid w:val="00C309A5"/>
    <w:rsid w:val="00C30A9E"/>
    <w:rsid w:val="00C30AEC"/>
    <w:rsid w:val="00C30C2B"/>
    <w:rsid w:val="00C30DC7"/>
    <w:rsid w:val="00C30E5D"/>
    <w:rsid w:val="00C30E9C"/>
    <w:rsid w:val="00C30EB8"/>
    <w:rsid w:val="00C30F36"/>
    <w:rsid w:val="00C30F69"/>
    <w:rsid w:val="00C31052"/>
    <w:rsid w:val="00C31250"/>
    <w:rsid w:val="00C312B7"/>
    <w:rsid w:val="00C3148D"/>
    <w:rsid w:val="00C314B3"/>
    <w:rsid w:val="00C314CC"/>
    <w:rsid w:val="00C315A7"/>
    <w:rsid w:val="00C31663"/>
    <w:rsid w:val="00C316A1"/>
    <w:rsid w:val="00C31798"/>
    <w:rsid w:val="00C31851"/>
    <w:rsid w:val="00C31859"/>
    <w:rsid w:val="00C31895"/>
    <w:rsid w:val="00C318DC"/>
    <w:rsid w:val="00C31911"/>
    <w:rsid w:val="00C31A76"/>
    <w:rsid w:val="00C31C90"/>
    <w:rsid w:val="00C31DA4"/>
    <w:rsid w:val="00C31ED3"/>
    <w:rsid w:val="00C31F2F"/>
    <w:rsid w:val="00C320FF"/>
    <w:rsid w:val="00C32295"/>
    <w:rsid w:val="00C322D0"/>
    <w:rsid w:val="00C322E6"/>
    <w:rsid w:val="00C32307"/>
    <w:rsid w:val="00C32330"/>
    <w:rsid w:val="00C3254C"/>
    <w:rsid w:val="00C32592"/>
    <w:rsid w:val="00C327EB"/>
    <w:rsid w:val="00C32B43"/>
    <w:rsid w:val="00C32B4E"/>
    <w:rsid w:val="00C32CFE"/>
    <w:rsid w:val="00C32D58"/>
    <w:rsid w:val="00C32E9A"/>
    <w:rsid w:val="00C32F3A"/>
    <w:rsid w:val="00C32FE4"/>
    <w:rsid w:val="00C33101"/>
    <w:rsid w:val="00C33108"/>
    <w:rsid w:val="00C3313D"/>
    <w:rsid w:val="00C3329E"/>
    <w:rsid w:val="00C332E6"/>
    <w:rsid w:val="00C33300"/>
    <w:rsid w:val="00C3336E"/>
    <w:rsid w:val="00C33474"/>
    <w:rsid w:val="00C334A9"/>
    <w:rsid w:val="00C334F6"/>
    <w:rsid w:val="00C3356C"/>
    <w:rsid w:val="00C336DA"/>
    <w:rsid w:val="00C336E7"/>
    <w:rsid w:val="00C3383A"/>
    <w:rsid w:val="00C33984"/>
    <w:rsid w:val="00C339A0"/>
    <w:rsid w:val="00C339BB"/>
    <w:rsid w:val="00C339F6"/>
    <w:rsid w:val="00C33A25"/>
    <w:rsid w:val="00C33B10"/>
    <w:rsid w:val="00C33B20"/>
    <w:rsid w:val="00C33BA4"/>
    <w:rsid w:val="00C33D31"/>
    <w:rsid w:val="00C33E66"/>
    <w:rsid w:val="00C33F03"/>
    <w:rsid w:val="00C33F3D"/>
    <w:rsid w:val="00C33F93"/>
    <w:rsid w:val="00C33FE4"/>
    <w:rsid w:val="00C34075"/>
    <w:rsid w:val="00C34140"/>
    <w:rsid w:val="00C34179"/>
    <w:rsid w:val="00C34280"/>
    <w:rsid w:val="00C34520"/>
    <w:rsid w:val="00C347D2"/>
    <w:rsid w:val="00C3497A"/>
    <w:rsid w:val="00C34ABD"/>
    <w:rsid w:val="00C34AF8"/>
    <w:rsid w:val="00C34AFF"/>
    <w:rsid w:val="00C34CAF"/>
    <w:rsid w:val="00C34D03"/>
    <w:rsid w:val="00C34DA9"/>
    <w:rsid w:val="00C34E1B"/>
    <w:rsid w:val="00C34E1F"/>
    <w:rsid w:val="00C34FBB"/>
    <w:rsid w:val="00C35084"/>
    <w:rsid w:val="00C350B3"/>
    <w:rsid w:val="00C3520F"/>
    <w:rsid w:val="00C35419"/>
    <w:rsid w:val="00C35463"/>
    <w:rsid w:val="00C3546E"/>
    <w:rsid w:val="00C3547C"/>
    <w:rsid w:val="00C35533"/>
    <w:rsid w:val="00C35585"/>
    <w:rsid w:val="00C35636"/>
    <w:rsid w:val="00C3582D"/>
    <w:rsid w:val="00C35B76"/>
    <w:rsid w:val="00C35C63"/>
    <w:rsid w:val="00C35CE6"/>
    <w:rsid w:val="00C35F45"/>
    <w:rsid w:val="00C35F53"/>
    <w:rsid w:val="00C35F9A"/>
    <w:rsid w:val="00C35FB2"/>
    <w:rsid w:val="00C362FE"/>
    <w:rsid w:val="00C3633D"/>
    <w:rsid w:val="00C36430"/>
    <w:rsid w:val="00C36496"/>
    <w:rsid w:val="00C364C2"/>
    <w:rsid w:val="00C365A1"/>
    <w:rsid w:val="00C365CD"/>
    <w:rsid w:val="00C36AEA"/>
    <w:rsid w:val="00C36BA7"/>
    <w:rsid w:val="00C36E72"/>
    <w:rsid w:val="00C36F81"/>
    <w:rsid w:val="00C3701F"/>
    <w:rsid w:val="00C370D5"/>
    <w:rsid w:val="00C37137"/>
    <w:rsid w:val="00C372A0"/>
    <w:rsid w:val="00C37334"/>
    <w:rsid w:val="00C37376"/>
    <w:rsid w:val="00C373C4"/>
    <w:rsid w:val="00C374FF"/>
    <w:rsid w:val="00C37649"/>
    <w:rsid w:val="00C3775B"/>
    <w:rsid w:val="00C3781C"/>
    <w:rsid w:val="00C37915"/>
    <w:rsid w:val="00C37C92"/>
    <w:rsid w:val="00C37D00"/>
    <w:rsid w:val="00C37D29"/>
    <w:rsid w:val="00C37D6B"/>
    <w:rsid w:val="00C37DCB"/>
    <w:rsid w:val="00C37E46"/>
    <w:rsid w:val="00C37E49"/>
    <w:rsid w:val="00C37F09"/>
    <w:rsid w:val="00C401C6"/>
    <w:rsid w:val="00C4034F"/>
    <w:rsid w:val="00C40397"/>
    <w:rsid w:val="00C4048A"/>
    <w:rsid w:val="00C40556"/>
    <w:rsid w:val="00C40591"/>
    <w:rsid w:val="00C405FE"/>
    <w:rsid w:val="00C40611"/>
    <w:rsid w:val="00C40661"/>
    <w:rsid w:val="00C407E0"/>
    <w:rsid w:val="00C4082D"/>
    <w:rsid w:val="00C4089F"/>
    <w:rsid w:val="00C408AA"/>
    <w:rsid w:val="00C40940"/>
    <w:rsid w:val="00C409DB"/>
    <w:rsid w:val="00C40A45"/>
    <w:rsid w:val="00C40AB6"/>
    <w:rsid w:val="00C40B54"/>
    <w:rsid w:val="00C40B81"/>
    <w:rsid w:val="00C40BDD"/>
    <w:rsid w:val="00C40C06"/>
    <w:rsid w:val="00C40C1E"/>
    <w:rsid w:val="00C40CAA"/>
    <w:rsid w:val="00C40D9B"/>
    <w:rsid w:val="00C40E13"/>
    <w:rsid w:val="00C40E3C"/>
    <w:rsid w:val="00C40E74"/>
    <w:rsid w:val="00C40EEC"/>
    <w:rsid w:val="00C40EF5"/>
    <w:rsid w:val="00C4115E"/>
    <w:rsid w:val="00C412A7"/>
    <w:rsid w:val="00C412FE"/>
    <w:rsid w:val="00C4131F"/>
    <w:rsid w:val="00C41390"/>
    <w:rsid w:val="00C414C8"/>
    <w:rsid w:val="00C4157F"/>
    <w:rsid w:val="00C41581"/>
    <w:rsid w:val="00C416CD"/>
    <w:rsid w:val="00C41737"/>
    <w:rsid w:val="00C417E5"/>
    <w:rsid w:val="00C418B5"/>
    <w:rsid w:val="00C41A8F"/>
    <w:rsid w:val="00C41E60"/>
    <w:rsid w:val="00C41EA2"/>
    <w:rsid w:val="00C421DF"/>
    <w:rsid w:val="00C42298"/>
    <w:rsid w:val="00C422BE"/>
    <w:rsid w:val="00C4230E"/>
    <w:rsid w:val="00C4240D"/>
    <w:rsid w:val="00C42487"/>
    <w:rsid w:val="00C424B0"/>
    <w:rsid w:val="00C424CA"/>
    <w:rsid w:val="00C42556"/>
    <w:rsid w:val="00C42632"/>
    <w:rsid w:val="00C4263F"/>
    <w:rsid w:val="00C4265D"/>
    <w:rsid w:val="00C426E8"/>
    <w:rsid w:val="00C42730"/>
    <w:rsid w:val="00C427D2"/>
    <w:rsid w:val="00C42939"/>
    <w:rsid w:val="00C42A87"/>
    <w:rsid w:val="00C42D3C"/>
    <w:rsid w:val="00C42D6E"/>
    <w:rsid w:val="00C42E19"/>
    <w:rsid w:val="00C42E20"/>
    <w:rsid w:val="00C4312D"/>
    <w:rsid w:val="00C431CB"/>
    <w:rsid w:val="00C434F7"/>
    <w:rsid w:val="00C43654"/>
    <w:rsid w:val="00C436C7"/>
    <w:rsid w:val="00C436FB"/>
    <w:rsid w:val="00C437B2"/>
    <w:rsid w:val="00C4387B"/>
    <w:rsid w:val="00C43891"/>
    <w:rsid w:val="00C4391C"/>
    <w:rsid w:val="00C4399C"/>
    <w:rsid w:val="00C439BF"/>
    <w:rsid w:val="00C43C7A"/>
    <w:rsid w:val="00C43CEA"/>
    <w:rsid w:val="00C43FB6"/>
    <w:rsid w:val="00C43FDC"/>
    <w:rsid w:val="00C440B7"/>
    <w:rsid w:val="00C4414C"/>
    <w:rsid w:val="00C4418C"/>
    <w:rsid w:val="00C441F0"/>
    <w:rsid w:val="00C4436D"/>
    <w:rsid w:val="00C44428"/>
    <w:rsid w:val="00C44454"/>
    <w:rsid w:val="00C44557"/>
    <w:rsid w:val="00C4470D"/>
    <w:rsid w:val="00C447AD"/>
    <w:rsid w:val="00C44931"/>
    <w:rsid w:val="00C44959"/>
    <w:rsid w:val="00C4498F"/>
    <w:rsid w:val="00C449B1"/>
    <w:rsid w:val="00C44A1F"/>
    <w:rsid w:val="00C44A28"/>
    <w:rsid w:val="00C44A62"/>
    <w:rsid w:val="00C44A7B"/>
    <w:rsid w:val="00C44A7C"/>
    <w:rsid w:val="00C44A96"/>
    <w:rsid w:val="00C44B22"/>
    <w:rsid w:val="00C44C13"/>
    <w:rsid w:val="00C44CD3"/>
    <w:rsid w:val="00C44E08"/>
    <w:rsid w:val="00C44E20"/>
    <w:rsid w:val="00C44FA0"/>
    <w:rsid w:val="00C44FA3"/>
    <w:rsid w:val="00C45049"/>
    <w:rsid w:val="00C45072"/>
    <w:rsid w:val="00C452BE"/>
    <w:rsid w:val="00C452F8"/>
    <w:rsid w:val="00C45344"/>
    <w:rsid w:val="00C45348"/>
    <w:rsid w:val="00C4544C"/>
    <w:rsid w:val="00C454EE"/>
    <w:rsid w:val="00C455F0"/>
    <w:rsid w:val="00C45669"/>
    <w:rsid w:val="00C4581D"/>
    <w:rsid w:val="00C45874"/>
    <w:rsid w:val="00C459A9"/>
    <w:rsid w:val="00C45A47"/>
    <w:rsid w:val="00C45B59"/>
    <w:rsid w:val="00C45C78"/>
    <w:rsid w:val="00C45CA4"/>
    <w:rsid w:val="00C45FE0"/>
    <w:rsid w:val="00C46211"/>
    <w:rsid w:val="00C463C1"/>
    <w:rsid w:val="00C46469"/>
    <w:rsid w:val="00C465E8"/>
    <w:rsid w:val="00C46614"/>
    <w:rsid w:val="00C46627"/>
    <w:rsid w:val="00C4667C"/>
    <w:rsid w:val="00C46684"/>
    <w:rsid w:val="00C466C3"/>
    <w:rsid w:val="00C466C7"/>
    <w:rsid w:val="00C46849"/>
    <w:rsid w:val="00C468AA"/>
    <w:rsid w:val="00C46BA5"/>
    <w:rsid w:val="00C46C3B"/>
    <w:rsid w:val="00C46C52"/>
    <w:rsid w:val="00C46C6D"/>
    <w:rsid w:val="00C46C7E"/>
    <w:rsid w:val="00C46D1A"/>
    <w:rsid w:val="00C46DBB"/>
    <w:rsid w:val="00C46E79"/>
    <w:rsid w:val="00C46EAB"/>
    <w:rsid w:val="00C47248"/>
    <w:rsid w:val="00C4724B"/>
    <w:rsid w:val="00C47617"/>
    <w:rsid w:val="00C4761C"/>
    <w:rsid w:val="00C47649"/>
    <w:rsid w:val="00C478E2"/>
    <w:rsid w:val="00C478E8"/>
    <w:rsid w:val="00C4796E"/>
    <w:rsid w:val="00C479B3"/>
    <w:rsid w:val="00C47ACC"/>
    <w:rsid w:val="00C47B02"/>
    <w:rsid w:val="00C47B13"/>
    <w:rsid w:val="00C47CE5"/>
    <w:rsid w:val="00C47D19"/>
    <w:rsid w:val="00C47E75"/>
    <w:rsid w:val="00C47E8F"/>
    <w:rsid w:val="00C47F47"/>
    <w:rsid w:val="00C47FB3"/>
    <w:rsid w:val="00C5009E"/>
    <w:rsid w:val="00C503C3"/>
    <w:rsid w:val="00C5047B"/>
    <w:rsid w:val="00C505FE"/>
    <w:rsid w:val="00C5066A"/>
    <w:rsid w:val="00C506CF"/>
    <w:rsid w:val="00C507E9"/>
    <w:rsid w:val="00C5085F"/>
    <w:rsid w:val="00C5089B"/>
    <w:rsid w:val="00C50911"/>
    <w:rsid w:val="00C50986"/>
    <w:rsid w:val="00C50C0A"/>
    <w:rsid w:val="00C50C61"/>
    <w:rsid w:val="00C50C73"/>
    <w:rsid w:val="00C50DE4"/>
    <w:rsid w:val="00C50E3D"/>
    <w:rsid w:val="00C50EC1"/>
    <w:rsid w:val="00C50F2F"/>
    <w:rsid w:val="00C511A9"/>
    <w:rsid w:val="00C51220"/>
    <w:rsid w:val="00C5123E"/>
    <w:rsid w:val="00C512BC"/>
    <w:rsid w:val="00C51304"/>
    <w:rsid w:val="00C513FA"/>
    <w:rsid w:val="00C517EC"/>
    <w:rsid w:val="00C51A31"/>
    <w:rsid w:val="00C51A49"/>
    <w:rsid w:val="00C51D59"/>
    <w:rsid w:val="00C51E69"/>
    <w:rsid w:val="00C51F8F"/>
    <w:rsid w:val="00C52157"/>
    <w:rsid w:val="00C52557"/>
    <w:rsid w:val="00C525EA"/>
    <w:rsid w:val="00C5266E"/>
    <w:rsid w:val="00C5269E"/>
    <w:rsid w:val="00C526EA"/>
    <w:rsid w:val="00C52981"/>
    <w:rsid w:val="00C529B3"/>
    <w:rsid w:val="00C52ABF"/>
    <w:rsid w:val="00C52B04"/>
    <w:rsid w:val="00C52C9E"/>
    <w:rsid w:val="00C52D48"/>
    <w:rsid w:val="00C52D4D"/>
    <w:rsid w:val="00C52D7D"/>
    <w:rsid w:val="00C52DEE"/>
    <w:rsid w:val="00C52E52"/>
    <w:rsid w:val="00C52F37"/>
    <w:rsid w:val="00C52F6E"/>
    <w:rsid w:val="00C52FF8"/>
    <w:rsid w:val="00C5301A"/>
    <w:rsid w:val="00C53099"/>
    <w:rsid w:val="00C530E6"/>
    <w:rsid w:val="00C531ED"/>
    <w:rsid w:val="00C5324A"/>
    <w:rsid w:val="00C53341"/>
    <w:rsid w:val="00C533A5"/>
    <w:rsid w:val="00C53425"/>
    <w:rsid w:val="00C534AE"/>
    <w:rsid w:val="00C5379B"/>
    <w:rsid w:val="00C53A55"/>
    <w:rsid w:val="00C53B44"/>
    <w:rsid w:val="00C53BED"/>
    <w:rsid w:val="00C53BF2"/>
    <w:rsid w:val="00C53C7D"/>
    <w:rsid w:val="00C53C8D"/>
    <w:rsid w:val="00C53EA8"/>
    <w:rsid w:val="00C53EAA"/>
    <w:rsid w:val="00C53F30"/>
    <w:rsid w:val="00C53F91"/>
    <w:rsid w:val="00C54149"/>
    <w:rsid w:val="00C54303"/>
    <w:rsid w:val="00C543D0"/>
    <w:rsid w:val="00C54488"/>
    <w:rsid w:val="00C5474A"/>
    <w:rsid w:val="00C5496D"/>
    <w:rsid w:val="00C5498D"/>
    <w:rsid w:val="00C5499A"/>
    <w:rsid w:val="00C54A32"/>
    <w:rsid w:val="00C54A4E"/>
    <w:rsid w:val="00C54B50"/>
    <w:rsid w:val="00C54BA3"/>
    <w:rsid w:val="00C54C8D"/>
    <w:rsid w:val="00C54CA5"/>
    <w:rsid w:val="00C54D1F"/>
    <w:rsid w:val="00C54D24"/>
    <w:rsid w:val="00C54D57"/>
    <w:rsid w:val="00C54D64"/>
    <w:rsid w:val="00C54F85"/>
    <w:rsid w:val="00C5523C"/>
    <w:rsid w:val="00C552FA"/>
    <w:rsid w:val="00C5532C"/>
    <w:rsid w:val="00C555A8"/>
    <w:rsid w:val="00C555EE"/>
    <w:rsid w:val="00C5566D"/>
    <w:rsid w:val="00C556F7"/>
    <w:rsid w:val="00C55811"/>
    <w:rsid w:val="00C559DC"/>
    <w:rsid w:val="00C55A3F"/>
    <w:rsid w:val="00C55AD9"/>
    <w:rsid w:val="00C55B4D"/>
    <w:rsid w:val="00C55C75"/>
    <w:rsid w:val="00C55CAD"/>
    <w:rsid w:val="00C55D2D"/>
    <w:rsid w:val="00C55D4A"/>
    <w:rsid w:val="00C55D79"/>
    <w:rsid w:val="00C561E0"/>
    <w:rsid w:val="00C56390"/>
    <w:rsid w:val="00C56457"/>
    <w:rsid w:val="00C56502"/>
    <w:rsid w:val="00C568DE"/>
    <w:rsid w:val="00C56A59"/>
    <w:rsid w:val="00C56BDB"/>
    <w:rsid w:val="00C56CF7"/>
    <w:rsid w:val="00C56D44"/>
    <w:rsid w:val="00C56ED0"/>
    <w:rsid w:val="00C56F8C"/>
    <w:rsid w:val="00C56FBF"/>
    <w:rsid w:val="00C56FE6"/>
    <w:rsid w:val="00C57076"/>
    <w:rsid w:val="00C570C7"/>
    <w:rsid w:val="00C57146"/>
    <w:rsid w:val="00C57244"/>
    <w:rsid w:val="00C57679"/>
    <w:rsid w:val="00C57788"/>
    <w:rsid w:val="00C578AE"/>
    <w:rsid w:val="00C578B6"/>
    <w:rsid w:val="00C57A11"/>
    <w:rsid w:val="00C57A37"/>
    <w:rsid w:val="00C57AA6"/>
    <w:rsid w:val="00C57BC3"/>
    <w:rsid w:val="00C57C92"/>
    <w:rsid w:val="00C57D21"/>
    <w:rsid w:val="00C57D4C"/>
    <w:rsid w:val="00C57E0D"/>
    <w:rsid w:val="00C600D7"/>
    <w:rsid w:val="00C60273"/>
    <w:rsid w:val="00C6032F"/>
    <w:rsid w:val="00C607D4"/>
    <w:rsid w:val="00C607E6"/>
    <w:rsid w:val="00C6080D"/>
    <w:rsid w:val="00C6084E"/>
    <w:rsid w:val="00C608FD"/>
    <w:rsid w:val="00C60A70"/>
    <w:rsid w:val="00C60CD1"/>
    <w:rsid w:val="00C60D57"/>
    <w:rsid w:val="00C61313"/>
    <w:rsid w:val="00C61901"/>
    <w:rsid w:val="00C61928"/>
    <w:rsid w:val="00C6193C"/>
    <w:rsid w:val="00C61A2F"/>
    <w:rsid w:val="00C61AD9"/>
    <w:rsid w:val="00C61C73"/>
    <w:rsid w:val="00C61D38"/>
    <w:rsid w:val="00C61E04"/>
    <w:rsid w:val="00C61EF9"/>
    <w:rsid w:val="00C61F33"/>
    <w:rsid w:val="00C620D6"/>
    <w:rsid w:val="00C6218E"/>
    <w:rsid w:val="00C6219C"/>
    <w:rsid w:val="00C6224B"/>
    <w:rsid w:val="00C6241C"/>
    <w:rsid w:val="00C62457"/>
    <w:rsid w:val="00C6247E"/>
    <w:rsid w:val="00C625F0"/>
    <w:rsid w:val="00C625F2"/>
    <w:rsid w:val="00C6262A"/>
    <w:rsid w:val="00C62AA3"/>
    <w:rsid w:val="00C62D90"/>
    <w:rsid w:val="00C6301C"/>
    <w:rsid w:val="00C63063"/>
    <w:rsid w:val="00C630B9"/>
    <w:rsid w:val="00C6324A"/>
    <w:rsid w:val="00C6325C"/>
    <w:rsid w:val="00C63294"/>
    <w:rsid w:val="00C632B6"/>
    <w:rsid w:val="00C63385"/>
    <w:rsid w:val="00C63388"/>
    <w:rsid w:val="00C63481"/>
    <w:rsid w:val="00C6390E"/>
    <w:rsid w:val="00C639EB"/>
    <w:rsid w:val="00C63AED"/>
    <w:rsid w:val="00C63BE3"/>
    <w:rsid w:val="00C63F7C"/>
    <w:rsid w:val="00C63F82"/>
    <w:rsid w:val="00C63F8D"/>
    <w:rsid w:val="00C6404B"/>
    <w:rsid w:val="00C64334"/>
    <w:rsid w:val="00C64352"/>
    <w:rsid w:val="00C6440B"/>
    <w:rsid w:val="00C6440E"/>
    <w:rsid w:val="00C64439"/>
    <w:rsid w:val="00C644D0"/>
    <w:rsid w:val="00C645BB"/>
    <w:rsid w:val="00C645FE"/>
    <w:rsid w:val="00C64710"/>
    <w:rsid w:val="00C64741"/>
    <w:rsid w:val="00C64798"/>
    <w:rsid w:val="00C648FA"/>
    <w:rsid w:val="00C64A6F"/>
    <w:rsid w:val="00C64A80"/>
    <w:rsid w:val="00C64AD2"/>
    <w:rsid w:val="00C64B27"/>
    <w:rsid w:val="00C64B7A"/>
    <w:rsid w:val="00C64C20"/>
    <w:rsid w:val="00C64CDB"/>
    <w:rsid w:val="00C64DB8"/>
    <w:rsid w:val="00C64FD4"/>
    <w:rsid w:val="00C64FDA"/>
    <w:rsid w:val="00C65025"/>
    <w:rsid w:val="00C651D2"/>
    <w:rsid w:val="00C6530B"/>
    <w:rsid w:val="00C65326"/>
    <w:rsid w:val="00C654D2"/>
    <w:rsid w:val="00C65570"/>
    <w:rsid w:val="00C655CC"/>
    <w:rsid w:val="00C6563F"/>
    <w:rsid w:val="00C656A5"/>
    <w:rsid w:val="00C65714"/>
    <w:rsid w:val="00C6584B"/>
    <w:rsid w:val="00C658C9"/>
    <w:rsid w:val="00C65A1B"/>
    <w:rsid w:val="00C65A36"/>
    <w:rsid w:val="00C65AC6"/>
    <w:rsid w:val="00C65C30"/>
    <w:rsid w:val="00C65CA6"/>
    <w:rsid w:val="00C65F05"/>
    <w:rsid w:val="00C661EA"/>
    <w:rsid w:val="00C6626F"/>
    <w:rsid w:val="00C66380"/>
    <w:rsid w:val="00C66386"/>
    <w:rsid w:val="00C66392"/>
    <w:rsid w:val="00C664A3"/>
    <w:rsid w:val="00C66540"/>
    <w:rsid w:val="00C66853"/>
    <w:rsid w:val="00C6685D"/>
    <w:rsid w:val="00C668D4"/>
    <w:rsid w:val="00C669A1"/>
    <w:rsid w:val="00C66A30"/>
    <w:rsid w:val="00C66C0B"/>
    <w:rsid w:val="00C66C48"/>
    <w:rsid w:val="00C66C71"/>
    <w:rsid w:val="00C66FE5"/>
    <w:rsid w:val="00C670E7"/>
    <w:rsid w:val="00C674B5"/>
    <w:rsid w:val="00C6751F"/>
    <w:rsid w:val="00C675F1"/>
    <w:rsid w:val="00C6777D"/>
    <w:rsid w:val="00C677CF"/>
    <w:rsid w:val="00C6786A"/>
    <w:rsid w:val="00C678E6"/>
    <w:rsid w:val="00C679B7"/>
    <w:rsid w:val="00C67C58"/>
    <w:rsid w:val="00C67D85"/>
    <w:rsid w:val="00C67E32"/>
    <w:rsid w:val="00C700BA"/>
    <w:rsid w:val="00C7024D"/>
    <w:rsid w:val="00C7035D"/>
    <w:rsid w:val="00C70380"/>
    <w:rsid w:val="00C7043E"/>
    <w:rsid w:val="00C70459"/>
    <w:rsid w:val="00C704A0"/>
    <w:rsid w:val="00C704CF"/>
    <w:rsid w:val="00C70504"/>
    <w:rsid w:val="00C70596"/>
    <w:rsid w:val="00C7078A"/>
    <w:rsid w:val="00C708A7"/>
    <w:rsid w:val="00C70AC3"/>
    <w:rsid w:val="00C70B47"/>
    <w:rsid w:val="00C70DA8"/>
    <w:rsid w:val="00C70E49"/>
    <w:rsid w:val="00C70E77"/>
    <w:rsid w:val="00C710C9"/>
    <w:rsid w:val="00C710D5"/>
    <w:rsid w:val="00C71188"/>
    <w:rsid w:val="00C71285"/>
    <w:rsid w:val="00C712B2"/>
    <w:rsid w:val="00C7147A"/>
    <w:rsid w:val="00C71534"/>
    <w:rsid w:val="00C717B4"/>
    <w:rsid w:val="00C718CA"/>
    <w:rsid w:val="00C71960"/>
    <w:rsid w:val="00C719FB"/>
    <w:rsid w:val="00C71AD6"/>
    <w:rsid w:val="00C71BCE"/>
    <w:rsid w:val="00C71DC5"/>
    <w:rsid w:val="00C71E33"/>
    <w:rsid w:val="00C71E83"/>
    <w:rsid w:val="00C71F21"/>
    <w:rsid w:val="00C71F9B"/>
    <w:rsid w:val="00C72127"/>
    <w:rsid w:val="00C721F5"/>
    <w:rsid w:val="00C72261"/>
    <w:rsid w:val="00C7226D"/>
    <w:rsid w:val="00C72354"/>
    <w:rsid w:val="00C723DA"/>
    <w:rsid w:val="00C7241A"/>
    <w:rsid w:val="00C72449"/>
    <w:rsid w:val="00C7244D"/>
    <w:rsid w:val="00C724E7"/>
    <w:rsid w:val="00C72822"/>
    <w:rsid w:val="00C72824"/>
    <w:rsid w:val="00C728BF"/>
    <w:rsid w:val="00C72933"/>
    <w:rsid w:val="00C729CE"/>
    <w:rsid w:val="00C729FC"/>
    <w:rsid w:val="00C72A63"/>
    <w:rsid w:val="00C72C91"/>
    <w:rsid w:val="00C72CB6"/>
    <w:rsid w:val="00C72D60"/>
    <w:rsid w:val="00C72DEE"/>
    <w:rsid w:val="00C72F2D"/>
    <w:rsid w:val="00C73170"/>
    <w:rsid w:val="00C731C0"/>
    <w:rsid w:val="00C7322C"/>
    <w:rsid w:val="00C73280"/>
    <w:rsid w:val="00C73483"/>
    <w:rsid w:val="00C734B5"/>
    <w:rsid w:val="00C735CC"/>
    <w:rsid w:val="00C73848"/>
    <w:rsid w:val="00C738C4"/>
    <w:rsid w:val="00C73907"/>
    <w:rsid w:val="00C73932"/>
    <w:rsid w:val="00C73A4E"/>
    <w:rsid w:val="00C73BBD"/>
    <w:rsid w:val="00C73C94"/>
    <w:rsid w:val="00C73CCA"/>
    <w:rsid w:val="00C73DD4"/>
    <w:rsid w:val="00C73F35"/>
    <w:rsid w:val="00C741E7"/>
    <w:rsid w:val="00C74248"/>
    <w:rsid w:val="00C7425E"/>
    <w:rsid w:val="00C742BF"/>
    <w:rsid w:val="00C743E3"/>
    <w:rsid w:val="00C743ED"/>
    <w:rsid w:val="00C74439"/>
    <w:rsid w:val="00C7451D"/>
    <w:rsid w:val="00C7459A"/>
    <w:rsid w:val="00C746F3"/>
    <w:rsid w:val="00C74721"/>
    <w:rsid w:val="00C7487F"/>
    <w:rsid w:val="00C748DB"/>
    <w:rsid w:val="00C74907"/>
    <w:rsid w:val="00C74A5B"/>
    <w:rsid w:val="00C74B6C"/>
    <w:rsid w:val="00C74D2E"/>
    <w:rsid w:val="00C74D78"/>
    <w:rsid w:val="00C74E1B"/>
    <w:rsid w:val="00C74F56"/>
    <w:rsid w:val="00C751C0"/>
    <w:rsid w:val="00C7531F"/>
    <w:rsid w:val="00C7541C"/>
    <w:rsid w:val="00C754BA"/>
    <w:rsid w:val="00C75687"/>
    <w:rsid w:val="00C7569A"/>
    <w:rsid w:val="00C757AE"/>
    <w:rsid w:val="00C759A9"/>
    <w:rsid w:val="00C759AD"/>
    <w:rsid w:val="00C75ACE"/>
    <w:rsid w:val="00C75CC7"/>
    <w:rsid w:val="00C75FD4"/>
    <w:rsid w:val="00C760D4"/>
    <w:rsid w:val="00C7643A"/>
    <w:rsid w:val="00C76461"/>
    <w:rsid w:val="00C7646A"/>
    <w:rsid w:val="00C7662C"/>
    <w:rsid w:val="00C766A1"/>
    <w:rsid w:val="00C76777"/>
    <w:rsid w:val="00C767F9"/>
    <w:rsid w:val="00C768BB"/>
    <w:rsid w:val="00C76D99"/>
    <w:rsid w:val="00C76DEA"/>
    <w:rsid w:val="00C76E60"/>
    <w:rsid w:val="00C76E8E"/>
    <w:rsid w:val="00C76FBE"/>
    <w:rsid w:val="00C77126"/>
    <w:rsid w:val="00C77153"/>
    <w:rsid w:val="00C77178"/>
    <w:rsid w:val="00C7717C"/>
    <w:rsid w:val="00C77232"/>
    <w:rsid w:val="00C7732C"/>
    <w:rsid w:val="00C773D1"/>
    <w:rsid w:val="00C774A4"/>
    <w:rsid w:val="00C7781D"/>
    <w:rsid w:val="00C77875"/>
    <w:rsid w:val="00C778A1"/>
    <w:rsid w:val="00C77935"/>
    <w:rsid w:val="00C7794D"/>
    <w:rsid w:val="00C77A57"/>
    <w:rsid w:val="00C77B55"/>
    <w:rsid w:val="00C77CCE"/>
    <w:rsid w:val="00C77CF4"/>
    <w:rsid w:val="00C77E16"/>
    <w:rsid w:val="00C77F1E"/>
    <w:rsid w:val="00C77F6A"/>
    <w:rsid w:val="00C77F8B"/>
    <w:rsid w:val="00C80094"/>
    <w:rsid w:val="00C800ED"/>
    <w:rsid w:val="00C80123"/>
    <w:rsid w:val="00C80208"/>
    <w:rsid w:val="00C8054A"/>
    <w:rsid w:val="00C807AE"/>
    <w:rsid w:val="00C807E6"/>
    <w:rsid w:val="00C80CD6"/>
    <w:rsid w:val="00C80D2D"/>
    <w:rsid w:val="00C80DD9"/>
    <w:rsid w:val="00C80FE9"/>
    <w:rsid w:val="00C81115"/>
    <w:rsid w:val="00C811B0"/>
    <w:rsid w:val="00C81259"/>
    <w:rsid w:val="00C812F4"/>
    <w:rsid w:val="00C815BE"/>
    <w:rsid w:val="00C815CA"/>
    <w:rsid w:val="00C81634"/>
    <w:rsid w:val="00C816A9"/>
    <w:rsid w:val="00C8178B"/>
    <w:rsid w:val="00C817A3"/>
    <w:rsid w:val="00C817AD"/>
    <w:rsid w:val="00C81883"/>
    <w:rsid w:val="00C81925"/>
    <w:rsid w:val="00C8194E"/>
    <w:rsid w:val="00C81959"/>
    <w:rsid w:val="00C81AB2"/>
    <w:rsid w:val="00C81C43"/>
    <w:rsid w:val="00C81DAD"/>
    <w:rsid w:val="00C81DC6"/>
    <w:rsid w:val="00C81E7D"/>
    <w:rsid w:val="00C81FB7"/>
    <w:rsid w:val="00C821E3"/>
    <w:rsid w:val="00C821FA"/>
    <w:rsid w:val="00C82283"/>
    <w:rsid w:val="00C822B0"/>
    <w:rsid w:val="00C822CA"/>
    <w:rsid w:val="00C82331"/>
    <w:rsid w:val="00C82361"/>
    <w:rsid w:val="00C82379"/>
    <w:rsid w:val="00C823A5"/>
    <w:rsid w:val="00C823B8"/>
    <w:rsid w:val="00C8242B"/>
    <w:rsid w:val="00C825E7"/>
    <w:rsid w:val="00C826FB"/>
    <w:rsid w:val="00C8277B"/>
    <w:rsid w:val="00C82951"/>
    <w:rsid w:val="00C82AF5"/>
    <w:rsid w:val="00C82C42"/>
    <w:rsid w:val="00C82C9A"/>
    <w:rsid w:val="00C82F21"/>
    <w:rsid w:val="00C82F8B"/>
    <w:rsid w:val="00C82FA3"/>
    <w:rsid w:val="00C82FCC"/>
    <w:rsid w:val="00C832C6"/>
    <w:rsid w:val="00C8347F"/>
    <w:rsid w:val="00C83511"/>
    <w:rsid w:val="00C835DF"/>
    <w:rsid w:val="00C83691"/>
    <w:rsid w:val="00C83692"/>
    <w:rsid w:val="00C83728"/>
    <w:rsid w:val="00C83780"/>
    <w:rsid w:val="00C83786"/>
    <w:rsid w:val="00C837C2"/>
    <w:rsid w:val="00C8382E"/>
    <w:rsid w:val="00C83952"/>
    <w:rsid w:val="00C83A3D"/>
    <w:rsid w:val="00C83CA4"/>
    <w:rsid w:val="00C83D45"/>
    <w:rsid w:val="00C83D53"/>
    <w:rsid w:val="00C83E89"/>
    <w:rsid w:val="00C83E92"/>
    <w:rsid w:val="00C83EBF"/>
    <w:rsid w:val="00C83F37"/>
    <w:rsid w:val="00C83FE2"/>
    <w:rsid w:val="00C84123"/>
    <w:rsid w:val="00C8423F"/>
    <w:rsid w:val="00C842E5"/>
    <w:rsid w:val="00C84580"/>
    <w:rsid w:val="00C84584"/>
    <w:rsid w:val="00C84667"/>
    <w:rsid w:val="00C84735"/>
    <w:rsid w:val="00C84810"/>
    <w:rsid w:val="00C849AF"/>
    <w:rsid w:val="00C84A2D"/>
    <w:rsid w:val="00C84C39"/>
    <w:rsid w:val="00C84C5D"/>
    <w:rsid w:val="00C84DA7"/>
    <w:rsid w:val="00C84DF7"/>
    <w:rsid w:val="00C84ECC"/>
    <w:rsid w:val="00C85060"/>
    <w:rsid w:val="00C850C0"/>
    <w:rsid w:val="00C850EF"/>
    <w:rsid w:val="00C85141"/>
    <w:rsid w:val="00C851C3"/>
    <w:rsid w:val="00C851EE"/>
    <w:rsid w:val="00C852D3"/>
    <w:rsid w:val="00C8531B"/>
    <w:rsid w:val="00C8547E"/>
    <w:rsid w:val="00C85A7C"/>
    <w:rsid w:val="00C85B13"/>
    <w:rsid w:val="00C85B37"/>
    <w:rsid w:val="00C85B5A"/>
    <w:rsid w:val="00C85C45"/>
    <w:rsid w:val="00C85D1C"/>
    <w:rsid w:val="00C85FD6"/>
    <w:rsid w:val="00C86041"/>
    <w:rsid w:val="00C86077"/>
    <w:rsid w:val="00C86142"/>
    <w:rsid w:val="00C86259"/>
    <w:rsid w:val="00C86298"/>
    <w:rsid w:val="00C8644F"/>
    <w:rsid w:val="00C8666E"/>
    <w:rsid w:val="00C86698"/>
    <w:rsid w:val="00C866E4"/>
    <w:rsid w:val="00C86737"/>
    <w:rsid w:val="00C867B7"/>
    <w:rsid w:val="00C867DE"/>
    <w:rsid w:val="00C86A20"/>
    <w:rsid w:val="00C86B7C"/>
    <w:rsid w:val="00C86E31"/>
    <w:rsid w:val="00C86E7F"/>
    <w:rsid w:val="00C86F0C"/>
    <w:rsid w:val="00C87044"/>
    <w:rsid w:val="00C87113"/>
    <w:rsid w:val="00C87116"/>
    <w:rsid w:val="00C8716F"/>
    <w:rsid w:val="00C871AC"/>
    <w:rsid w:val="00C87288"/>
    <w:rsid w:val="00C8746C"/>
    <w:rsid w:val="00C87569"/>
    <w:rsid w:val="00C876C0"/>
    <w:rsid w:val="00C876E5"/>
    <w:rsid w:val="00C87729"/>
    <w:rsid w:val="00C879BC"/>
    <w:rsid w:val="00C87A5F"/>
    <w:rsid w:val="00C87AD8"/>
    <w:rsid w:val="00C87B42"/>
    <w:rsid w:val="00C87BA2"/>
    <w:rsid w:val="00C87BD2"/>
    <w:rsid w:val="00C87C96"/>
    <w:rsid w:val="00C87CDE"/>
    <w:rsid w:val="00C87D32"/>
    <w:rsid w:val="00C87D9A"/>
    <w:rsid w:val="00C87DF7"/>
    <w:rsid w:val="00C9007C"/>
    <w:rsid w:val="00C90141"/>
    <w:rsid w:val="00C90311"/>
    <w:rsid w:val="00C90552"/>
    <w:rsid w:val="00C905B4"/>
    <w:rsid w:val="00C906C0"/>
    <w:rsid w:val="00C90735"/>
    <w:rsid w:val="00C909C5"/>
    <w:rsid w:val="00C90B8A"/>
    <w:rsid w:val="00C90B95"/>
    <w:rsid w:val="00C90F84"/>
    <w:rsid w:val="00C90FCB"/>
    <w:rsid w:val="00C91019"/>
    <w:rsid w:val="00C91025"/>
    <w:rsid w:val="00C9112D"/>
    <w:rsid w:val="00C911BB"/>
    <w:rsid w:val="00C912EB"/>
    <w:rsid w:val="00C91396"/>
    <w:rsid w:val="00C9170A"/>
    <w:rsid w:val="00C91747"/>
    <w:rsid w:val="00C919FC"/>
    <w:rsid w:val="00C91AC8"/>
    <w:rsid w:val="00C91B2D"/>
    <w:rsid w:val="00C91CA1"/>
    <w:rsid w:val="00C91DF2"/>
    <w:rsid w:val="00C91E69"/>
    <w:rsid w:val="00C9208F"/>
    <w:rsid w:val="00C922BA"/>
    <w:rsid w:val="00C9241A"/>
    <w:rsid w:val="00C92593"/>
    <w:rsid w:val="00C925A3"/>
    <w:rsid w:val="00C925A9"/>
    <w:rsid w:val="00C92693"/>
    <w:rsid w:val="00C92714"/>
    <w:rsid w:val="00C9282D"/>
    <w:rsid w:val="00C92961"/>
    <w:rsid w:val="00C929BB"/>
    <w:rsid w:val="00C92A26"/>
    <w:rsid w:val="00C92A68"/>
    <w:rsid w:val="00C92D79"/>
    <w:rsid w:val="00C92E65"/>
    <w:rsid w:val="00C92FA9"/>
    <w:rsid w:val="00C93042"/>
    <w:rsid w:val="00C93175"/>
    <w:rsid w:val="00C93203"/>
    <w:rsid w:val="00C93326"/>
    <w:rsid w:val="00C93627"/>
    <w:rsid w:val="00C93824"/>
    <w:rsid w:val="00C938D6"/>
    <w:rsid w:val="00C9393C"/>
    <w:rsid w:val="00C93995"/>
    <w:rsid w:val="00C939FF"/>
    <w:rsid w:val="00C93A48"/>
    <w:rsid w:val="00C93B89"/>
    <w:rsid w:val="00C93BB9"/>
    <w:rsid w:val="00C93BC5"/>
    <w:rsid w:val="00C93BCD"/>
    <w:rsid w:val="00C93DDF"/>
    <w:rsid w:val="00C93E34"/>
    <w:rsid w:val="00C94008"/>
    <w:rsid w:val="00C9404C"/>
    <w:rsid w:val="00C940BB"/>
    <w:rsid w:val="00C94330"/>
    <w:rsid w:val="00C94428"/>
    <w:rsid w:val="00C94475"/>
    <w:rsid w:val="00C9454A"/>
    <w:rsid w:val="00C94727"/>
    <w:rsid w:val="00C9484B"/>
    <w:rsid w:val="00C948C1"/>
    <w:rsid w:val="00C949AA"/>
    <w:rsid w:val="00C949CF"/>
    <w:rsid w:val="00C94CF9"/>
    <w:rsid w:val="00C94E2B"/>
    <w:rsid w:val="00C9502D"/>
    <w:rsid w:val="00C95162"/>
    <w:rsid w:val="00C95255"/>
    <w:rsid w:val="00C952E0"/>
    <w:rsid w:val="00C952F6"/>
    <w:rsid w:val="00C95350"/>
    <w:rsid w:val="00C95429"/>
    <w:rsid w:val="00C95437"/>
    <w:rsid w:val="00C9545A"/>
    <w:rsid w:val="00C95490"/>
    <w:rsid w:val="00C9549F"/>
    <w:rsid w:val="00C955A5"/>
    <w:rsid w:val="00C95672"/>
    <w:rsid w:val="00C95833"/>
    <w:rsid w:val="00C95853"/>
    <w:rsid w:val="00C95BBD"/>
    <w:rsid w:val="00C95CC7"/>
    <w:rsid w:val="00C95D89"/>
    <w:rsid w:val="00C96049"/>
    <w:rsid w:val="00C9608C"/>
    <w:rsid w:val="00C96222"/>
    <w:rsid w:val="00C9622B"/>
    <w:rsid w:val="00C96317"/>
    <w:rsid w:val="00C965CD"/>
    <w:rsid w:val="00C96687"/>
    <w:rsid w:val="00C968E3"/>
    <w:rsid w:val="00C96900"/>
    <w:rsid w:val="00C9690E"/>
    <w:rsid w:val="00C96C61"/>
    <w:rsid w:val="00C96DE0"/>
    <w:rsid w:val="00C96F27"/>
    <w:rsid w:val="00C96FA8"/>
    <w:rsid w:val="00C970E5"/>
    <w:rsid w:val="00C97167"/>
    <w:rsid w:val="00C97217"/>
    <w:rsid w:val="00C97226"/>
    <w:rsid w:val="00C97257"/>
    <w:rsid w:val="00C97476"/>
    <w:rsid w:val="00C974A9"/>
    <w:rsid w:val="00C9754A"/>
    <w:rsid w:val="00C9754B"/>
    <w:rsid w:val="00C9777A"/>
    <w:rsid w:val="00C9779F"/>
    <w:rsid w:val="00C9797D"/>
    <w:rsid w:val="00C97A49"/>
    <w:rsid w:val="00C97CA7"/>
    <w:rsid w:val="00C97CE3"/>
    <w:rsid w:val="00CA00F9"/>
    <w:rsid w:val="00CA00FD"/>
    <w:rsid w:val="00CA0133"/>
    <w:rsid w:val="00CA013B"/>
    <w:rsid w:val="00CA01EC"/>
    <w:rsid w:val="00CA0719"/>
    <w:rsid w:val="00CA071B"/>
    <w:rsid w:val="00CA07F3"/>
    <w:rsid w:val="00CA086F"/>
    <w:rsid w:val="00CA08AB"/>
    <w:rsid w:val="00CA0A14"/>
    <w:rsid w:val="00CA0B38"/>
    <w:rsid w:val="00CA0BB1"/>
    <w:rsid w:val="00CA0D24"/>
    <w:rsid w:val="00CA0D26"/>
    <w:rsid w:val="00CA0D5C"/>
    <w:rsid w:val="00CA0FAD"/>
    <w:rsid w:val="00CA106C"/>
    <w:rsid w:val="00CA11A0"/>
    <w:rsid w:val="00CA11AB"/>
    <w:rsid w:val="00CA1335"/>
    <w:rsid w:val="00CA13D3"/>
    <w:rsid w:val="00CA15C4"/>
    <w:rsid w:val="00CA17A5"/>
    <w:rsid w:val="00CA1831"/>
    <w:rsid w:val="00CA1886"/>
    <w:rsid w:val="00CA193E"/>
    <w:rsid w:val="00CA1A7A"/>
    <w:rsid w:val="00CA1B07"/>
    <w:rsid w:val="00CA1E58"/>
    <w:rsid w:val="00CA1F8D"/>
    <w:rsid w:val="00CA2100"/>
    <w:rsid w:val="00CA2147"/>
    <w:rsid w:val="00CA2301"/>
    <w:rsid w:val="00CA2358"/>
    <w:rsid w:val="00CA2368"/>
    <w:rsid w:val="00CA2446"/>
    <w:rsid w:val="00CA2533"/>
    <w:rsid w:val="00CA2582"/>
    <w:rsid w:val="00CA25C5"/>
    <w:rsid w:val="00CA25DF"/>
    <w:rsid w:val="00CA2657"/>
    <w:rsid w:val="00CA270E"/>
    <w:rsid w:val="00CA277F"/>
    <w:rsid w:val="00CA2888"/>
    <w:rsid w:val="00CA2912"/>
    <w:rsid w:val="00CA29B8"/>
    <w:rsid w:val="00CA29BE"/>
    <w:rsid w:val="00CA29FA"/>
    <w:rsid w:val="00CA2A84"/>
    <w:rsid w:val="00CA2B84"/>
    <w:rsid w:val="00CA2BC3"/>
    <w:rsid w:val="00CA2C7E"/>
    <w:rsid w:val="00CA2C82"/>
    <w:rsid w:val="00CA2D7B"/>
    <w:rsid w:val="00CA2E88"/>
    <w:rsid w:val="00CA2EB6"/>
    <w:rsid w:val="00CA2EC1"/>
    <w:rsid w:val="00CA2F26"/>
    <w:rsid w:val="00CA30C4"/>
    <w:rsid w:val="00CA3276"/>
    <w:rsid w:val="00CA340A"/>
    <w:rsid w:val="00CA34BA"/>
    <w:rsid w:val="00CA353F"/>
    <w:rsid w:val="00CA3566"/>
    <w:rsid w:val="00CA35E4"/>
    <w:rsid w:val="00CA3696"/>
    <w:rsid w:val="00CA3740"/>
    <w:rsid w:val="00CA38A8"/>
    <w:rsid w:val="00CA3A6A"/>
    <w:rsid w:val="00CA3A9D"/>
    <w:rsid w:val="00CA3B9E"/>
    <w:rsid w:val="00CA3C8B"/>
    <w:rsid w:val="00CA3C8C"/>
    <w:rsid w:val="00CA3D66"/>
    <w:rsid w:val="00CA418F"/>
    <w:rsid w:val="00CA434E"/>
    <w:rsid w:val="00CA44CE"/>
    <w:rsid w:val="00CA46CD"/>
    <w:rsid w:val="00CA4789"/>
    <w:rsid w:val="00CA4970"/>
    <w:rsid w:val="00CA4AA9"/>
    <w:rsid w:val="00CA4C93"/>
    <w:rsid w:val="00CA4D63"/>
    <w:rsid w:val="00CA4E32"/>
    <w:rsid w:val="00CA501E"/>
    <w:rsid w:val="00CA5176"/>
    <w:rsid w:val="00CA522E"/>
    <w:rsid w:val="00CA5393"/>
    <w:rsid w:val="00CA53C9"/>
    <w:rsid w:val="00CA548C"/>
    <w:rsid w:val="00CA5511"/>
    <w:rsid w:val="00CA55E3"/>
    <w:rsid w:val="00CA56DC"/>
    <w:rsid w:val="00CA57AA"/>
    <w:rsid w:val="00CA57EF"/>
    <w:rsid w:val="00CA5956"/>
    <w:rsid w:val="00CA5971"/>
    <w:rsid w:val="00CA597B"/>
    <w:rsid w:val="00CA598F"/>
    <w:rsid w:val="00CA59A4"/>
    <w:rsid w:val="00CA5AD6"/>
    <w:rsid w:val="00CA5C2E"/>
    <w:rsid w:val="00CA5C5C"/>
    <w:rsid w:val="00CA5D0C"/>
    <w:rsid w:val="00CA5DFA"/>
    <w:rsid w:val="00CA5E12"/>
    <w:rsid w:val="00CA5E9A"/>
    <w:rsid w:val="00CA5F8C"/>
    <w:rsid w:val="00CA5FF9"/>
    <w:rsid w:val="00CA61EA"/>
    <w:rsid w:val="00CA62F2"/>
    <w:rsid w:val="00CA635F"/>
    <w:rsid w:val="00CA6371"/>
    <w:rsid w:val="00CA6530"/>
    <w:rsid w:val="00CA6575"/>
    <w:rsid w:val="00CA661C"/>
    <w:rsid w:val="00CA6685"/>
    <w:rsid w:val="00CA66D5"/>
    <w:rsid w:val="00CA67F5"/>
    <w:rsid w:val="00CA6870"/>
    <w:rsid w:val="00CA68BA"/>
    <w:rsid w:val="00CA693D"/>
    <w:rsid w:val="00CA69CD"/>
    <w:rsid w:val="00CA6A83"/>
    <w:rsid w:val="00CA6A91"/>
    <w:rsid w:val="00CA6B70"/>
    <w:rsid w:val="00CA6D3B"/>
    <w:rsid w:val="00CA6FC3"/>
    <w:rsid w:val="00CA70B7"/>
    <w:rsid w:val="00CA75D4"/>
    <w:rsid w:val="00CA767D"/>
    <w:rsid w:val="00CA76D6"/>
    <w:rsid w:val="00CA7729"/>
    <w:rsid w:val="00CA774E"/>
    <w:rsid w:val="00CA7889"/>
    <w:rsid w:val="00CA79D8"/>
    <w:rsid w:val="00CA7B41"/>
    <w:rsid w:val="00CA7B8F"/>
    <w:rsid w:val="00CA7C61"/>
    <w:rsid w:val="00CA7C9B"/>
    <w:rsid w:val="00CA7CA8"/>
    <w:rsid w:val="00CA7CB4"/>
    <w:rsid w:val="00CA7ED7"/>
    <w:rsid w:val="00CB0076"/>
    <w:rsid w:val="00CB00B1"/>
    <w:rsid w:val="00CB0118"/>
    <w:rsid w:val="00CB01B0"/>
    <w:rsid w:val="00CB02BF"/>
    <w:rsid w:val="00CB03EA"/>
    <w:rsid w:val="00CB0542"/>
    <w:rsid w:val="00CB07CF"/>
    <w:rsid w:val="00CB07D2"/>
    <w:rsid w:val="00CB07E6"/>
    <w:rsid w:val="00CB08EA"/>
    <w:rsid w:val="00CB0980"/>
    <w:rsid w:val="00CB0AB7"/>
    <w:rsid w:val="00CB0CB4"/>
    <w:rsid w:val="00CB0CD1"/>
    <w:rsid w:val="00CB0CD4"/>
    <w:rsid w:val="00CB0CEF"/>
    <w:rsid w:val="00CB0DB3"/>
    <w:rsid w:val="00CB0DF8"/>
    <w:rsid w:val="00CB0EEA"/>
    <w:rsid w:val="00CB0EF3"/>
    <w:rsid w:val="00CB1085"/>
    <w:rsid w:val="00CB10BC"/>
    <w:rsid w:val="00CB1121"/>
    <w:rsid w:val="00CB11B8"/>
    <w:rsid w:val="00CB11BA"/>
    <w:rsid w:val="00CB1452"/>
    <w:rsid w:val="00CB14A7"/>
    <w:rsid w:val="00CB15DC"/>
    <w:rsid w:val="00CB1633"/>
    <w:rsid w:val="00CB165A"/>
    <w:rsid w:val="00CB18AC"/>
    <w:rsid w:val="00CB18F5"/>
    <w:rsid w:val="00CB1934"/>
    <w:rsid w:val="00CB1985"/>
    <w:rsid w:val="00CB1CC3"/>
    <w:rsid w:val="00CB1DA1"/>
    <w:rsid w:val="00CB1DA2"/>
    <w:rsid w:val="00CB1E06"/>
    <w:rsid w:val="00CB1E71"/>
    <w:rsid w:val="00CB1E96"/>
    <w:rsid w:val="00CB2038"/>
    <w:rsid w:val="00CB20EE"/>
    <w:rsid w:val="00CB2166"/>
    <w:rsid w:val="00CB21A8"/>
    <w:rsid w:val="00CB2263"/>
    <w:rsid w:val="00CB2280"/>
    <w:rsid w:val="00CB2369"/>
    <w:rsid w:val="00CB2380"/>
    <w:rsid w:val="00CB238D"/>
    <w:rsid w:val="00CB239F"/>
    <w:rsid w:val="00CB25D0"/>
    <w:rsid w:val="00CB2608"/>
    <w:rsid w:val="00CB28A0"/>
    <w:rsid w:val="00CB28E2"/>
    <w:rsid w:val="00CB298E"/>
    <w:rsid w:val="00CB2AD2"/>
    <w:rsid w:val="00CB2C2B"/>
    <w:rsid w:val="00CB2C9F"/>
    <w:rsid w:val="00CB2D21"/>
    <w:rsid w:val="00CB2E10"/>
    <w:rsid w:val="00CB2E85"/>
    <w:rsid w:val="00CB2E9A"/>
    <w:rsid w:val="00CB2EB1"/>
    <w:rsid w:val="00CB2EDE"/>
    <w:rsid w:val="00CB2F80"/>
    <w:rsid w:val="00CB3138"/>
    <w:rsid w:val="00CB32B0"/>
    <w:rsid w:val="00CB3349"/>
    <w:rsid w:val="00CB33D5"/>
    <w:rsid w:val="00CB3497"/>
    <w:rsid w:val="00CB350F"/>
    <w:rsid w:val="00CB352B"/>
    <w:rsid w:val="00CB366D"/>
    <w:rsid w:val="00CB379C"/>
    <w:rsid w:val="00CB3877"/>
    <w:rsid w:val="00CB38CA"/>
    <w:rsid w:val="00CB3910"/>
    <w:rsid w:val="00CB3AB8"/>
    <w:rsid w:val="00CB3C74"/>
    <w:rsid w:val="00CB3CAC"/>
    <w:rsid w:val="00CB3D24"/>
    <w:rsid w:val="00CB3E2E"/>
    <w:rsid w:val="00CB3E88"/>
    <w:rsid w:val="00CB3F45"/>
    <w:rsid w:val="00CB3F5D"/>
    <w:rsid w:val="00CB3FA9"/>
    <w:rsid w:val="00CB3FC8"/>
    <w:rsid w:val="00CB41AB"/>
    <w:rsid w:val="00CB41EB"/>
    <w:rsid w:val="00CB426D"/>
    <w:rsid w:val="00CB44C9"/>
    <w:rsid w:val="00CB44D1"/>
    <w:rsid w:val="00CB4517"/>
    <w:rsid w:val="00CB461D"/>
    <w:rsid w:val="00CB4635"/>
    <w:rsid w:val="00CB4637"/>
    <w:rsid w:val="00CB479F"/>
    <w:rsid w:val="00CB481B"/>
    <w:rsid w:val="00CB486C"/>
    <w:rsid w:val="00CB4968"/>
    <w:rsid w:val="00CB4B1C"/>
    <w:rsid w:val="00CB4BB2"/>
    <w:rsid w:val="00CB4BE1"/>
    <w:rsid w:val="00CB4C29"/>
    <w:rsid w:val="00CB4E31"/>
    <w:rsid w:val="00CB4F0B"/>
    <w:rsid w:val="00CB4F44"/>
    <w:rsid w:val="00CB5103"/>
    <w:rsid w:val="00CB532F"/>
    <w:rsid w:val="00CB5428"/>
    <w:rsid w:val="00CB543F"/>
    <w:rsid w:val="00CB5725"/>
    <w:rsid w:val="00CB57BD"/>
    <w:rsid w:val="00CB58ED"/>
    <w:rsid w:val="00CB5909"/>
    <w:rsid w:val="00CB59E9"/>
    <w:rsid w:val="00CB5B0E"/>
    <w:rsid w:val="00CB5FE5"/>
    <w:rsid w:val="00CB61BE"/>
    <w:rsid w:val="00CB6340"/>
    <w:rsid w:val="00CB637C"/>
    <w:rsid w:val="00CB647A"/>
    <w:rsid w:val="00CB6480"/>
    <w:rsid w:val="00CB6678"/>
    <w:rsid w:val="00CB66FD"/>
    <w:rsid w:val="00CB67AA"/>
    <w:rsid w:val="00CB67C0"/>
    <w:rsid w:val="00CB6812"/>
    <w:rsid w:val="00CB6879"/>
    <w:rsid w:val="00CB6B9E"/>
    <w:rsid w:val="00CB6C9F"/>
    <w:rsid w:val="00CB6CFB"/>
    <w:rsid w:val="00CB6D79"/>
    <w:rsid w:val="00CB7099"/>
    <w:rsid w:val="00CB70E8"/>
    <w:rsid w:val="00CB7101"/>
    <w:rsid w:val="00CB7107"/>
    <w:rsid w:val="00CB722F"/>
    <w:rsid w:val="00CB7346"/>
    <w:rsid w:val="00CB747D"/>
    <w:rsid w:val="00CB7615"/>
    <w:rsid w:val="00CB7619"/>
    <w:rsid w:val="00CB769D"/>
    <w:rsid w:val="00CB779F"/>
    <w:rsid w:val="00CB77A7"/>
    <w:rsid w:val="00CB7814"/>
    <w:rsid w:val="00CB79C2"/>
    <w:rsid w:val="00CB7A0A"/>
    <w:rsid w:val="00CB7AA4"/>
    <w:rsid w:val="00CB7B38"/>
    <w:rsid w:val="00CB7B42"/>
    <w:rsid w:val="00CB7CE3"/>
    <w:rsid w:val="00CB7D06"/>
    <w:rsid w:val="00CB7D4F"/>
    <w:rsid w:val="00CB7E10"/>
    <w:rsid w:val="00CB7ED1"/>
    <w:rsid w:val="00CC0102"/>
    <w:rsid w:val="00CC0121"/>
    <w:rsid w:val="00CC0372"/>
    <w:rsid w:val="00CC03B7"/>
    <w:rsid w:val="00CC03EF"/>
    <w:rsid w:val="00CC047C"/>
    <w:rsid w:val="00CC05D6"/>
    <w:rsid w:val="00CC05F4"/>
    <w:rsid w:val="00CC0717"/>
    <w:rsid w:val="00CC0883"/>
    <w:rsid w:val="00CC0897"/>
    <w:rsid w:val="00CC0A6E"/>
    <w:rsid w:val="00CC0B4D"/>
    <w:rsid w:val="00CC0BCD"/>
    <w:rsid w:val="00CC0C71"/>
    <w:rsid w:val="00CC0D10"/>
    <w:rsid w:val="00CC0E10"/>
    <w:rsid w:val="00CC0ED0"/>
    <w:rsid w:val="00CC0ED4"/>
    <w:rsid w:val="00CC0EE1"/>
    <w:rsid w:val="00CC1030"/>
    <w:rsid w:val="00CC107C"/>
    <w:rsid w:val="00CC1081"/>
    <w:rsid w:val="00CC10F9"/>
    <w:rsid w:val="00CC133A"/>
    <w:rsid w:val="00CC137D"/>
    <w:rsid w:val="00CC144C"/>
    <w:rsid w:val="00CC14B5"/>
    <w:rsid w:val="00CC14C5"/>
    <w:rsid w:val="00CC14F2"/>
    <w:rsid w:val="00CC150D"/>
    <w:rsid w:val="00CC1526"/>
    <w:rsid w:val="00CC1641"/>
    <w:rsid w:val="00CC1771"/>
    <w:rsid w:val="00CC182A"/>
    <w:rsid w:val="00CC1918"/>
    <w:rsid w:val="00CC1A22"/>
    <w:rsid w:val="00CC1B25"/>
    <w:rsid w:val="00CC1B2C"/>
    <w:rsid w:val="00CC1B8B"/>
    <w:rsid w:val="00CC1BE5"/>
    <w:rsid w:val="00CC1C3F"/>
    <w:rsid w:val="00CC1D5C"/>
    <w:rsid w:val="00CC1E8B"/>
    <w:rsid w:val="00CC1F6C"/>
    <w:rsid w:val="00CC200B"/>
    <w:rsid w:val="00CC206D"/>
    <w:rsid w:val="00CC2094"/>
    <w:rsid w:val="00CC22B9"/>
    <w:rsid w:val="00CC237C"/>
    <w:rsid w:val="00CC2441"/>
    <w:rsid w:val="00CC247B"/>
    <w:rsid w:val="00CC250C"/>
    <w:rsid w:val="00CC257B"/>
    <w:rsid w:val="00CC2603"/>
    <w:rsid w:val="00CC2755"/>
    <w:rsid w:val="00CC2832"/>
    <w:rsid w:val="00CC2912"/>
    <w:rsid w:val="00CC2C26"/>
    <w:rsid w:val="00CC2D0A"/>
    <w:rsid w:val="00CC2F9D"/>
    <w:rsid w:val="00CC2FE8"/>
    <w:rsid w:val="00CC306C"/>
    <w:rsid w:val="00CC3110"/>
    <w:rsid w:val="00CC31EE"/>
    <w:rsid w:val="00CC31F7"/>
    <w:rsid w:val="00CC3225"/>
    <w:rsid w:val="00CC32EF"/>
    <w:rsid w:val="00CC3370"/>
    <w:rsid w:val="00CC33D9"/>
    <w:rsid w:val="00CC3703"/>
    <w:rsid w:val="00CC3717"/>
    <w:rsid w:val="00CC37B8"/>
    <w:rsid w:val="00CC383D"/>
    <w:rsid w:val="00CC3862"/>
    <w:rsid w:val="00CC386E"/>
    <w:rsid w:val="00CC389A"/>
    <w:rsid w:val="00CC3A97"/>
    <w:rsid w:val="00CC3A9C"/>
    <w:rsid w:val="00CC3BB3"/>
    <w:rsid w:val="00CC3C82"/>
    <w:rsid w:val="00CC3D12"/>
    <w:rsid w:val="00CC3E71"/>
    <w:rsid w:val="00CC3EAC"/>
    <w:rsid w:val="00CC3FB7"/>
    <w:rsid w:val="00CC4095"/>
    <w:rsid w:val="00CC4171"/>
    <w:rsid w:val="00CC41D8"/>
    <w:rsid w:val="00CC420C"/>
    <w:rsid w:val="00CC4282"/>
    <w:rsid w:val="00CC4320"/>
    <w:rsid w:val="00CC4341"/>
    <w:rsid w:val="00CC4669"/>
    <w:rsid w:val="00CC4686"/>
    <w:rsid w:val="00CC471A"/>
    <w:rsid w:val="00CC473E"/>
    <w:rsid w:val="00CC4790"/>
    <w:rsid w:val="00CC47FA"/>
    <w:rsid w:val="00CC4823"/>
    <w:rsid w:val="00CC485F"/>
    <w:rsid w:val="00CC4931"/>
    <w:rsid w:val="00CC4AB4"/>
    <w:rsid w:val="00CC4B2A"/>
    <w:rsid w:val="00CC4CF0"/>
    <w:rsid w:val="00CC4DA0"/>
    <w:rsid w:val="00CC4F87"/>
    <w:rsid w:val="00CC526C"/>
    <w:rsid w:val="00CC5365"/>
    <w:rsid w:val="00CC5484"/>
    <w:rsid w:val="00CC55A6"/>
    <w:rsid w:val="00CC5619"/>
    <w:rsid w:val="00CC5835"/>
    <w:rsid w:val="00CC58A9"/>
    <w:rsid w:val="00CC5973"/>
    <w:rsid w:val="00CC59BB"/>
    <w:rsid w:val="00CC5A92"/>
    <w:rsid w:val="00CC5B83"/>
    <w:rsid w:val="00CC5CC1"/>
    <w:rsid w:val="00CC5E78"/>
    <w:rsid w:val="00CC5F32"/>
    <w:rsid w:val="00CC6103"/>
    <w:rsid w:val="00CC6286"/>
    <w:rsid w:val="00CC6419"/>
    <w:rsid w:val="00CC64AA"/>
    <w:rsid w:val="00CC656A"/>
    <w:rsid w:val="00CC6587"/>
    <w:rsid w:val="00CC65B4"/>
    <w:rsid w:val="00CC660A"/>
    <w:rsid w:val="00CC684D"/>
    <w:rsid w:val="00CC6920"/>
    <w:rsid w:val="00CC6933"/>
    <w:rsid w:val="00CC6A5C"/>
    <w:rsid w:val="00CC6B60"/>
    <w:rsid w:val="00CC6D5A"/>
    <w:rsid w:val="00CC6E71"/>
    <w:rsid w:val="00CC6F8F"/>
    <w:rsid w:val="00CC709E"/>
    <w:rsid w:val="00CC7109"/>
    <w:rsid w:val="00CC7234"/>
    <w:rsid w:val="00CC7288"/>
    <w:rsid w:val="00CC735C"/>
    <w:rsid w:val="00CC73A3"/>
    <w:rsid w:val="00CC740D"/>
    <w:rsid w:val="00CC74E5"/>
    <w:rsid w:val="00CC7783"/>
    <w:rsid w:val="00CC78D1"/>
    <w:rsid w:val="00CC7A7E"/>
    <w:rsid w:val="00CC7E30"/>
    <w:rsid w:val="00CD00A5"/>
    <w:rsid w:val="00CD01BA"/>
    <w:rsid w:val="00CD028C"/>
    <w:rsid w:val="00CD03B0"/>
    <w:rsid w:val="00CD0405"/>
    <w:rsid w:val="00CD0420"/>
    <w:rsid w:val="00CD0537"/>
    <w:rsid w:val="00CD05A8"/>
    <w:rsid w:val="00CD05FD"/>
    <w:rsid w:val="00CD06E6"/>
    <w:rsid w:val="00CD08BA"/>
    <w:rsid w:val="00CD08E0"/>
    <w:rsid w:val="00CD095B"/>
    <w:rsid w:val="00CD09BB"/>
    <w:rsid w:val="00CD0A8A"/>
    <w:rsid w:val="00CD0AD3"/>
    <w:rsid w:val="00CD0BF3"/>
    <w:rsid w:val="00CD0C8F"/>
    <w:rsid w:val="00CD0CF5"/>
    <w:rsid w:val="00CD0E35"/>
    <w:rsid w:val="00CD0F36"/>
    <w:rsid w:val="00CD1108"/>
    <w:rsid w:val="00CD1123"/>
    <w:rsid w:val="00CD1337"/>
    <w:rsid w:val="00CD146C"/>
    <w:rsid w:val="00CD14A6"/>
    <w:rsid w:val="00CD15C5"/>
    <w:rsid w:val="00CD163F"/>
    <w:rsid w:val="00CD17EF"/>
    <w:rsid w:val="00CD17F5"/>
    <w:rsid w:val="00CD1951"/>
    <w:rsid w:val="00CD19EA"/>
    <w:rsid w:val="00CD1AB5"/>
    <w:rsid w:val="00CD1B81"/>
    <w:rsid w:val="00CD1F84"/>
    <w:rsid w:val="00CD1F86"/>
    <w:rsid w:val="00CD2035"/>
    <w:rsid w:val="00CD2084"/>
    <w:rsid w:val="00CD208C"/>
    <w:rsid w:val="00CD256C"/>
    <w:rsid w:val="00CD26CD"/>
    <w:rsid w:val="00CD28C2"/>
    <w:rsid w:val="00CD2A10"/>
    <w:rsid w:val="00CD2A7F"/>
    <w:rsid w:val="00CD2ADE"/>
    <w:rsid w:val="00CD2B2B"/>
    <w:rsid w:val="00CD2C45"/>
    <w:rsid w:val="00CD2E7C"/>
    <w:rsid w:val="00CD3115"/>
    <w:rsid w:val="00CD31FB"/>
    <w:rsid w:val="00CD32FF"/>
    <w:rsid w:val="00CD33F0"/>
    <w:rsid w:val="00CD3489"/>
    <w:rsid w:val="00CD34B6"/>
    <w:rsid w:val="00CD36CC"/>
    <w:rsid w:val="00CD3774"/>
    <w:rsid w:val="00CD37FE"/>
    <w:rsid w:val="00CD3AD9"/>
    <w:rsid w:val="00CD3CA1"/>
    <w:rsid w:val="00CD3E0B"/>
    <w:rsid w:val="00CD3ED5"/>
    <w:rsid w:val="00CD4055"/>
    <w:rsid w:val="00CD4097"/>
    <w:rsid w:val="00CD421F"/>
    <w:rsid w:val="00CD42B0"/>
    <w:rsid w:val="00CD42F4"/>
    <w:rsid w:val="00CD43AE"/>
    <w:rsid w:val="00CD444E"/>
    <w:rsid w:val="00CD458C"/>
    <w:rsid w:val="00CD45F4"/>
    <w:rsid w:val="00CD492E"/>
    <w:rsid w:val="00CD494F"/>
    <w:rsid w:val="00CD4BC1"/>
    <w:rsid w:val="00CD4D0E"/>
    <w:rsid w:val="00CD4D45"/>
    <w:rsid w:val="00CD4E4D"/>
    <w:rsid w:val="00CD5000"/>
    <w:rsid w:val="00CD52DE"/>
    <w:rsid w:val="00CD52F6"/>
    <w:rsid w:val="00CD5374"/>
    <w:rsid w:val="00CD544E"/>
    <w:rsid w:val="00CD54A5"/>
    <w:rsid w:val="00CD54F2"/>
    <w:rsid w:val="00CD5536"/>
    <w:rsid w:val="00CD55A3"/>
    <w:rsid w:val="00CD5642"/>
    <w:rsid w:val="00CD5690"/>
    <w:rsid w:val="00CD570B"/>
    <w:rsid w:val="00CD57F2"/>
    <w:rsid w:val="00CD5B7E"/>
    <w:rsid w:val="00CD5ED7"/>
    <w:rsid w:val="00CD6007"/>
    <w:rsid w:val="00CD6067"/>
    <w:rsid w:val="00CD6189"/>
    <w:rsid w:val="00CD620A"/>
    <w:rsid w:val="00CD632B"/>
    <w:rsid w:val="00CD632F"/>
    <w:rsid w:val="00CD6389"/>
    <w:rsid w:val="00CD63DC"/>
    <w:rsid w:val="00CD6426"/>
    <w:rsid w:val="00CD6587"/>
    <w:rsid w:val="00CD66BD"/>
    <w:rsid w:val="00CD6857"/>
    <w:rsid w:val="00CD68D2"/>
    <w:rsid w:val="00CD68F5"/>
    <w:rsid w:val="00CD6903"/>
    <w:rsid w:val="00CD6983"/>
    <w:rsid w:val="00CD69BB"/>
    <w:rsid w:val="00CD6A13"/>
    <w:rsid w:val="00CD6B0B"/>
    <w:rsid w:val="00CD6B60"/>
    <w:rsid w:val="00CD6BA1"/>
    <w:rsid w:val="00CD6C93"/>
    <w:rsid w:val="00CD6D71"/>
    <w:rsid w:val="00CD6EE0"/>
    <w:rsid w:val="00CD728D"/>
    <w:rsid w:val="00CD729B"/>
    <w:rsid w:val="00CD72CB"/>
    <w:rsid w:val="00CD734F"/>
    <w:rsid w:val="00CD737A"/>
    <w:rsid w:val="00CD73B7"/>
    <w:rsid w:val="00CD745F"/>
    <w:rsid w:val="00CD7464"/>
    <w:rsid w:val="00CD747F"/>
    <w:rsid w:val="00CD756D"/>
    <w:rsid w:val="00CD7582"/>
    <w:rsid w:val="00CD75DF"/>
    <w:rsid w:val="00CD75E0"/>
    <w:rsid w:val="00CD7621"/>
    <w:rsid w:val="00CD76C4"/>
    <w:rsid w:val="00CD7758"/>
    <w:rsid w:val="00CD7824"/>
    <w:rsid w:val="00CD7863"/>
    <w:rsid w:val="00CD79CE"/>
    <w:rsid w:val="00CD7A39"/>
    <w:rsid w:val="00CD7AE2"/>
    <w:rsid w:val="00CD7B03"/>
    <w:rsid w:val="00CD7B09"/>
    <w:rsid w:val="00CD7B66"/>
    <w:rsid w:val="00CD7D4E"/>
    <w:rsid w:val="00CD7DD9"/>
    <w:rsid w:val="00CD7EF6"/>
    <w:rsid w:val="00CE018E"/>
    <w:rsid w:val="00CE03EC"/>
    <w:rsid w:val="00CE057A"/>
    <w:rsid w:val="00CE0664"/>
    <w:rsid w:val="00CE0956"/>
    <w:rsid w:val="00CE09FF"/>
    <w:rsid w:val="00CE0DAF"/>
    <w:rsid w:val="00CE0DF0"/>
    <w:rsid w:val="00CE0F6D"/>
    <w:rsid w:val="00CE0F6F"/>
    <w:rsid w:val="00CE0FBA"/>
    <w:rsid w:val="00CE1084"/>
    <w:rsid w:val="00CE116E"/>
    <w:rsid w:val="00CE1382"/>
    <w:rsid w:val="00CE138D"/>
    <w:rsid w:val="00CE1417"/>
    <w:rsid w:val="00CE1485"/>
    <w:rsid w:val="00CE15A2"/>
    <w:rsid w:val="00CE1693"/>
    <w:rsid w:val="00CE17AC"/>
    <w:rsid w:val="00CE17F1"/>
    <w:rsid w:val="00CE17F7"/>
    <w:rsid w:val="00CE1924"/>
    <w:rsid w:val="00CE1A0E"/>
    <w:rsid w:val="00CE1B65"/>
    <w:rsid w:val="00CE1B83"/>
    <w:rsid w:val="00CE1BBC"/>
    <w:rsid w:val="00CE1BDC"/>
    <w:rsid w:val="00CE2070"/>
    <w:rsid w:val="00CE20B1"/>
    <w:rsid w:val="00CE222F"/>
    <w:rsid w:val="00CE2251"/>
    <w:rsid w:val="00CE2346"/>
    <w:rsid w:val="00CE23FA"/>
    <w:rsid w:val="00CE2431"/>
    <w:rsid w:val="00CE2538"/>
    <w:rsid w:val="00CE254D"/>
    <w:rsid w:val="00CE264A"/>
    <w:rsid w:val="00CE2684"/>
    <w:rsid w:val="00CE2716"/>
    <w:rsid w:val="00CE2983"/>
    <w:rsid w:val="00CE2A11"/>
    <w:rsid w:val="00CE2AA0"/>
    <w:rsid w:val="00CE2C34"/>
    <w:rsid w:val="00CE2C3F"/>
    <w:rsid w:val="00CE2C48"/>
    <w:rsid w:val="00CE2CC4"/>
    <w:rsid w:val="00CE2CE3"/>
    <w:rsid w:val="00CE2CFA"/>
    <w:rsid w:val="00CE2DF0"/>
    <w:rsid w:val="00CE2EFC"/>
    <w:rsid w:val="00CE2F1E"/>
    <w:rsid w:val="00CE2F3D"/>
    <w:rsid w:val="00CE3008"/>
    <w:rsid w:val="00CE30BE"/>
    <w:rsid w:val="00CE314C"/>
    <w:rsid w:val="00CE31CD"/>
    <w:rsid w:val="00CE3218"/>
    <w:rsid w:val="00CE329A"/>
    <w:rsid w:val="00CE3350"/>
    <w:rsid w:val="00CE335D"/>
    <w:rsid w:val="00CE3437"/>
    <w:rsid w:val="00CE3527"/>
    <w:rsid w:val="00CE3541"/>
    <w:rsid w:val="00CE36D6"/>
    <w:rsid w:val="00CE36F8"/>
    <w:rsid w:val="00CE3918"/>
    <w:rsid w:val="00CE39CC"/>
    <w:rsid w:val="00CE3B0E"/>
    <w:rsid w:val="00CE3BD8"/>
    <w:rsid w:val="00CE3CE6"/>
    <w:rsid w:val="00CE3D40"/>
    <w:rsid w:val="00CE3E43"/>
    <w:rsid w:val="00CE3F7C"/>
    <w:rsid w:val="00CE4206"/>
    <w:rsid w:val="00CE427A"/>
    <w:rsid w:val="00CE4288"/>
    <w:rsid w:val="00CE4729"/>
    <w:rsid w:val="00CE47CD"/>
    <w:rsid w:val="00CE4835"/>
    <w:rsid w:val="00CE49A3"/>
    <w:rsid w:val="00CE49B2"/>
    <w:rsid w:val="00CE4AE5"/>
    <w:rsid w:val="00CE4BEA"/>
    <w:rsid w:val="00CE4CF1"/>
    <w:rsid w:val="00CE4DC4"/>
    <w:rsid w:val="00CE4EBA"/>
    <w:rsid w:val="00CE4F71"/>
    <w:rsid w:val="00CE5036"/>
    <w:rsid w:val="00CE50C5"/>
    <w:rsid w:val="00CE5116"/>
    <w:rsid w:val="00CE546A"/>
    <w:rsid w:val="00CE54DC"/>
    <w:rsid w:val="00CE561A"/>
    <w:rsid w:val="00CE56F4"/>
    <w:rsid w:val="00CE575D"/>
    <w:rsid w:val="00CE581D"/>
    <w:rsid w:val="00CE59A5"/>
    <w:rsid w:val="00CE5A41"/>
    <w:rsid w:val="00CE5B62"/>
    <w:rsid w:val="00CE5F74"/>
    <w:rsid w:val="00CE5FE9"/>
    <w:rsid w:val="00CE6100"/>
    <w:rsid w:val="00CE6195"/>
    <w:rsid w:val="00CE62AB"/>
    <w:rsid w:val="00CE62B0"/>
    <w:rsid w:val="00CE6506"/>
    <w:rsid w:val="00CE66EE"/>
    <w:rsid w:val="00CE68E5"/>
    <w:rsid w:val="00CE6912"/>
    <w:rsid w:val="00CE6969"/>
    <w:rsid w:val="00CE6979"/>
    <w:rsid w:val="00CE6AAE"/>
    <w:rsid w:val="00CE6C32"/>
    <w:rsid w:val="00CE6E00"/>
    <w:rsid w:val="00CE6E63"/>
    <w:rsid w:val="00CE6F7B"/>
    <w:rsid w:val="00CE6F96"/>
    <w:rsid w:val="00CE6FE5"/>
    <w:rsid w:val="00CE7019"/>
    <w:rsid w:val="00CE704F"/>
    <w:rsid w:val="00CE72F2"/>
    <w:rsid w:val="00CE73A5"/>
    <w:rsid w:val="00CE7586"/>
    <w:rsid w:val="00CE772D"/>
    <w:rsid w:val="00CE773E"/>
    <w:rsid w:val="00CE7A46"/>
    <w:rsid w:val="00CE7A95"/>
    <w:rsid w:val="00CE7B91"/>
    <w:rsid w:val="00CE7BE6"/>
    <w:rsid w:val="00CE7CE3"/>
    <w:rsid w:val="00CE7DC0"/>
    <w:rsid w:val="00CE7F05"/>
    <w:rsid w:val="00CF0013"/>
    <w:rsid w:val="00CF0263"/>
    <w:rsid w:val="00CF02AD"/>
    <w:rsid w:val="00CF031C"/>
    <w:rsid w:val="00CF03B9"/>
    <w:rsid w:val="00CF04AF"/>
    <w:rsid w:val="00CF0521"/>
    <w:rsid w:val="00CF063A"/>
    <w:rsid w:val="00CF069C"/>
    <w:rsid w:val="00CF06E8"/>
    <w:rsid w:val="00CF0736"/>
    <w:rsid w:val="00CF0801"/>
    <w:rsid w:val="00CF08BB"/>
    <w:rsid w:val="00CF0BAD"/>
    <w:rsid w:val="00CF0D64"/>
    <w:rsid w:val="00CF0E5D"/>
    <w:rsid w:val="00CF109A"/>
    <w:rsid w:val="00CF112A"/>
    <w:rsid w:val="00CF118B"/>
    <w:rsid w:val="00CF1257"/>
    <w:rsid w:val="00CF128F"/>
    <w:rsid w:val="00CF1339"/>
    <w:rsid w:val="00CF139B"/>
    <w:rsid w:val="00CF1408"/>
    <w:rsid w:val="00CF14F2"/>
    <w:rsid w:val="00CF1557"/>
    <w:rsid w:val="00CF1580"/>
    <w:rsid w:val="00CF15A1"/>
    <w:rsid w:val="00CF15F7"/>
    <w:rsid w:val="00CF1658"/>
    <w:rsid w:val="00CF1694"/>
    <w:rsid w:val="00CF1874"/>
    <w:rsid w:val="00CF18E7"/>
    <w:rsid w:val="00CF1927"/>
    <w:rsid w:val="00CF1C00"/>
    <w:rsid w:val="00CF1C14"/>
    <w:rsid w:val="00CF1C2D"/>
    <w:rsid w:val="00CF1E03"/>
    <w:rsid w:val="00CF1E0D"/>
    <w:rsid w:val="00CF1EC4"/>
    <w:rsid w:val="00CF1F26"/>
    <w:rsid w:val="00CF1F5A"/>
    <w:rsid w:val="00CF227F"/>
    <w:rsid w:val="00CF22D3"/>
    <w:rsid w:val="00CF22EF"/>
    <w:rsid w:val="00CF22F8"/>
    <w:rsid w:val="00CF2303"/>
    <w:rsid w:val="00CF2425"/>
    <w:rsid w:val="00CF25B0"/>
    <w:rsid w:val="00CF25DF"/>
    <w:rsid w:val="00CF27CC"/>
    <w:rsid w:val="00CF28D3"/>
    <w:rsid w:val="00CF29A7"/>
    <w:rsid w:val="00CF2B74"/>
    <w:rsid w:val="00CF2C29"/>
    <w:rsid w:val="00CF3013"/>
    <w:rsid w:val="00CF3027"/>
    <w:rsid w:val="00CF30F8"/>
    <w:rsid w:val="00CF3145"/>
    <w:rsid w:val="00CF3240"/>
    <w:rsid w:val="00CF32C6"/>
    <w:rsid w:val="00CF3304"/>
    <w:rsid w:val="00CF353F"/>
    <w:rsid w:val="00CF3566"/>
    <w:rsid w:val="00CF35E6"/>
    <w:rsid w:val="00CF3605"/>
    <w:rsid w:val="00CF3668"/>
    <w:rsid w:val="00CF3780"/>
    <w:rsid w:val="00CF37FC"/>
    <w:rsid w:val="00CF3808"/>
    <w:rsid w:val="00CF3882"/>
    <w:rsid w:val="00CF3945"/>
    <w:rsid w:val="00CF3AA8"/>
    <w:rsid w:val="00CF3C5E"/>
    <w:rsid w:val="00CF3CFD"/>
    <w:rsid w:val="00CF3D25"/>
    <w:rsid w:val="00CF3D4D"/>
    <w:rsid w:val="00CF3DC3"/>
    <w:rsid w:val="00CF3EBD"/>
    <w:rsid w:val="00CF424D"/>
    <w:rsid w:val="00CF42B8"/>
    <w:rsid w:val="00CF434D"/>
    <w:rsid w:val="00CF4521"/>
    <w:rsid w:val="00CF482F"/>
    <w:rsid w:val="00CF4A4E"/>
    <w:rsid w:val="00CF4D0B"/>
    <w:rsid w:val="00CF4D5C"/>
    <w:rsid w:val="00CF4EB8"/>
    <w:rsid w:val="00CF4EF6"/>
    <w:rsid w:val="00CF4FE6"/>
    <w:rsid w:val="00CF50CA"/>
    <w:rsid w:val="00CF5295"/>
    <w:rsid w:val="00CF52E2"/>
    <w:rsid w:val="00CF5685"/>
    <w:rsid w:val="00CF571B"/>
    <w:rsid w:val="00CF5742"/>
    <w:rsid w:val="00CF5798"/>
    <w:rsid w:val="00CF57AB"/>
    <w:rsid w:val="00CF587B"/>
    <w:rsid w:val="00CF58F3"/>
    <w:rsid w:val="00CF5A9A"/>
    <w:rsid w:val="00CF5AB4"/>
    <w:rsid w:val="00CF5AF9"/>
    <w:rsid w:val="00CF5B47"/>
    <w:rsid w:val="00CF5C21"/>
    <w:rsid w:val="00CF5DFA"/>
    <w:rsid w:val="00CF5EE2"/>
    <w:rsid w:val="00CF5F6B"/>
    <w:rsid w:val="00CF5FC6"/>
    <w:rsid w:val="00CF6088"/>
    <w:rsid w:val="00CF6371"/>
    <w:rsid w:val="00CF63DA"/>
    <w:rsid w:val="00CF646E"/>
    <w:rsid w:val="00CF6516"/>
    <w:rsid w:val="00CF6583"/>
    <w:rsid w:val="00CF6707"/>
    <w:rsid w:val="00CF671E"/>
    <w:rsid w:val="00CF6728"/>
    <w:rsid w:val="00CF6755"/>
    <w:rsid w:val="00CF6767"/>
    <w:rsid w:val="00CF6A1E"/>
    <w:rsid w:val="00CF6A52"/>
    <w:rsid w:val="00CF6ACF"/>
    <w:rsid w:val="00CF6B78"/>
    <w:rsid w:val="00CF6BA5"/>
    <w:rsid w:val="00CF6CE9"/>
    <w:rsid w:val="00CF6D4C"/>
    <w:rsid w:val="00CF6D84"/>
    <w:rsid w:val="00CF6EE0"/>
    <w:rsid w:val="00CF6EFC"/>
    <w:rsid w:val="00CF6F7D"/>
    <w:rsid w:val="00CF73A7"/>
    <w:rsid w:val="00CF763E"/>
    <w:rsid w:val="00CF7644"/>
    <w:rsid w:val="00CF7832"/>
    <w:rsid w:val="00CF783F"/>
    <w:rsid w:val="00CF7938"/>
    <w:rsid w:val="00CF797F"/>
    <w:rsid w:val="00CF79E6"/>
    <w:rsid w:val="00CF7B46"/>
    <w:rsid w:val="00CF7B81"/>
    <w:rsid w:val="00CF7BAA"/>
    <w:rsid w:val="00CF7C68"/>
    <w:rsid w:val="00CF7D70"/>
    <w:rsid w:val="00CF7D83"/>
    <w:rsid w:val="00CF7E58"/>
    <w:rsid w:val="00CF7E9D"/>
    <w:rsid w:val="00CF7F34"/>
    <w:rsid w:val="00CF7F61"/>
    <w:rsid w:val="00D000B4"/>
    <w:rsid w:val="00D00248"/>
    <w:rsid w:val="00D0029B"/>
    <w:rsid w:val="00D0037D"/>
    <w:rsid w:val="00D003E5"/>
    <w:rsid w:val="00D005E3"/>
    <w:rsid w:val="00D005F9"/>
    <w:rsid w:val="00D00625"/>
    <w:rsid w:val="00D006C7"/>
    <w:rsid w:val="00D00838"/>
    <w:rsid w:val="00D00986"/>
    <w:rsid w:val="00D009A0"/>
    <w:rsid w:val="00D00B2D"/>
    <w:rsid w:val="00D00B6C"/>
    <w:rsid w:val="00D00C23"/>
    <w:rsid w:val="00D00DE5"/>
    <w:rsid w:val="00D00E3B"/>
    <w:rsid w:val="00D00F9C"/>
    <w:rsid w:val="00D0108C"/>
    <w:rsid w:val="00D01178"/>
    <w:rsid w:val="00D013A7"/>
    <w:rsid w:val="00D013BA"/>
    <w:rsid w:val="00D013C5"/>
    <w:rsid w:val="00D01472"/>
    <w:rsid w:val="00D01478"/>
    <w:rsid w:val="00D01488"/>
    <w:rsid w:val="00D015A9"/>
    <w:rsid w:val="00D015CD"/>
    <w:rsid w:val="00D01604"/>
    <w:rsid w:val="00D0175C"/>
    <w:rsid w:val="00D01790"/>
    <w:rsid w:val="00D01B5B"/>
    <w:rsid w:val="00D01BD4"/>
    <w:rsid w:val="00D01CE8"/>
    <w:rsid w:val="00D01D91"/>
    <w:rsid w:val="00D01EA9"/>
    <w:rsid w:val="00D021CB"/>
    <w:rsid w:val="00D022C3"/>
    <w:rsid w:val="00D022CF"/>
    <w:rsid w:val="00D0239F"/>
    <w:rsid w:val="00D02441"/>
    <w:rsid w:val="00D02445"/>
    <w:rsid w:val="00D02558"/>
    <w:rsid w:val="00D02583"/>
    <w:rsid w:val="00D02598"/>
    <w:rsid w:val="00D026F5"/>
    <w:rsid w:val="00D028C7"/>
    <w:rsid w:val="00D029D6"/>
    <w:rsid w:val="00D02A6C"/>
    <w:rsid w:val="00D02D23"/>
    <w:rsid w:val="00D0300E"/>
    <w:rsid w:val="00D03060"/>
    <w:rsid w:val="00D03172"/>
    <w:rsid w:val="00D0325B"/>
    <w:rsid w:val="00D03261"/>
    <w:rsid w:val="00D0336D"/>
    <w:rsid w:val="00D03429"/>
    <w:rsid w:val="00D03862"/>
    <w:rsid w:val="00D039AA"/>
    <w:rsid w:val="00D039F2"/>
    <w:rsid w:val="00D03A0E"/>
    <w:rsid w:val="00D03A15"/>
    <w:rsid w:val="00D03BB0"/>
    <w:rsid w:val="00D03CF5"/>
    <w:rsid w:val="00D03D5B"/>
    <w:rsid w:val="00D03E0E"/>
    <w:rsid w:val="00D03EF8"/>
    <w:rsid w:val="00D03F4C"/>
    <w:rsid w:val="00D041FD"/>
    <w:rsid w:val="00D043A0"/>
    <w:rsid w:val="00D043B4"/>
    <w:rsid w:val="00D043D1"/>
    <w:rsid w:val="00D044DB"/>
    <w:rsid w:val="00D0454F"/>
    <w:rsid w:val="00D04624"/>
    <w:rsid w:val="00D0469F"/>
    <w:rsid w:val="00D04808"/>
    <w:rsid w:val="00D04893"/>
    <w:rsid w:val="00D048A8"/>
    <w:rsid w:val="00D049AE"/>
    <w:rsid w:val="00D049EC"/>
    <w:rsid w:val="00D04AE9"/>
    <w:rsid w:val="00D04BF1"/>
    <w:rsid w:val="00D04DB4"/>
    <w:rsid w:val="00D04FA8"/>
    <w:rsid w:val="00D0503D"/>
    <w:rsid w:val="00D0544B"/>
    <w:rsid w:val="00D054D5"/>
    <w:rsid w:val="00D0558A"/>
    <w:rsid w:val="00D056C6"/>
    <w:rsid w:val="00D056CB"/>
    <w:rsid w:val="00D05771"/>
    <w:rsid w:val="00D057E0"/>
    <w:rsid w:val="00D0580A"/>
    <w:rsid w:val="00D05812"/>
    <w:rsid w:val="00D058BB"/>
    <w:rsid w:val="00D059B8"/>
    <w:rsid w:val="00D05A23"/>
    <w:rsid w:val="00D05C15"/>
    <w:rsid w:val="00D05C37"/>
    <w:rsid w:val="00D05D00"/>
    <w:rsid w:val="00D05DD8"/>
    <w:rsid w:val="00D05E39"/>
    <w:rsid w:val="00D05E93"/>
    <w:rsid w:val="00D05EA7"/>
    <w:rsid w:val="00D05EBC"/>
    <w:rsid w:val="00D05F6A"/>
    <w:rsid w:val="00D06113"/>
    <w:rsid w:val="00D061D2"/>
    <w:rsid w:val="00D0620F"/>
    <w:rsid w:val="00D063D0"/>
    <w:rsid w:val="00D06463"/>
    <w:rsid w:val="00D06499"/>
    <w:rsid w:val="00D06548"/>
    <w:rsid w:val="00D06593"/>
    <w:rsid w:val="00D065F8"/>
    <w:rsid w:val="00D06680"/>
    <w:rsid w:val="00D067ED"/>
    <w:rsid w:val="00D0683A"/>
    <w:rsid w:val="00D069A3"/>
    <w:rsid w:val="00D069CB"/>
    <w:rsid w:val="00D06A89"/>
    <w:rsid w:val="00D0703B"/>
    <w:rsid w:val="00D070C6"/>
    <w:rsid w:val="00D07459"/>
    <w:rsid w:val="00D0772D"/>
    <w:rsid w:val="00D077F2"/>
    <w:rsid w:val="00D07843"/>
    <w:rsid w:val="00D078F9"/>
    <w:rsid w:val="00D07A2C"/>
    <w:rsid w:val="00D07A49"/>
    <w:rsid w:val="00D07C9C"/>
    <w:rsid w:val="00D07CED"/>
    <w:rsid w:val="00D07DB7"/>
    <w:rsid w:val="00D07E52"/>
    <w:rsid w:val="00D07FA0"/>
    <w:rsid w:val="00D1005F"/>
    <w:rsid w:val="00D1006D"/>
    <w:rsid w:val="00D10110"/>
    <w:rsid w:val="00D1011E"/>
    <w:rsid w:val="00D102DA"/>
    <w:rsid w:val="00D102DC"/>
    <w:rsid w:val="00D105D6"/>
    <w:rsid w:val="00D1077D"/>
    <w:rsid w:val="00D107F7"/>
    <w:rsid w:val="00D10912"/>
    <w:rsid w:val="00D1092A"/>
    <w:rsid w:val="00D109A9"/>
    <w:rsid w:val="00D10AB9"/>
    <w:rsid w:val="00D10BC2"/>
    <w:rsid w:val="00D10C2C"/>
    <w:rsid w:val="00D10DB8"/>
    <w:rsid w:val="00D10DEB"/>
    <w:rsid w:val="00D10E0E"/>
    <w:rsid w:val="00D10EE3"/>
    <w:rsid w:val="00D10F0D"/>
    <w:rsid w:val="00D10FDD"/>
    <w:rsid w:val="00D110FC"/>
    <w:rsid w:val="00D1119B"/>
    <w:rsid w:val="00D11247"/>
    <w:rsid w:val="00D11255"/>
    <w:rsid w:val="00D112DB"/>
    <w:rsid w:val="00D1145F"/>
    <w:rsid w:val="00D114C8"/>
    <w:rsid w:val="00D114F3"/>
    <w:rsid w:val="00D115EF"/>
    <w:rsid w:val="00D11609"/>
    <w:rsid w:val="00D1169C"/>
    <w:rsid w:val="00D116D0"/>
    <w:rsid w:val="00D117F7"/>
    <w:rsid w:val="00D1185A"/>
    <w:rsid w:val="00D11A57"/>
    <w:rsid w:val="00D11AE8"/>
    <w:rsid w:val="00D11C8A"/>
    <w:rsid w:val="00D120F8"/>
    <w:rsid w:val="00D12307"/>
    <w:rsid w:val="00D1238F"/>
    <w:rsid w:val="00D12422"/>
    <w:rsid w:val="00D12489"/>
    <w:rsid w:val="00D12578"/>
    <w:rsid w:val="00D12592"/>
    <w:rsid w:val="00D126A0"/>
    <w:rsid w:val="00D127FB"/>
    <w:rsid w:val="00D128A0"/>
    <w:rsid w:val="00D128E1"/>
    <w:rsid w:val="00D12900"/>
    <w:rsid w:val="00D1297A"/>
    <w:rsid w:val="00D12A12"/>
    <w:rsid w:val="00D12A91"/>
    <w:rsid w:val="00D12B83"/>
    <w:rsid w:val="00D12DE0"/>
    <w:rsid w:val="00D12E4D"/>
    <w:rsid w:val="00D12F30"/>
    <w:rsid w:val="00D12F4C"/>
    <w:rsid w:val="00D12FBB"/>
    <w:rsid w:val="00D130D6"/>
    <w:rsid w:val="00D132D2"/>
    <w:rsid w:val="00D1339D"/>
    <w:rsid w:val="00D1347D"/>
    <w:rsid w:val="00D134F7"/>
    <w:rsid w:val="00D1355F"/>
    <w:rsid w:val="00D136CD"/>
    <w:rsid w:val="00D137D3"/>
    <w:rsid w:val="00D138AE"/>
    <w:rsid w:val="00D138C5"/>
    <w:rsid w:val="00D13906"/>
    <w:rsid w:val="00D139A7"/>
    <w:rsid w:val="00D13B15"/>
    <w:rsid w:val="00D13B5F"/>
    <w:rsid w:val="00D13C12"/>
    <w:rsid w:val="00D13E74"/>
    <w:rsid w:val="00D13F0A"/>
    <w:rsid w:val="00D13F67"/>
    <w:rsid w:val="00D140C4"/>
    <w:rsid w:val="00D141F3"/>
    <w:rsid w:val="00D1435E"/>
    <w:rsid w:val="00D1448E"/>
    <w:rsid w:val="00D14684"/>
    <w:rsid w:val="00D146B1"/>
    <w:rsid w:val="00D14702"/>
    <w:rsid w:val="00D14834"/>
    <w:rsid w:val="00D14948"/>
    <w:rsid w:val="00D14A43"/>
    <w:rsid w:val="00D14A72"/>
    <w:rsid w:val="00D14C72"/>
    <w:rsid w:val="00D14DB8"/>
    <w:rsid w:val="00D14EEE"/>
    <w:rsid w:val="00D14FE9"/>
    <w:rsid w:val="00D15007"/>
    <w:rsid w:val="00D15008"/>
    <w:rsid w:val="00D151BA"/>
    <w:rsid w:val="00D152ED"/>
    <w:rsid w:val="00D1538C"/>
    <w:rsid w:val="00D15419"/>
    <w:rsid w:val="00D15549"/>
    <w:rsid w:val="00D155C7"/>
    <w:rsid w:val="00D15680"/>
    <w:rsid w:val="00D156BC"/>
    <w:rsid w:val="00D156E0"/>
    <w:rsid w:val="00D15819"/>
    <w:rsid w:val="00D1589E"/>
    <w:rsid w:val="00D15A25"/>
    <w:rsid w:val="00D15AEE"/>
    <w:rsid w:val="00D15C47"/>
    <w:rsid w:val="00D15D97"/>
    <w:rsid w:val="00D15E12"/>
    <w:rsid w:val="00D15E5E"/>
    <w:rsid w:val="00D15F9E"/>
    <w:rsid w:val="00D160D9"/>
    <w:rsid w:val="00D16261"/>
    <w:rsid w:val="00D162E2"/>
    <w:rsid w:val="00D162E3"/>
    <w:rsid w:val="00D163BB"/>
    <w:rsid w:val="00D1640C"/>
    <w:rsid w:val="00D1641D"/>
    <w:rsid w:val="00D164B3"/>
    <w:rsid w:val="00D16650"/>
    <w:rsid w:val="00D16670"/>
    <w:rsid w:val="00D168A9"/>
    <w:rsid w:val="00D16A3F"/>
    <w:rsid w:val="00D16AA3"/>
    <w:rsid w:val="00D16DC9"/>
    <w:rsid w:val="00D16DE2"/>
    <w:rsid w:val="00D16E3A"/>
    <w:rsid w:val="00D16F81"/>
    <w:rsid w:val="00D17028"/>
    <w:rsid w:val="00D17082"/>
    <w:rsid w:val="00D172BF"/>
    <w:rsid w:val="00D17394"/>
    <w:rsid w:val="00D174C1"/>
    <w:rsid w:val="00D1752E"/>
    <w:rsid w:val="00D176E4"/>
    <w:rsid w:val="00D176F5"/>
    <w:rsid w:val="00D17707"/>
    <w:rsid w:val="00D1771B"/>
    <w:rsid w:val="00D178B4"/>
    <w:rsid w:val="00D1796F"/>
    <w:rsid w:val="00D179A0"/>
    <w:rsid w:val="00D17A12"/>
    <w:rsid w:val="00D17A73"/>
    <w:rsid w:val="00D17A75"/>
    <w:rsid w:val="00D17C13"/>
    <w:rsid w:val="00D17CDF"/>
    <w:rsid w:val="00D17DE0"/>
    <w:rsid w:val="00D17E47"/>
    <w:rsid w:val="00D17ED1"/>
    <w:rsid w:val="00D17F4B"/>
    <w:rsid w:val="00D20067"/>
    <w:rsid w:val="00D200DA"/>
    <w:rsid w:val="00D201FE"/>
    <w:rsid w:val="00D2036B"/>
    <w:rsid w:val="00D203D0"/>
    <w:rsid w:val="00D2047A"/>
    <w:rsid w:val="00D204D6"/>
    <w:rsid w:val="00D2078B"/>
    <w:rsid w:val="00D208D7"/>
    <w:rsid w:val="00D20A00"/>
    <w:rsid w:val="00D20ACE"/>
    <w:rsid w:val="00D20B06"/>
    <w:rsid w:val="00D20B25"/>
    <w:rsid w:val="00D20C0E"/>
    <w:rsid w:val="00D20CDD"/>
    <w:rsid w:val="00D20FAD"/>
    <w:rsid w:val="00D20FCE"/>
    <w:rsid w:val="00D20FF9"/>
    <w:rsid w:val="00D2105E"/>
    <w:rsid w:val="00D2108C"/>
    <w:rsid w:val="00D2117B"/>
    <w:rsid w:val="00D21305"/>
    <w:rsid w:val="00D213CA"/>
    <w:rsid w:val="00D214A6"/>
    <w:rsid w:val="00D215F4"/>
    <w:rsid w:val="00D21606"/>
    <w:rsid w:val="00D21620"/>
    <w:rsid w:val="00D216D7"/>
    <w:rsid w:val="00D216DD"/>
    <w:rsid w:val="00D21748"/>
    <w:rsid w:val="00D21863"/>
    <w:rsid w:val="00D219BD"/>
    <w:rsid w:val="00D21AF0"/>
    <w:rsid w:val="00D21BC8"/>
    <w:rsid w:val="00D21E58"/>
    <w:rsid w:val="00D2202A"/>
    <w:rsid w:val="00D221AE"/>
    <w:rsid w:val="00D223C4"/>
    <w:rsid w:val="00D223D6"/>
    <w:rsid w:val="00D226EC"/>
    <w:rsid w:val="00D2278F"/>
    <w:rsid w:val="00D227B5"/>
    <w:rsid w:val="00D227F5"/>
    <w:rsid w:val="00D22940"/>
    <w:rsid w:val="00D22949"/>
    <w:rsid w:val="00D22CA3"/>
    <w:rsid w:val="00D22DCE"/>
    <w:rsid w:val="00D22DF5"/>
    <w:rsid w:val="00D22E0D"/>
    <w:rsid w:val="00D22E64"/>
    <w:rsid w:val="00D22E8E"/>
    <w:rsid w:val="00D22F9F"/>
    <w:rsid w:val="00D22FB5"/>
    <w:rsid w:val="00D23003"/>
    <w:rsid w:val="00D23113"/>
    <w:rsid w:val="00D23292"/>
    <w:rsid w:val="00D2347F"/>
    <w:rsid w:val="00D23483"/>
    <w:rsid w:val="00D23589"/>
    <w:rsid w:val="00D235A0"/>
    <w:rsid w:val="00D236A7"/>
    <w:rsid w:val="00D23715"/>
    <w:rsid w:val="00D23787"/>
    <w:rsid w:val="00D237BC"/>
    <w:rsid w:val="00D237E7"/>
    <w:rsid w:val="00D238D8"/>
    <w:rsid w:val="00D238F7"/>
    <w:rsid w:val="00D23A06"/>
    <w:rsid w:val="00D23A16"/>
    <w:rsid w:val="00D23CA5"/>
    <w:rsid w:val="00D23EC4"/>
    <w:rsid w:val="00D23FF5"/>
    <w:rsid w:val="00D24062"/>
    <w:rsid w:val="00D240B1"/>
    <w:rsid w:val="00D24239"/>
    <w:rsid w:val="00D244E8"/>
    <w:rsid w:val="00D2466D"/>
    <w:rsid w:val="00D246DF"/>
    <w:rsid w:val="00D2478A"/>
    <w:rsid w:val="00D2481D"/>
    <w:rsid w:val="00D249A3"/>
    <w:rsid w:val="00D249BF"/>
    <w:rsid w:val="00D249E0"/>
    <w:rsid w:val="00D249F0"/>
    <w:rsid w:val="00D24B3B"/>
    <w:rsid w:val="00D24C42"/>
    <w:rsid w:val="00D24D1B"/>
    <w:rsid w:val="00D24D5A"/>
    <w:rsid w:val="00D24E63"/>
    <w:rsid w:val="00D24FA9"/>
    <w:rsid w:val="00D25063"/>
    <w:rsid w:val="00D250D7"/>
    <w:rsid w:val="00D25154"/>
    <w:rsid w:val="00D25169"/>
    <w:rsid w:val="00D25271"/>
    <w:rsid w:val="00D2528E"/>
    <w:rsid w:val="00D252A7"/>
    <w:rsid w:val="00D2530E"/>
    <w:rsid w:val="00D25333"/>
    <w:rsid w:val="00D254FB"/>
    <w:rsid w:val="00D255F5"/>
    <w:rsid w:val="00D256AB"/>
    <w:rsid w:val="00D256E7"/>
    <w:rsid w:val="00D25736"/>
    <w:rsid w:val="00D259F7"/>
    <w:rsid w:val="00D25A21"/>
    <w:rsid w:val="00D25A67"/>
    <w:rsid w:val="00D25A69"/>
    <w:rsid w:val="00D25A72"/>
    <w:rsid w:val="00D25B08"/>
    <w:rsid w:val="00D25B82"/>
    <w:rsid w:val="00D25B95"/>
    <w:rsid w:val="00D25F51"/>
    <w:rsid w:val="00D25F9C"/>
    <w:rsid w:val="00D260D2"/>
    <w:rsid w:val="00D26107"/>
    <w:rsid w:val="00D26296"/>
    <w:rsid w:val="00D26449"/>
    <w:rsid w:val="00D26482"/>
    <w:rsid w:val="00D26486"/>
    <w:rsid w:val="00D26509"/>
    <w:rsid w:val="00D265FC"/>
    <w:rsid w:val="00D2665A"/>
    <w:rsid w:val="00D266FD"/>
    <w:rsid w:val="00D2675C"/>
    <w:rsid w:val="00D267FA"/>
    <w:rsid w:val="00D26923"/>
    <w:rsid w:val="00D26958"/>
    <w:rsid w:val="00D269D5"/>
    <w:rsid w:val="00D269FA"/>
    <w:rsid w:val="00D26D89"/>
    <w:rsid w:val="00D26E55"/>
    <w:rsid w:val="00D26E7E"/>
    <w:rsid w:val="00D2710A"/>
    <w:rsid w:val="00D27296"/>
    <w:rsid w:val="00D272CE"/>
    <w:rsid w:val="00D274EA"/>
    <w:rsid w:val="00D27690"/>
    <w:rsid w:val="00D276B0"/>
    <w:rsid w:val="00D277E1"/>
    <w:rsid w:val="00D277F8"/>
    <w:rsid w:val="00D27903"/>
    <w:rsid w:val="00D27AD3"/>
    <w:rsid w:val="00D27F2B"/>
    <w:rsid w:val="00D30194"/>
    <w:rsid w:val="00D301D3"/>
    <w:rsid w:val="00D30205"/>
    <w:rsid w:val="00D302D6"/>
    <w:rsid w:val="00D30374"/>
    <w:rsid w:val="00D303D4"/>
    <w:rsid w:val="00D30406"/>
    <w:rsid w:val="00D304F3"/>
    <w:rsid w:val="00D3058A"/>
    <w:rsid w:val="00D30666"/>
    <w:rsid w:val="00D30753"/>
    <w:rsid w:val="00D30819"/>
    <w:rsid w:val="00D30846"/>
    <w:rsid w:val="00D30AC9"/>
    <w:rsid w:val="00D30BA8"/>
    <w:rsid w:val="00D30BC1"/>
    <w:rsid w:val="00D30E4C"/>
    <w:rsid w:val="00D30E54"/>
    <w:rsid w:val="00D30F2E"/>
    <w:rsid w:val="00D31010"/>
    <w:rsid w:val="00D311E9"/>
    <w:rsid w:val="00D31268"/>
    <w:rsid w:val="00D31288"/>
    <w:rsid w:val="00D3169F"/>
    <w:rsid w:val="00D316CB"/>
    <w:rsid w:val="00D316D6"/>
    <w:rsid w:val="00D3170F"/>
    <w:rsid w:val="00D3189F"/>
    <w:rsid w:val="00D31B78"/>
    <w:rsid w:val="00D31CB2"/>
    <w:rsid w:val="00D31CF2"/>
    <w:rsid w:val="00D31DB7"/>
    <w:rsid w:val="00D31E21"/>
    <w:rsid w:val="00D31EB9"/>
    <w:rsid w:val="00D31F10"/>
    <w:rsid w:val="00D31F48"/>
    <w:rsid w:val="00D3209A"/>
    <w:rsid w:val="00D32110"/>
    <w:rsid w:val="00D321A3"/>
    <w:rsid w:val="00D3230F"/>
    <w:rsid w:val="00D32340"/>
    <w:rsid w:val="00D323D2"/>
    <w:rsid w:val="00D324D8"/>
    <w:rsid w:val="00D32579"/>
    <w:rsid w:val="00D32668"/>
    <w:rsid w:val="00D32695"/>
    <w:rsid w:val="00D327C6"/>
    <w:rsid w:val="00D32818"/>
    <w:rsid w:val="00D3293E"/>
    <w:rsid w:val="00D32A4D"/>
    <w:rsid w:val="00D32A82"/>
    <w:rsid w:val="00D32BB0"/>
    <w:rsid w:val="00D32C9A"/>
    <w:rsid w:val="00D32D4B"/>
    <w:rsid w:val="00D32D64"/>
    <w:rsid w:val="00D32E71"/>
    <w:rsid w:val="00D32F13"/>
    <w:rsid w:val="00D330A5"/>
    <w:rsid w:val="00D331D4"/>
    <w:rsid w:val="00D331FB"/>
    <w:rsid w:val="00D33264"/>
    <w:rsid w:val="00D333E7"/>
    <w:rsid w:val="00D33439"/>
    <w:rsid w:val="00D3351B"/>
    <w:rsid w:val="00D336FE"/>
    <w:rsid w:val="00D3370B"/>
    <w:rsid w:val="00D3378B"/>
    <w:rsid w:val="00D33859"/>
    <w:rsid w:val="00D338A5"/>
    <w:rsid w:val="00D33A07"/>
    <w:rsid w:val="00D33A91"/>
    <w:rsid w:val="00D33BB9"/>
    <w:rsid w:val="00D33E84"/>
    <w:rsid w:val="00D33EF3"/>
    <w:rsid w:val="00D33F79"/>
    <w:rsid w:val="00D34056"/>
    <w:rsid w:val="00D34241"/>
    <w:rsid w:val="00D34476"/>
    <w:rsid w:val="00D34514"/>
    <w:rsid w:val="00D3453B"/>
    <w:rsid w:val="00D34640"/>
    <w:rsid w:val="00D346EC"/>
    <w:rsid w:val="00D3485D"/>
    <w:rsid w:val="00D3496B"/>
    <w:rsid w:val="00D34B15"/>
    <w:rsid w:val="00D34BB1"/>
    <w:rsid w:val="00D34C49"/>
    <w:rsid w:val="00D34CDF"/>
    <w:rsid w:val="00D34D19"/>
    <w:rsid w:val="00D34D43"/>
    <w:rsid w:val="00D34F12"/>
    <w:rsid w:val="00D34F23"/>
    <w:rsid w:val="00D34FD6"/>
    <w:rsid w:val="00D35090"/>
    <w:rsid w:val="00D350F4"/>
    <w:rsid w:val="00D35297"/>
    <w:rsid w:val="00D352D2"/>
    <w:rsid w:val="00D353DF"/>
    <w:rsid w:val="00D35441"/>
    <w:rsid w:val="00D35448"/>
    <w:rsid w:val="00D3547E"/>
    <w:rsid w:val="00D356B8"/>
    <w:rsid w:val="00D35730"/>
    <w:rsid w:val="00D357B1"/>
    <w:rsid w:val="00D358C4"/>
    <w:rsid w:val="00D358FA"/>
    <w:rsid w:val="00D3593F"/>
    <w:rsid w:val="00D35943"/>
    <w:rsid w:val="00D35AFD"/>
    <w:rsid w:val="00D35BE7"/>
    <w:rsid w:val="00D35C3A"/>
    <w:rsid w:val="00D35DC2"/>
    <w:rsid w:val="00D361EF"/>
    <w:rsid w:val="00D3620A"/>
    <w:rsid w:val="00D3628A"/>
    <w:rsid w:val="00D362B2"/>
    <w:rsid w:val="00D36300"/>
    <w:rsid w:val="00D3637D"/>
    <w:rsid w:val="00D36531"/>
    <w:rsid w:val="00D36721"/>
    <w:rsid w:val="00D36732"/>
    <w:rsid w:val="00D3675A"/>
    <w:rsid w:val="00D367D3"/>
    <w:rsid w:val="00D36897"/>
    <w:rsid w:val="00D368F2"/>
    <w:rsid w:val="00D36934"/>
    <w:rsid w:val="00D36946"/>
    <w:rsid w:val="00D36975"/>
    <w:rsid w:val="00D36977"/>
    <w:rsid w:val="00D36B6D"/>
    <w:rsid w:val="00D36FA4"/>
    <w:rsid w:val="00D36FA5"/>
    <w:rsid w:val="00D37046"/>
    <w:rsid w:val="00D37163"/>
    <w:rsid w:val="00D3728E"/>
    <w:rsid w:val="00D37316"/>
    <w:rsid w:val="00D37503"/>
    <w:rsid w:val="00D3754E"/>
    <w:rsid w:val="00D37721"/>
    <w:rsid w:val="00D377A9"/>
    <w:rsid w:val="00D37A27"/>
    <w:rsid w:val="00D37B33"/>
    <w:rsid w:val="00D37C21"/>
    <w:rsid w:val="00D37C2B"/>
    <w:rsid w:val="00D37C6C"/>
    <w:rsid w:val="00D37C93"/>
    <w:rsid w:val="00D37D5A"/>
    <w:rsid w:val="00D37DD6"/>
    <w:rsid w:val="00D37E43"/>
    <w:rsid w:val="00D37EC0"/>
    <w:rsid w:val="00D37F13"/>
    <w:rsid w:val="00D37FCC"/>
    <w:rsid w:val="00D40103"/>
    <w:rsid w:val="00D4019A"/>
    <w:rsid w:val="00D40313"/>
    <w:rsid w:val="00D40315"/>
    <w:rsid w:val="00D40476"/>
    <w:rsid w:val="00D405E7"/>
    <w:rsid w:val="00D406B6"/>
    <w:rsid w:val="00D4084B"/>
    <w:rsid w:val="00D40855"/>
    <w:rsid w:val="00D40961"/>
    <w:rsid w:val="00D409A0"/>
    <w:rsid w:val="00D409FC"/>
    <w:rsid w:val="00D40AE6"/>
    <w:rsid w:val="00D40AFB"/>
    <w:rsid w:val="00D40B17"/>
    <w:rsid w:val="00D40B32"/>
    <w:rsid w:val="00D40BD9"/>
    <w:rsid w:val="00D40BF5"/>
    <w:rsid w:val="00D40CAE"/>
    <w:rsid w:val="00D4103E"/>
    <w:rsid w:val="00D411DC"/>
    <w:rsid w:val="00D411F0"/>
    <w:rsid w:val="00D41222"/>
    <w:rsid w:val="00D41271"/>
    <w:rsid w:val="00D416F7"/>
    <w:rsid w:val="00D41B8A"/>
    <w:rsid w:val="00D41CD1"/>
    <w:rsid w:val="00D41E2B"/>
    <w:rsid w:val="00D41EDB"/>
    <w:rsid w:val="00D41F21"/>
    <w:rsid w:val="00D41F41"/>
    <w:rsid w:val="00D41F6E"/>
    <w:rsid w:val="00D41FEE"/>
    <w:rsid w:val="00D42095"/>
    <w:rsid w:val="00D422AD"/>
    <w:rsid w:val="00D42377"/>
    <w:rsid w:val="00D423D5"/>
    <w:rsid w:val="00D42614"/>
    <w:rsid w:val="00D4271D"/>
    <w:rsid w:val="00D4276B"/>
    <w:rsid w:val="00D427F7"/>
    <w:rsid w:val="00D42943"/>
    <w:rsid w:val="00D42D39"/>
    <w:rsid w:val="00D42DAC"/>
    <w:rsid w:val="00D42F4A"/>
    <w:rsid w:val="00D42F88"/>
    <w:rsid w:val="00D430B1"/>
    <w:rsid w:val="00D430C0"/>
    <w:rsid w:val="00D430FB"/>
    <w:rsid w:val="00D4323E"/>
    <w:rsid w:val="00D432F7"/>
    <w:rsid w:val="00D433AC"/>
    <w:rsid w:val="00D433B6"/>
    <w:rsid w:val="00D434B1"/>
    <w:rsid w:val="00D435E5"/>
    <w:rsid w:val="00D438E7"/>
    <w:rsid w:val="00D4391B"/>
    <w:rsid w:val="00D43A1D"/>
    <w:rsid w:val="00D43BA4"/>
    <w:rsid w:val="00D43DCD"/>
    <w:rsid w:val="00D43E45"/>
    <w:rsid w:val="00D4404E"/>
    <w:rsid w:val="00D4415F"/>
    <w:rsid w:val="00D441D2"/>
    <w:rsid w:val="00D44241"/>
    <w:rsid w:val="00D44339"/>
    <w:rsid w:val="00D44387"/>
    <w:rsid w:val="00D44496"/>
    <w:rsid w:val="00D4465A"/>
    <w:rsid w:val="00D446DD"/>
    <w:rsid w:val="00D4476F"/>
    <w:rsid w:val="00D44793"/>
    <w:rsid w:val="00D44944"/>
    <w:rsid w:val="00D44B08"/>
    <w:rsid w:val="00D44DF1"/>
    <w:rsid w:val="00D44E19"/>
    <w:rsid w:val="00D44E28"/>
    <w:rsid w:val="00D44F41"/>
    <w:rsid w:val="00D44F7A"/>
    <w:rsid w:val="00D45039"/>
    <w:rsid w:val="00D451AA"/>
    <w:rsid w:val="00D4522C"/>
    <w:rsid w:val="00D4524F"/>
    <w:rsid w:val="00D452BB"/>
    <w:rsid w:val="00D452DE"/>
    <w:rsid w:val="00D452F8"/>
    <w:rsid w:val="00D45335"/>
    <w:rsid w:val="00D4539C"/>
    <w:rsid w:val="00D45475"/>
    <w:rsid w:val="00D455EB"/>
    <w:rsid w:val="00D45619"/>
    <w:rsid w:val="00D4571B"/>
    <w:rsid w:val="00D4574D"/>
    <w:rsid w:val="00D4576D"/>
    <w:rsid w:val="00D459F5"/>
    <w:rsid w:val="00D45AED"/>
    <w:rsid w:val="00D45AF4"/>
    <w:rsid w:val="00D45DEF"/>
    <w:rsid w:val="00D45E98"/>
    <w:rsid w:val="00D46094"/>
    <w:rsid w:val="00D4633F"/>
    <w:rsid w:val="00D46375"/>
    <w:rsid w:val="00D464CA"/>
    <w:rsid w:val="00D467B4"/>
    <w:rsid w:val="00D46803"/>
    <w:rsid w:val="00D46858"/>
    <w:rsid w:val="00D4685E"/>
    <w:rsid w:val="00D46931"/>
    <w:rsid w:val="00D469F1"/>
    <w:rsid w:val="00D46A98"/>
    <w:rsid w:val="00D46AB9"/>
    <w:rsid w:val="00D46AF4"/>
    <w:rsid w:val="00D46E0C"/>
    <w:rsid w:val="00D46F3A"/>
    <w:rsid w:val="00D47022"/>
    <w:rsid w:val="00D4708C"/>
    <w:rsid w:val="00D470A7"/>
    <w:rsid w:val="00D47341"/>
    <w:rsid w:val="00D47511"/>
    <w:rsid w:val="00D47514"/>
    <w:rsid w:val="00D476F7"/>
    <w:rsid w:val="00D47798"/>
    <w:rsid w:val="00D477D1"/>
    <w:rsid w:val="00D47834"/>
    <w:rsid w:val="00D4789E"/>
    <w:rsid w:val="00D479B0"/>
    <w:rsid w:val="00D479BE"/>
    <w:rsid w:val="00D479FC"/>
    <w:rsid w:val="00D47A83"/>
    <w:rsid w:val="00D47B2D"/>
    <w:rsid w:val="00D47BF5"/>
    <w:rsid w:val="00D47CEA"/>
    <w:rsid w:val="00D47DFD"/>
    <w:rsid w:val="00D47E9B"/>
    <w:rsid w:val="00D47F11"/>
    <w:rsid w:val="00D50028"/>
    <w:rsid w:val="00D50031"/>
    <w:rsid w:val="00D50246"/>
    <w:rsid w:val="00D50272"/>
    <w:rsid w:val="00D50476"/>
    <w:rsid w:val="00D504A4"/>
    <w:rsid w:val="00D504C4"/>
    <w:rsid w:val="00D5052F"/>
    <w:rsid w:val="00D506DA"/>
    <w:rsid w:val="00D506F8"/>
    <w:rsid w:val="00D507BF"/>
    <w:rsid w:val="00D50A42"/>
    <w:rsid w:val="00D50A50"/>
    <w:rsid w:val="00D50BAC"/>
    <w:rsid w:val="00D50BC6"/>
    <w:rsid w:val="00D50C51"/>
    <w:rsid w:val="00D50C5F"/>
    <w:rsid w:val="00D50CB9"/>
    <w:rsid w:val="00D50E8B"/>
    <w:rsid w:val="00D50F25"/>
    <w:rsid w:val="00D51114"/>
    <w:rsid w:val="00D51121"/>
    <w:rsid w:val="00D51189"/>
    <w:rsid w:val="00D511B1"/>
    <w:rsid w:val="00D51202"/>
    <w:rsid w:val="00D5126E"/>
    <w:rsid w:val="00D513F4"/>
    <w:rsid w:val="00D516BE"/>
    <w:rsid w:val="00D5181A"/>
    <w:rsid w:val="00D5196E"/>
    <w:rsid w:val="00D51A1D"/>
    <w:rsid w:val="00D51A9F"/>
    <w:rsid w:val="00D51B34"/>
    <w:rsid w:val="00D51BFF"/>
    <w:rsid w:val="00D51DED"/>
    <w:rsid w:val="00D51E1A"/>
    <w:rsid w:val="00D5201D"/>
    <w:rsid w:val="00D520CF"/>
    <w:rsid w:val="00D5223F"/>
    <w:rsid w:val="00D52341"/>
    <w:rsid w:val="00D5235F"/>
    <w:rsid w:val="00D523FE"/>
    <w:rsid w:val="00D5242A"/>
    <w:rsid w:val="00D52561"/>
    <w:rsid w:val="00D52571"/>
    <w:rsid w:val="00D525A1"/>
    <w:rsid w:val="00D52660"/>
    <w:rsid w:val="00D5267A"/>
    <w:rsid w:val="00D52996"/>
    <w:rsid w:val="00D52A03"/>
    <w:rsid w:val="00D52BDD"/>
    <w:rsid w:val="00D52C0F"/>
    <w:rsid w:val="00D52C68"/>
    <w:rsid w:val="00D52D1B"/>
    <w:rsid w:val="00D52D49"/>
    <w:rsid w:val="00D52ECF"/>
    <w:rsid w:val="00D53033"/>
    <w:rsid w:val="00D53077"/>
    <w:rsid w:val="00D53169"/>
    <w:rsid w:val="00D531AE"/>
    <w:rsid w:val="00D53243"/>
    <w:rsid w:val="00D5336F"/>
    <w:rsid w:val="00D5349C"/>
    <w:rsid w:val="00D5384F"/>
    <w:rsid w:val="00D5392B"/>
    <w:rsid w:val="00D53984"/>
    <w:rsid w:val="00D53A64"/>
    <w:rsid w:val="00D53A65"/>
    <w:rsid w:val="00D53ABA"/>
    <w:rsid w:val="00D53AD3"/>
    <w:rsid w:val="00D53B9B"/>
    <w:rsid w:val="00D53BC7"/>
    <w:rsid w:val="00D53BE0"/>
    <w:rsid w:val="00D53BF0"/>
    <w:rsid w:val="00D53C60"/>
    <w:rsid w:val="00D53C6B"/>
    <w:rsid w:val="00D53D50"/>
    <w:rsid w:val="00D53D61"/>
    <w:rsid w:val="00D53DFD"/>
    <w:rsid w:val="00D53E4D"/>
    <w:rsid w:val="00D53E66"/>
    <w:rsid w:val="00D53F4C"/>
    <w:rsid w:val="00D540E4"/>
    <w:rsid w:val="00D5415C"/>
    <w:rsid w:val="00D541B4"/>
    <w:rsid w:val="00D54251"/>
    <w:rsid w:val="00D543E2"/>
    <w:rsid w:val="00D54402"/>
    <w:rsid w:val="00D54432"/>
    <w:rsid w:val="00D54505"/>
    <w:rsid w:val="00D54725"/>
    <w:rsid w:val="00D5484A"/>
    <w:rsid w:val="00D54A63"/>
    <w:rsid w:val="00D54AB9"/>
    <w:rsid w:val="00D54B3C"/>
    <w:rsid w:val="00D54C13"/>
    <w:rsid w:val="00D54D74"/>
    <w:rsid w:val="00D54DC3"/>
    <w:rsid w:val="00D54DDF"/>
    <w:rsid w:val="00D54F88"/>
    <w:rsid w:val="00D54FA7"/>
    <w:rsid w:val="00D54FCC"/>
    <w:rsid w:val="00D55118"/>
    <w:rsid w:val="00D55278"/>
    <w:rsid w:val="00D552FF"/>
    <w:rsid w:val="00D55544"/>
    <w:rsid w:val="00D55592"/>
    <w:rsid w:val="00D55680"/>
    <w:rsid w:val="00D556C9"/>
    <w:rsid w:val="00D556E5"/>
    <w:rsid w:val="00D556EE"/>
    <w:rsid w:val="00D557DA"/>
    <w:rsid w:val="00D55914"/>
    <w:rsid w:val="00D55A4D"/>
    <w:rsid w:val="00D55A98"/>
    <w:rsid w:val="00D55B3F"/>
    <w:rsid w:val="00D55B4D"/>
    <w:rsid w:val="00D55B77"/>
    <w:rsid w:val="00D55D24"/>
    <w:rsid w:val="00D55E03"/>
    <w:rsid w:val="00D55E74"/>
    <w:rsid w:val="00D55F2C"/>
    <w:rsid w:val="00D55FDE"/>
    <w:rsid w:val="00D56286"/>
    <w:rsid w:val="00D56332"/>
    <w:rsid w:val="00D56417"/>
    <w:rsid w:val="00D564C4"/>
    <w:rsid w:val="00D56536"/>
    <w:rsid w:val="00D568D3"/>
    <w:rsid w:val="00D56917"/>
    <w:rsid w:val="00D569D0"/>
    <w:rsid w:val="00D569F7"/>
    <w:rsid w:val="00D56AEC"/>
    <w:rsid w:val="00D56E1A"/>
    <w:rsid w:val="00D56EFA"/>
    <w:rsid w:val="00D56F60"/>
    <w:rsid w:val="00D56FD7"/>
    <w:rsid w:val="00D56FEA"/>
    <w:rsid w:val="00D56FED"/>
    <w:rsid w:val="00D5700C"/>
    <w:rsid w:val="00D570E8"/>
    <w:rsid w:val="00D57277"/>
    <w:rsid w:val="00D572CA"/>
    <w:rsid w:val="00D5738B"/>
    <w:rsid w:val="00D57549"/>
    <w:rsid w:val="00D576BB"/>
    <w:rsid w:val="00D57753"/>
    <w:rsid w:val="00D5797E"/>
    <w:rsid w:val="00D57A53"/>
    <w:rsid w:val="00D57A59"/>
    <w:rsid w:val="00D57ABC"/>
    <w:rsid w:val="00D57C06"/>
    <w:rsid w:val="00D57C5E"/>
    <w:rsid w:val="00D57C86"/>
    <w:rsid w:val="00D57D7F"/>
    <w:rsid w:val="00D57E2E"/>
    <w:rsid w:val="00D57FBC"/>
    <w:rsid w:val="00D602D0"/>
    <w:rsid w:val="00D60790"/>
    <w:rsid w:val="00D6084C"/>
    <w:rsid w:val="00D6086B"/>
    <w:rsid w:val="00D6094B"/>
    <w:rsid w:val="00D60B23"/>
    <w:rsid w:val="00D60D65"/>
    <w:rsid w:val="00D61092"/>
    <w:rsid w:val="00D610F2"/>
    <w:rsid w:val="00D61216"/>
    <w:rsid w:val="00D61256"/>
    <w:rsid w:val="00D612E6"/>
    <w:rsid w:val="00D6135B"/>
    <w:rsid w:val="00D61474"/>
    <w:rsid w:val="00D614DB"/>
    <w:rsid w:val="00D6170D"/>
    <w:rsid w:val="00D61891"/>
    <w:rsid w:val="00D61BFB"/>
    <w:rsid w:val="00D61C28"/>
    <w:rsid w:val="00D61C55"/>
    <w:rsid w:val="00D61E67"/>
    <w:rsid w:val="00D61F1C"/>
    <w:rsid w:val="00D61FBD"/>
    <w:rsid w:val="00D62040"/>
    <w:rsid w:val="00D62206"/>
    <w:rsid w:val="00D62418"/>
    <w:rsid w:val="00D6254A"/>
    <w:rsid w:val="00D62679"/>
    <w:rsid w:val="00D626E4"/>
    <w:rsid w:val="00D627C1"/>
    <w:rsid w:val="00D62804"/>
    <w:rsid w:val="00D629F3"/>
    <w:rsid w:val="00D62B24"/>
    <w:rsid w:val="00D62B28"/>
    <w:rsid w:val="00D62C8A"/>
    <w:rsid w:val="00D62F2B"/>
    <w:rsid w:val="00D62F53"/>
    <w:rsid w:val="00D63192"/>
    <w:rsid w:val="00D631EB"/>
    <w:rsid w:val="00D63214"/>
    <w:rsid w:val="00D632D8"/>
    <w:rsid w:val="00D632E6"/>
    <w:rsid w:val="00D63321"/>
    <w:rsid w:val="00D633BA"/>
    <w:rsid w:val="00D6340E"/>
    <w:rsid w:val="00D6351D"/>
    <w:rsid w:val="00D635A0"/>
    <w:rsid w:val="00D635D6"/>
    <w:rsid w:val="00D63783"/>
    <w:rsid w:val="00D638E4"/>
    <w:rsid w:val="00D639F8"/>
    <w:rsid w:val="00D63B3E"/>
    <w:rsid w:val="00D63DEE"/>
    <w:rsid w:val="00D63F19"/>
    <w:rsid w:val="00D64128"/>
    <w:rsid w:val="00D641D7"/>
    <w:rsid w:val="00D641EE"/>
    <w:rsid w:val="00D64294"/>
    <w:rsid w:val="00D645CD"/>
    <w:rsid w:val="00D6466A"/>
    <w:rsid w:val="00D646C5"/>
    <w:rsid w:val="00D646EA"/>
    <w:rsid w:val="00D64767"/>
    <w:rsid w:val="00D64785"/>
    <w:rsid w:val="00D647B9"/>
    <w:rsid w:val="00D64AAD"/>
    <w:rsid w:val="00D64ADD"/>
    <w:rsid w:val="00D64AF2"/>
    <w:rsid w:val="00D64CE0"/>
    <w:rsid w:val="00D64D5C"/>
    <w:rsid w:val="00D64D7D"/>
    <w:rsid w:val="00D64EC9"/>
    <w:rsid w:val="00D64F44"/>
    <w:rsid w:val="00D65510"/>
    <w:rsid w:val="00D655B8"/>
    <w:rsid w:val="00D655E0"/>
    <w:rsid w:val="00D65824"/>
    <w:rsid w:val="00D659CA"/>
    <w:rsid w:val="00D65A3F"/>
    <w:rsid w:val="00D65B48"/>
    <w:rsid w:val="00D65B67"/>
    <w:rsid w:val="00D65D2A"/>
    <w:rsid w:val="00D65F3F"/>
    <w:rsid w:val="00D66053"/>
    <w:rsid w:val="00D6617A"/>
    <w:rsid w:val="00D661E8"/>
    <w:rsid w:val="00D662CF"/>
    <w:rsid w:val="00D663A1"/>
    <w:rsid w:val="00D663D5"/>
    <w:rsid w:val="00D66428"/>
    <w:rsid w:val="00D6648E"/>
    <w:rsid w:val="00D66666"/>
    <w:rsid w:val="00D66686"/>
    <w:rsid w:val="00D6671A"/>
    <w:rsid w:val="00D668C0"/>
    <w:rsid w:val="00D66A8E"/>
    <w:rsid w:val="00D66AEB"/>
    <w:rsid w:val="00D66BE5"/>
    <w:rsid w:val="00D66E9B"/>
    <w:rsid w:val="00D66F52"/>
    <w:rsid w:val="00D66FDB"/>
    <w:rsid w:val="00D66FED"/>
    <w:rsid w:val="00D670C1"/>
    <w:rsid w:val="00D67172"/>
    <w:rsid w:val="00D6730B"/>
    <w:rsid w:val="00D6733F"/>
    <w:rsid w:val="00D674A2"/>
    <w:rsid w:val="00D678DC"/>
    <w:rsid w:val="00D679AB"/>
    <w:rsid w:val="00D679BF"/>
    <w:rsid w:val="00D67AC8"/>
    <w:rsid w:val="00D67B37"/>
    <w:rsid w:val="00D67B5D"/>
    <w:rsid w:val="00D67BE7"/>
    <w:rsid w:val="00D67EDC"/>
    <w:rsid w:val="00D67F0C"/>
    <w:rsid w:val="00D70050"/>
    <w:rsid w:val="00D70159"/>
    <w:rsid w:val="00D7035D"/>
    <w:rsid w:val="00D70456"/>
    <w:rsid w:val="00D704A7"/>
    <w:rsid w:val="00D705F1"/>
    <w:rsid w:val="00D70698"/>
    <w:rsid w:val="00D70779"/>
    <w:rsid w:val="00D7077C"/>
    <w:rsid w:val="00D7086B"/>
    <w:rsid w:val="00D708DD"/>
    <w:rsid w:val="00D70924"/>
    <w:rsid w:val="00D70964"/>
    <w:rsid w:val="00D70A11"/>
    <w:rsid w:val="00D70A12"/>
    <w:rsid w:val="00D70A73"/>
    <w:rsid w:val="00D70AA1"/>
    <w:rsid w:val="00D70EF6"/>
    <w:rsid w:val="00D71113"/>
    <w:rsid w:val="00D71407"/>
    <w:rsid w:val="00D7140F"/>
    <w:rsid w:val="00D715FE"/>
    <w:rsid w:val="00D716D7"/>
    <w:rsid w:val="00D716F0"/>
    <w:rsid w:val="00D71B46"/>
    <w:rsid w:val="00D71C09"/>
    <w:rsid w:val="00D71C1A"/>
    <w:rsid w:val="00D71D94"/>
    <w:rsid w:val="00D71F1D"/>
    <w:rsid w:val="00D7202B"/>
    <w:rsid w:val="00D72089"/>
    <w:rsid w:val="00D720E5"/>
    <w:rsid w:val="00D72357"/>
    <w:rsid w:val="00D724EA"/>
    <w:rsid w:val="00D72720"/>
    <w:rsid w:val="00D7273A"/>
    <w:rsid w:val="00D7282A"/>
    <w:rsid w:val="00D728C2"/>
    <w:rsid w:val="00D72A0E"/>
    <w:rsid w:val="00D72B0A"/>
    <w:rsid w:val="00D72BB9"/>
    <w:rsid w:val="00D72C00"/>
    <w:rsid w:val="00D72CCE"/>
    <w:rsid w:val="00D72D3C"/>
    <w:rsid w:val="00D72DC4"/>
    <w:rsid w:val="00D7321D"/>
    <w:rsid w:val="00D73253"/>
    <w:rsid w:val="00D7341D"/>
    <w:rsid w:val="00D734A5"/>
    <w:rsid w:val="00D7350C"/>
    <w:rsid w:val="00D735AA"/>
    <w:rsid w:val="00D7373F"/>
    <w:rsid w:val="00D73784"/>
    <w:rsid w:val="00D7381F"/>
    <w:rsid w:val="00D738F4"/>
    <w:rsid w:val="00D73BF6"/>
    <w:rsid w:val="00D73C14"/>
    <w:rsid w:val="00D73C71"/>
    <w:rsid w:val="00D73CED"/>
    <w:rsid w:val="00D73D08"/>
    <w:rsid w:val="00D73EB7"/>
    <w:rsid w:val="00D73F33"/>
    <w:rsid w:val="00D74008"/>
    <w:rsid w:val="00D74189"/>
    <w:rsid w:val="00D7436D"/>
    <w:rsid w:val="00D743C0"/>
    <w:rsid w:val="00D744A1"/>
    <w:rsid w:val="00D746C1"/>
    <w:rsid w:val="00D7475B"/>
    <w:rsid w:val="00D74CC9"/>
    <w:rsid w:val="00D74DD6"/>
    <w:rsid w:val="00D74E51"/>
    <w:rsid w:val="00D74EEB"/>
    <w:rsid w:val="00D74EFE"/>
    <w:rsid w:val="00D74EFF"/>
    <w:rsid w:val="00D75116"/>
    <w:rsid w:val="00D75189"/>
    <w:rsid w:val="00D75403"/>
    <w:rsid w:val="00D75417"/>
    <w:rsid w:val="00D756A8"/>
    <w:rsid w:val="00D757B0"/>
    <w:rsid w:val="00D75857"/>
    <w:rsid w:val="00D758AA"/>
    <w:rsid w:val="00D75925"/>
    <w:rsid w:val="00D759D3"/>
    <w:rsid w:val="00D759D5"/>
    <w:rsid w:val="00D759FA"/>
    <w:rsid w:val="00D75A16"/>
    <w:rsid w:val="00D75BE2"/>
    <w:rsid w:val="00D75C04"/>
    <w:rsid w:val="00D75D94"/>
    <w:rsid w:val="00D75DEB"/>
    <w:rsid w:val="00D75E0B"/>
    <w:rsid w:val="00D75E33"/>
    <w:rsid w:val="00D75FBA"/>
    <w:rsid w:val="00D76035"/>
    <w:rsid w:val="00D760A7"/>
    <w:rsid w:val="00D761BE"/>
    <w:rsid w:val="00D763D5"/>
    <w:rsid w:val="00D76410"/>
    <w:rsid w:val="00D76548"/>
    <w:rsid w:val="00D7657C"/>
    <w:rsid w:val="00D766D6"/>
    <w:rsid w:val="00D7676D"/>
    <w:rsid w:val="00D7683C"/>
    <w:rsid w:val="00D7694C"/>
    <w:rsid w:val="00D76953"/>
    <w:rsid w:val="00D76A98"/>
    <w:rsid w:val="00D76B3A"/>
    <w:rsid w:val="00D76D35"/>
    <w:rsid w:val="00D76FD1"/>
    <w:rsid w:val="00D76FF4"/>
    <w:rsid w:val="00D7702D"/>
    <w:rsid w:val="00D7706E"/>
    <w:rsid w:val="00D77147"/>
    <w:rsid w:val="00D77252"/>
    <w:rsid w:val="00D775BE"/>
    <w:rsid w:val="00D7782F"/>
    <w:rsid w:val="00D77893"/>
    <w:rsid w:val="00D779A1"/>
    <w:rsid w:val="00D77A43"/>
    <w:rsid w:val="00D77B63"/>
    <w:rsid w:val="00D77F34"/>
    <w:rsid w:val="00D77F5F"/>
    <w:rsid w:val="00D77F90"/>
    <w:rsid w:val="00D77FB0"/>
    <w:rsid w:val="00D77FFB"/>
    <w:rsid w:val="00D800DF"/>
    <w:rsid w:val="00D80120"/>
    <w:rsid w:val="00D80219"/>
    <w:rsid w:val="00D80290"/>
    <w:rsid w:val="00D802DE"/>
    <w:rsid w:val="00D8049C"/>
    <w:rsid w:val="00D80581"/>
    <w:rsid w:val="00D80608"/>
    <w:rsid w:val="00D809BB"/>
    <w:rsid w:val="00D80B82"/>
    <w:rsid w:val="00D80BAE"/>
    <w:rsid w:val="00D80C4E"/>
    <w:rsid w:val="00D80D40"/>
    <w:rsid w:val="00D80D53"/>
    <w:rsid w:val="00D80DF5"/>
    <w:rsid w:val="00D80F58"/>
    <w:rsid w:val="00D80FB1"/>
    <w:rsid w:val="00D81067"/>
    <w:rsid w:val="00D8106E"/>
    <w:rsid w:val="00D81106"/>
    <w:rsid w:val="00D81123"/>
    <w:rsid w:val="00D811CC"/>
    <w:rsid w:val="00D811FD"/>
    <w:rsid w:val="00D81261"/>
    <w:rsid w:val="00D81299"/>
    <w:rsid w:val="00D81374"/>
    <w:rsid w:val="00D81445"/>
    <w:rsid w:val="00D81465"/>
    <w:rsid w:val="00D81994"/>
    <w:rsid w:val="00D81A39"/>
    <w:rsid w:val="00D81A55"/>
    <w:rsid w:val="00D81B4F"/>
    <w:rsid w:val="00D81B57"/>
    <w:rsid w:val="00D81B66"/>
    <w:rsid w:val="00D81EE9"/>
    <w:rsid w:val="00D81F5C"/>
    <w:rsid w:val="00D82146"/>
    <w:rsid w:val="00D822A0"/>
    <w:rsid w:val="00D822FD"/>
    <w:rsid w:val="00D824C7"/>
    <w:rsid w:val="00D82532"/>
    <w:rsid w:val="00D825C0"/>
    <w:rsid w:val="00D826FD"/>
    <w:rsid w:val="00D827C7"/>
    <w:rsid w:val="00D82864"/>
    <w:rsid w:val="00D828AD"/>
    <w:rsid w:val="00D828B5"/>
    <w:rsid w:val="00D828D3"/>
    <w:rsid w:val="00D82AF2"/>
    <w:rsid w:val="00D82B2E"/>
    <w:rsid w:val="00D82C3C"/>
    <w:rsid w:val="00D82E9C"/>
    <w:rsid w:val="00D82F80"/>
    <w:rsid w:val="00D82FB2"/>
    <w:rsid w:val="00D83047"/>
    <w:rsid w:val="00D8321D"/>
    <w:rsid w:val="00D8326A"/>
    <w:rsid w:val="00D832C7"/>
    <w:rsid w:val="00D832DB"/>
    <w:rsid w:val="00D8338B"/>
    <w:rsid w:val="00D834BB"/>
    <w:rsid w:val="00D8358D"/>
    <w:rsid w:val="00D8364D"/>
    <w:rsid w:val="00D83772"/>
    <w:rsid w:val="00D8381F"/>
    <w:rsid w:val="00D839A7"/>
    <w:rsid w:val="00D83A55"/>
    <w:rsid w:val="00D83BD0"/>
    <w:rsid w:val="00D83BDE"/>
    <w:rsid w:val="00D83DB4"/>
    <w:rsid w:val="00D83F07"/>
    <w:rsid w:val="00D83F5E"/>
    <w:rsid w:val="00D83FF9"/>
    <w:rsid w:val="00D84008"/>
    <w:rsid w:val="00D84191"/>
    <w:rsid w:val="00D8420E"/>
    <w:rsid w:val="00D84374"/>
    <w:rsid w:val="00D84435"/>
    <w:rsid w:val="00D84509"/>
    <w:rsid w:val="00D8459F"/>
    <w:rsid w:val="00D845DB"/>
    <w:rsid w:val="00D84817"/>
    <w:rsid w:val="00D8496E"/>
    <w:rsid w:val="00D849BC"/>
    <w:rsid w:val="00D84A03"/>
    <w:rsid w:val="00D84AAE"/>
    <w:rsid w:val="00D84C38"/>
    <w:rsid w:val="00D84C7C"/>
    <w:rsid w:val="00D84DF7"/>
    <w:rsid w:val="00D84EB4"/>
    <w:rsid w:val="00D84F2F"/>
    <w:rsid w:val="00D850D0"/>
    <w:rsid w:val="00D8517B"/>
    <w:rsid w:val="00D85314"/>
    <w:rsid w:val="00D853DE"/>
    <w:rsid w:val="00D854E9"/>
    <w:rsid w:val="00D855DD"/>
    <w:rsid w:val="00D855F4"/>
    <w:rsid w:val="00D856FC"/>
    <w:rsid w:val="00D85756"/>
    <w:rsid w:val="00D859D1"/>
    <w:rsid w:val="00D85A4D"/>
    <w:rsid w:val="00D85B62"/>
    <w:rsid w:val="00D85C29"/>
    <w:rsid w:val="00D85CEE"/>
    <w:rsid w:val="00D85E06"/>
    <w:rsid w:val="00D860BB"/>
    <w:rsid w:val="00D860D7"/>
    <w:rsid w:val="00D86274"/>
    <w:rsid w:val="00D862BD"/>
    <w:rsid w:val="00D865D5"/>
    <w:rsid w:val="00D8672F"/>
    <w:rsid w:val="00D86825"/>
    <w:rsid w:val="00D86983"/>
    <w:rsid w:val="00D86986"/>
    <w:rsid w:val="00D86A6E"/>
    <w:rsid w:val="00D86AAF"/>
    <w:rsid w:val="00D86B05"/>
    <w:rsid w:val="00D86C57"/>
    <w:rsid w:val="00D872A3"/>
    <w:rsid w:val="00D872DA"/>
    <w:rsid w:val="00D87361"/>
    <w:rsid w:val="00D87385"/>
    <w:rsid w:val="00D87402"/>
    <w:rsid w:val="00D87492"/>
    <w:rsid w:val="00D874A1"/>
    <w:rsid w:val="00D87521"/>
    <w:rsid w:val="00D87598"/>
    <w:rsid w:val="00D87638"/>
    <w:rsid w:val="00D87645"/>
    <w:rsid w:val="00D8769A"/>
    <w:rsid w:val="00D878D5"/>
    <w:rsid w:val="00D878DE"/>
    <w:rsid w:val="00D8795A"/>
    <w:rsid w:val="00D87A57"/>
    <w:rsid w:val="00D87B4A"/>
    <w:rsid w:val="00D87B4C"/>
    <w:rsid w:val="00D87C52"/>
    <w:rsid w:val="00D87D68"/>
    <w:rsid w:val="00D87D7C"/>
    <w:rsid w:val="00D87DAB"/>
    <w:rsid w:val="00D87E2B"/>
    <w:rsid w:val="00D87E56"/>
    <w:rsid w:val="00D87EA7"/>
    <w:rsid w:val="00D87EC9"/>
    <w:rsid w:val="00D87F80"/>
    <w:rsid w:val="00D87FEA"/>
    <w:rsid w:val="00D90045"/>
    <w:rsid w:val="00D90053"/>
    <w:rsid w:val="00D900E4"/>
    <w:rsid w:val="00D901F4"/>
    <w:rsid w:val="00D90258"/>
    <w:rsid w:val="00D90469"/>
    <w:rsid w:val="00D904EB"/>
    <w:rsid w:val="00D9054C"/>
    <w:rsid w:val="00D90610"/>
    <w:rsid w:val="00D90779"/>
    <w:rsid w:val="00D9077B"/>
    <w:rsid w:val="00D907ED"/>
    <w:rsid w:val="00D90877"/>
    <w:rsid w:val="00D908F5"/>
    <w:rsid w:val="00D9092B"/>
    <w:rsid w:val="00D909D9"/>
    <w:rsid w:val="00D90BCA"/>
    <w:rsid w:val="00D90C23"/>
    <w:rsid w:val="00D90C24"/>
    <w:rsid w:val="00D90C80"/>
    <w:rsid w:val="00D90CEA"/>
    <w:rsid w:val="00D90D61"/>
    <w:rsid w:val="00D90DBE"/>
    <w:rsid w:val="00D90EFE"/>
    <w:rsid w:val="00D90F05"/>
    <w:rsid w:val="00D91058"/>
    <w:rsid w:val="00D913AA"/>
    <w:rsid w:val="00D91443"/>
    <w:rsid w:val="00D914A0"/>
    <w:rsid w:val="00D9156F"/>
    <w:rsid w:val="00D9159A"/>
    <w:rsid w:val="00D91610"/>
    <w:rsid w:val="00D91836"/>
    <w:rsid w:val="00D91846"/>
    <w:rsid w:val="00D9198C"/>
    <w:rsid w:val="00D91A0E"/>
    <w:rsid w:val="00D91A5B"/>
    <w:rsid w:val="00D91CFE"/>
    <w:rsid w:val="00D91E83"/>
    <w:rsid w:val="00D91F26"/>
    <w:rsid w:val="00D91FAE"/>
    <w:rsid w:val="00D921B5"/>
    <w:rsid w:val="00D921F4"/>
    <w:rsid w:val="00D922D6"/>
    <w:rsid w:val="00D92377"/>
    <w:rsid w:val="00D92425"/>
    <w:rsid w:val="00D9252B"/>
    <w:rsid w:val="00D9264C"/>
    <w:rsid w:val="00D92894"/>
    <w:rsid w:val="00D92898"/>
    <w:rsid w:val="00D929A7"/>
    <w:rsid w:val="00D92CB3"/>
    <w:rsid w:val="00D92F66"/>
    <w:rsid w:val="00D92F9B"/>
    <w:rsid w:val="00D92FB3"/>
    <w:rsid w:val="00D93013"/>
    <w:rsid w:val="00D9303F"/>
    <w:rsid w:val="00D9307A"/>
    <w:rsid w:val="00D93376"/>
    <w:rsid w:val="00D9342B"/>
    <w:rsid w:val="00D934A4"/>
    <w:rsid w:val="00D9358F"/>
    <w:rsid w:val="00D935A7"/>
    <w:rsid w:val="00D93636"/>
    <w:rsid w:val="00D93714"/>
    <w:rsid w:val="00D93725"/>
    <w:rsid w:val="00D9372C"/>
    <w:rsid w:val="00D93815"/>
    <w:rsid w:val="00D9389A"/>
    <w:rsid w:val="00D93945"/>
    <w:rsid w:val="00D93BB8"/>
    <w:rsid w:val="00D93C0B"/>
    <w:rsid w:val="00D93C6F"/>
    <w:rsid w:val="00D93D54"/>
    <w:rsid w:val="00D93F3C"/>
    <w:rsid w:val="00D93F71"/>
    <w:rsid w:val="00D940C5"/>
    <w:rsid w:val="00D9436E"/>
    <w:rsid w:val="00D94406"/>
    <w:rsid w:val="00D946E0"/>
    <w:rsid w:val="00D94741"/>
    <w:rsid w:val="00D947EB"/>
    <w:rsid w:val="00D947F2"/>
    <w:rsid w:val="00D94843"/>
    <w:rsid w:val="00D948E0"/>
    <w:rsid w:val="00D94986"/>
    <w:rsid w:val="00D94A0C"/>
    <w:rsid w:val="00D94A56"/>
    <w:rsid w:val="00D94C40"/>
    <w:rsid w:val="00D94D68"/>
    <w:rsid w:val="00D94E64"/>
    <w:rsid w:val="00D94E6A"/>
    <w:rsid w:val="00D94F65"/>
    <w:rsid w:val="00D95054"/>
    <w:rsid w:val="00D951D3"/>
    <w:rsid w:val="00D95284"/>
    <w:rsid w:val="00D952AE"/>
    <w:rsid w:val="00D952CD"/>
    <w:rsid w:val="00D95487"/>
    <w:rsid w:val="00D9554D"/>
    <w:rsid w:val="00D955A4"/>
    <w:rsid w:val="00D95671"/>
    <w:rsid w:val="00D957C8"/>
    <w:rsid w:val="00D959FA"/>
    <w:rsid w:val="00D95A12"/>
    <w:rsid w:val="00D95A53"/>
    <w:rsid w:val="00D95AE9"/>
    <w:rsid w:val="00D95BF8"/>
    <w:rsid w:val="00D95CED"/>
    <w:rsid w:val="00D95E0A"/>
    <w:rsid w:val="00D95F32"/>
    <w:rsid w:val="00D95F99"/>
    <w:rsid w:val="00D9604B"/>
    <w:rsid w:val="00D96181"/>
    <w:rsid w:val="00D9627C"/>
    <w:rsid w:val="00D962B4"/>
    <w:rsid w:val="00D964A8"/>
    <w:rsid w:val="00D964B2"/>
    <w:rsid w:val="00D96530"/>
    <w:rsid w:val="00D96591"/>
    <w:rsid w:val="00D9662C"/>
    <w:rsid w:val="00D96797"/>
    <w:rsid w:val="00D96AA8"/>
    <w:rsid w:val="00D96B94"/>
    <w:rsid w:val="00D96BE4"/>
    <w:rsid w:val="00D96D02"/>
    <w:rsid w:val="00D96E0A"/>
    <w:rsid w:val="00D96E6C"/>
    <w:rsid w:val="00D96EC7"/>
    <w:rsid w:val="00D96F64"/>
    <w:rsid w:val="00D96FAD"/>
    <w:rsid w:val="00D97024"/>
    <w:rsid w:val="00D97250"/>
    <w:rsid w:val="00D972A5"/>
    <w:rsid w:val="00D9735C"/>
    <w:rsid w:val="00D974F0"/>
    <w:rsid w:val="00D974F2"/>
    <w:rsid w:val="00D97701"/>
    <w:rsid w:val="00D97741"/>
    <w:rsid w:val="00D977AB"/>
    <w:rsid w:val="00D977CB"/>
    <w:rsid w:val="00D97818"/>
    <w:rsid w:val="00D97AEF"/>
    <w:rsid w:val="00D97D70"/>
    <w:rsid w:val="00D97D8F"/>
    <w:rsid w:val="00D97F05"/>
    <w:rsid w:val="00D97F0E"/>
    <w:rsid w:val="00D97F59"/>
    <w:rsid w:val="00DA021D"/>
    <w:rsid w:val="00DA02A5"/>
    <w:rsid w:val="00DA03A5"/>
    <w:rsid w:val="00DA05DF"/>
    <w:rsid w:val="00DA068D"/>
    <w:rsid w:val="00DA0916"/>
    <w:rsid w:val="00DA0A72"/>
    <w:rsid w:val="00DA0A8C"/>
    <w:rsid w:val="00DA0BA6"/>
    <w:rsid w:val="00DA0CB8"/>
    <w:rsid w:val="00DA0D8C"/>
    <w:rsid w:val="00DA0DCA"/>
    <w:rsid w:val="00DA0E03"/>
    <w:rsid w:val="00DA0E16"/>
    <w:rsid w:val="00DA0FC1"/>
    <w:rsid w:val="00DA127D"/>
    <w:rsid w:val="00DA13B0"/>
    <w:rsid w:val="00DA13B6"/>
    <w:rsid w:val="00DA16A8"/>
    <w:rsid w:val="00DA16CF"/>
    <w:rsid w:val="00DA1708"/>
    <w:rsid w:val="00DA171C"/>
    <w:rsid w:val="00DA18FC"/>
    <w:rsid w:val="00DA1C55"/>
    <w:rsid w:val="00DA1CE8"/>
    <w:rsid w:val="00DA1D03"/>
    <w:rsid w:val="00DA1EB0"/>
    <w:rsid w:val="00DA2067"/>
    <w:rsid w:val="00DA20B1"/>
    <w:rsid w:val="00DA22B2"/>
    <w:rsid w:val="00DA2348"/>
    <w:rsid w:val="00DA23BE"/>
    <w:rsid w:val="00DA2554"/>
    <w:rsid w:val="00DA2634"/>
    <w:rsid w:val="00DA267C"/>
    <w:rsid w:val="00DA26B9"/>
    <w:rsid w:val="00DA271F"/>
    <w:rsid w:val="00DA27C7"/>
    <w:rsid w:val="00DA285E"/>
    <w:rsid w:val="00DA298D"/>
    <w:rsid w:val="00DA2AE8"/>
    <w:rsid w:val="00DA2C13"/>
    <w:rsid w:val="00DA2C9C"/>
    <w:rsid w:val="00DA2CAE"/>
    <w:rsid w:val="00DA2D63"/>
    <w:rsid w:val="00DA2F0E"/>
    <w:rsid w:val="00DA2F21"/>
    <w:rsid w:val="00DA2F66"/>
    <w:rsid w:val="00DA2FDA"/>
    <w:rsid w:val="00DA3013"/>
    <w:rsid w:val="00DA3036"/>
    <w:rsid w:val="00DA30BD"/>
    <w:rsid w:val="00DA31BB"/>
    <w:rsid w:val="00DA31BE"/>
    <w:rsid w:val="00DA3340"/>
    <w:rsid w:val="00DA340A"/>
    <w:rsid w:val="00DA34BB"/>
    <w:rsid w:val="00DA34EE"/>
    <w:rsid w:val="00DA3702"/>
    <w:rsid w:val="00DA380C"/>
    <w:rsid w:val="00DA3A2A"/>
    <w:rsid w:val="00DA3A9D"/>
    <w:rsid w:val="00DA3C17"/>
    <w:rsid w:val="00DA3D89"/>
    <w:rsid w:val="00DA404E"/>
    <w:rsid w:val="00DA4085"/>
    <w:rsid w:val="00DA419B"/>
    <w:rsid w:val="00DA44C1"/>
    <w:rsid w:val="00DA48C9"/>
    <w:rsid w:val="00DA48E5"/>
    <w:rsid w:val="00DA493B"/>
    <w:rsid w:val="00DA49F3"/>
    <w:rsid w:val="00DA4A38"/>
    <w:rsid w:val="00DA4B02"/>
    <w:rsid w:val="00DA4B1A"/>
    <w:rsid w:val="00DA4B31"/>
    <w:rsid w:val="00DA4BD1"/>
    <w:rsid w:val="00DA4C0C"/>
    <w:rsid w:val="00DA4C49"/>
    <w:rsid w:val="00DA4C4E"/>
    <w:rsid w:val="00DA4CEE"/>
    <w:rsid w:val="00DA4D85"/>
    <w:rsid w:val="00DA4D8F"/>
    <w:rsid w:val="00DA4F56"/>
    <w:rsid w:val="00DA5121"/>
    <w:rsid w:val="00DA514E"/>
    <w:rsid w:val="00DA516E"/>
    <w:rsid w:val="00DA52A4"/>
    <w:rsid w:val="00DA5330"/>
    <w:rsid w:val="00DA53F2"/>
    <w:rsid w:val="00DA5424"/>
    <w:rsid w:val="00DA5862"/>
    <w:rsid w:val="00DA58C3"/>
    <w:rsid w:val="00DA597D"/>
    <w:rsid w:val="00DA5E78"/>
    <w:rsid w:val="00DA5F08"/>
    <w:rsid w:val="00DA60CE"/>
    <w:rsid w:val="00DA61A7"/>
    <w:rsid w:val="00DA6284"/>
    <w:rsid w:val="00DA629B"/>
    <w:rsid w:val="00DA62BC"/>
    <w:rsid w:val="00DA631F"/>
    <w:rsid w:val="00DA6344"/>
    <w:rsid w:val="00DA654D"/>
    <w:rsid w:val="00DA6599"/>
    <w:rsid w:val="00DA65BF"/>
    <w:rsid w:val="00DA669C"/>
    <w:rsid w:val="00DA682E"/>
    <w:rsid w:val="00DA68F7"/>
    <w:rsid w:val="00DA6A4B"/>
    <w:rsid w:val="00DA6B5C"/>
    <w:rsid w:val="00DA6C51"/>
    <w:rsid w:val="00DA6E90"/>
    <w:rsid w:val="00DA6E92"/>
    <w:rsid w:val="00DA71E1"/>
    <w:rsid w:val="00DA742C"/>
    <w:rsid w:val="00DA7576"/>
    <w:rsid w:val="00DA75A6"/>
    <w:rsid w:val="00DA76E1"/>
    <w:rsid w:val="00DA772E"/>
    <w:rsid w:val="00DA7817"/>
    <w:rsid w:val="00DA7828"/>
    <w:rsid w:val="00DA7834"/>
    <w:rsid w:val="00DA7837"/>
    <w:rsid w:val="00DA78E2"/>
    <w:rsid w:val="00DA79BC"/>
    <w:rsid w:val="00DA79D1"/>
    <w:rsid w:val="00DA7FD1"/>
    <w:rsid w:val="00DB0026"/>
    <w:rsid w:val="00DB002C"/>
    <w:rsid w:val="00DB011E"/>
    <w:rsid w:val="00DB01DF"/>
    <w:rsid w:val="00DB025E"/>
    <w:rsid w:val="00DB02BC"/>
    <w:rsid w:val="00DB02C7"/>
    <w:rsid w:val="00DB0622"/>
    <w:rsid w:val="00DB06A1"/>
    <w:rsid w:val="00DB0796"/>
    <w:rsid w:val="00DB099E"/>
    <w:rsid w:val="00DB0A01"/>
    <w:rsid w:val="00DB0ACD"/>
    <w:rsid w:val="00DB0B39"/>
    <w:rsid w:val="00DB0B4C"/>
    <w:rsid w:val="00DB0C6C"/>
    <w:rsid w:val="00DB0C8D"/>
    <w:rsid w:val="00DB0E3C"/>
    <w:rsid w:val="00DB0EEB"/>
    <w:rsid w:val="00DB0F02"/>
    <w:rsid w:val="00DB0F0C"/>
    <w:rsid w:val="00DB0F23"/>
    <w:rsid w:val="00DB0FAC"/>
    <w:rsid w:val="00DB0FDD"/>
    <w:rsid w:val="00DB11B7"/>
    <w:rsid w:val="00DB1248"/>
    <w:rsid w:val="00DB1329"/>
    <w:rsid w:val="00DB134C"/>
    <w:rsid w:val="00DB135C"/>
    <w:rsid w:val="00DB1379"/>
    <w:rsid w:val="00DB13D5"/>
    <w:rsid w:val="00DB1556"/>
    <w:rsid w:val="00DB1586"/>
    <w:rsid w:val="00DB169E"/>
    <w:rsid w:val="00DB1823"/>
    <w:rsid w:val="00DB1894"/>
    <w:rsid w:val="00DB1A8A"/>
    <w:rsid w:val="00DB1AF2"/>
    <w:rsid w:val="00DB1BD0"/>
    <w:rsid w:val="00DB1CDE"/>
    <w:rsid w:val="00DB1DD0"/>
    <w:rsid w:val="00DB1E7D"/>
    <w:rsid w:val="00DB1FCA"/>
    <w:rsid w:val="00DB20D4"/>
    <w:rsid w:val="00DB2130"/>
    <w:rsid w:val="00DB22D6"/>
    <w:rsid w:val="00DB2370"/>
    <w:rsid w:val="00DB240A"/>
    <w:rsid w:val="00DB253A"/>
    <w:rsid w:val="00DB2680"/>
    <w:rsid w:val="00DB269F"/>
    <w:rsid w:val="00DB26D5"/>
    <w:rsid w:val="00DB2876"/>
    <w:rsid w:val="00DB30D7"/>
    <w:rsid w:val="00DB31E6"/>
    <w:rsid w:val="00DB32E3"/>
    <w:rsid w:val="00DB33B6"/>
    <w:rsid w:val="00DB33D9"/>
    <w:rsid w:val="00DB34D3"/>
    <w:rsid w:val="00DB37B6"/>
    <w:rsid w:val="00DB39D2"/>
    <w:rsid w:val="00DB3A9E"/>
    <w:rsid w:val="00DB3BE8"/>
    <w:rsid w:val="00DB3C9E"/>
    <w:rsid w:val="00DB3CB9"/>
    <w:rsid w:val="00DB3DF3"/>
    <w:rsid w:val="00DB3E89"/>
    <w:rsid w:val="00DB3ECA"/>
    <w:rsid w:val="00DB3F89"/>
    <w:rsid w:val="00DB407F"/>
    <w:rsid w:val="00DB40CF"/>
    <w:rsid w:val="00DB41EF"/>
    <w:rsid w:val="00DB41F3"/>
    <w:rsid w:val="00DB4369"/>
    <w:rsid w:val="00DB437A"/>
    <w:rsid w:val="00DB44C0"/>
    <w:rsid w:val="00DB45D8"/>
    <w:rsid w:val="00DB4630"/>
    <w:rsid w:val="00DB464D"/>
    <w:rsid w:val="00DB4671"/>
    <w:rsid w:val="00DB4B00"/>
    <w:rsid w:val="00DB4B1B"/>
    <w:rsid w:val="00DB4C89"/>
    <w:rsid w:val="00DB4CD7"/>
    <w:rsid w:val="00DB4DB2"/>
    <w:rsid w:val="00DB4F6B"/>
    <w:rsid w:val="00DB5108"/>
    <w:rsid w:val="00DB5135"/>
    <w:rsid w:val="00DB51C0"/>
    <w:rsid w:val="00DB5423"/>
    <w:rsid w:val="00DB54DD"/>
    <w:rsid w:val="00DB55AB"/>
    <w:rsid w:val="00DB55B9"/>
    <w:rsid w:val="00DB5634"/>
    <w:rsid w:val="00DB56A8"/>
    <w:rsid w:val="00DB5815"/>
    <w:rsid w:val="00DB5A27"/>
    <w:rsid w:val="00DB5AFE"/>
    <w:rsid w:val="00DB5B4B"/>
    <w:rsid w:val="00DB5BB0"/>
    <w:rsid w:val="00DB5C14"/>
    <w:rsid w:val="00DB5CB7"/>
    <w:rsid w:val="00DB5DFE"/>
    <w:rsid w:val="00DB5E5D"/>
    <w:rsid w:val="00DB5EC5"/>
    <w:rsid w:val="00DB5EE2"/>
    <w:rsid w:val="00DB5F37"/>
    <w:rsid w:val="00DB60F1"/>
    <w:rsid w:val="00DB6235"/>
    <w:rsid w:val="00DB62C9"/>
    <w:rsid w:val="00DB62E9"/>
    <w:rsid w:val="00DB62F5"/>
    <w:rsid w:val="00DB636B"/>
    <w:rsid w:val="00DB6426"/>
    <w:rsid w:val="00DB64B1"/>
    <w:rsid w:val="00DB6672"/>
    <w:rsid w:val="00DB66C6"/>
    <w:rsid w:val="00DB67AD"/>
    <w:rsid w:val="00DB691D"/>
    <w:rsid w:val="00DB6A1A"/>
    <w:rsid w:val="00DB6A75"/>
    <w:rsid w:val="00DB6B38"/>
    <w:rsid w:val="00DB6B4D"/>
    <w:rsid w:val="00DB6E57"/>
    <w:rsid w:val="00DB6E89"/>
    <w:rsid w:val="00DB6F90"/>
    <w:rsid w:val="00DB6FE8"/>
    <w:rsid w:val="00DB70DE"/>
    <w:rsid w:val="00DB72AE"/>
    <w:rsid w:val="00DB7368"/>
    <w:rsid w:val="00DB73CB"/>
    <w:rsid w:val="00DB73F4"/>
    <w:rsid w:val="00DB7532"/>
    <w:rsid w:val="00DB7612"/>
    <w:rsid w:val="00DB7653"/>
    <w:rsid w:val="00DB7743"/>
    <w:rsid w:val="00DB785F"/>
    <w:rsid w:val="00DB78C7"/>
    <w:rsid w:val="00DB7A86"/>
    <w:rsid w:val="00DB7B92"/>
    <w:rsid w:val="00DB7C2D"/>
    <w:rsid w:val="00DB7E32"/>
    <w:rsid w:val="00DB7F34"/>
    <w:rsid w:val="00DB7FAF"/>
    <w:rsid w:val="00DB7FF5"/>
    <w:rsid w:val="00DC00D6"/>
    <w:rsid w:val="00DC0141"/>
    <w:rsid w:val="00DC0180"/>
    <w:rsid w:val="00DC01D4"/>
    <w:rsid w:val="00DC0230"/>
    <w:rsid w:val="00DC05E1"/>
    <w:rsid w:val="00DC0685"/>
    <w:rsid w:val="00DC06AA"/>
    <w:rsid w:val="00DC06C5"/>
    <w:rsid w:val="00DC06FB"/>
    <w:rsid w:val="00DC0858"/>
    <w:rsid w:val="00DC08DE"/>
    <w:rsid w:val="00DC098D"/>
    <w:rsid w:val="00DC0AA4"/>
    <w:rsid w:val="00DC0ADD"/>
    <w:rsid w:val="00DC0BEC"/>
    <w:rsid w:val="00DC0C96"/>
    <w:rsid w:val="00DC0D4C"/>
    <w:rsid w:val="00DC0E61"/>
    <w:rsid w:val="00DC0F72"/>
    <w:rsid w:val="00DC10DC"/>
    <w:rsid w:val="00DC127F"/>
    <w:rsid w:val="00DC12CD"/>
    <w:rsid w:val="00DC13EF"/>
    <w:rsid w:val="00DC1630"/>
    <w:rsid w:val="00DC16B5"/>
    <w:rsid w:val="00DC183C"/>
    <w:rsid w:val="00DC18E9"/>
    <w:rsid w:val="00DC1A41"/>
    <w:rsid w:val="00DC1B71"/>
    <w:rsid w:val="00DC1BAB"/>
    <w:rsid w:val="00DC1C07"/>
    <w:rsid w:val="00DC1D2D"/>
    <w:rsid w:val="00DC1E9F"/>
    <w:rsid w:val="00DC1EEB"/>
    <w:rsid w:val="00DC1FD8"/>
    <w:rsid w:val="00DC1FDE"/>
    <w:rsid w:val="00DC2181"/>
    <w:rsid w:val="00DC238D"/>
    <w:rsid w:val="00DC250A"/>
    <w:rsid w:val="00DC2562"/>
    <w:rsid w:val="00DC2573"/>
    <w:rsid w:val="00DC26E3"/>
    <w:rsid w:val="00DC270B"/>
    <w:rsid w:val="00DC2937"/>
    <w:rsid w:val="00DC29E8"/>
    <w:rsid w:val="00DC2A03"/>
    <w:rsid w:val="00DC2B1F"/>
    <w:rsid w:val="00DC2C18"/>
    <w:rsid w:val="00DC2F9F"/>
    <w:rsid w:val="00DC2FA8"/>
    <w:rsid w:val="00DC3173"/>
    <w:rsid w:val="00DC338E"/>
    <w:rsid w:val="00DC356C"/>
    <w:rsid w:val="00DC3629"/>
    <w:rsid w:val="00DC36B3"/>
    <w:rsid w:val="00DC3714"/>
    <w:rsid w:val="00DC3778"/>
    <w:rsid w:val="00DC3845"/>
    <w:rsid w:val="00DC3873"/>
    <w:rsid w:val="00DC38F2"/>
    <w:rsid w:val="00DC393B"/>
    <w:rsid w:val="00DC3955"/>
    <w:rsid w:val="00DC3995"/>
    <w:rsid w:val="00DC3A66"/>
    <w:rsid w:val="00DC3AFB"/>
    <w:rsid w:val="00DC3BE8"/>
    <w:rsid w:val="00DC3C09"/>
    <w:rsid w:val="00DC3C1E"/>
    <w:rsid w:val="00DC4045"/>
    <w:rsid w:val="00DC4087"/>
    <w:rsid w:val="00DC4100"/>
    <w:rsid w:val="00DC428F"/>
    <w:rsid w:val="00DC42CF"/>
    <w:rsid w:val="00DC4319"/>
    <w:rsid w:val="00DC4366"/>
    <w:rsid w:val="00DC438D"/>
    <w:rsid w:val="00DC43D5"/>
    <w:rsid w:val="00DC441D"/>
    <w:rsid w:val="00DC447C"/>
    <w:rsid w:val="00DC46C7"/>
    <w:rsid w:val="00DC47F3"/>
    <w:rsid w:val="00DC4904"/>
    <w:rsid w:val="00DC492E"/>
    <w:rsid w:val="00DC49AA"/>
    <w:rsid w:val="00DC4A27"/>
    <w:rsid w:val="00DC4AC1"/>
    <w:rsid w:val="00DC4B5D"/>
    <w:rsid w:val="00DC4C4D"/>
    <w:rsid w:val="00DC4C7F"/>
    <w:rsid w:val="00DC4D23"/>
    <w:rsid w:val="00DC5436"/>
    <w:rsid w:val="00DC558A"/>
    <w:rsid w:val="00DC5595"/>
    <w:rsid w:val="00DC55BF"/>
    <w:rsid w:val="00DC57B2"/>
    <w:rsid w:val="00DC581A"/>
    <w:rsid w:val="00DC584A"/>
    <w:rsid w:val="00DC58E5"/>
    <w:rsid w:val="00DC5939"/>
    <w:rsid w:val="00DC5A91"/>
    <w:rsid w:val="00DC5AB4"/>
    <w:rsid w:val="00DC5AB6"/>
    <w:rsid w:val="00DC5B52"/>
    <w:rsid w:val="00DC5DA5"/>
    <w:rsid w:val="00DC5DB0"/>
    <w:rsid w:val="00DC5F01"/>
    <w:rsid w:val="00DC5FC6"/>
    <w:rsid w:val="00DC6000"/>
    <w:rsid w:val="00DC623E"/>
    <w:rsid w:val="00DC6326"/>
    <w:rsid w:val="00DC63B1"/>
    <w:rsid w:val="00DC63F8"/>
    <w:rsid w:val="00DC63FF"/>
    <w:rsid w:val="00DC6493"/>
    <w:rsid w:val="00DC64A3"/>
    <w:rsid w:val="00DC66C1"/>
    <w:rsid w:val="00DC673F"/>
    <w:rsid w:val="00DC6A17"/>
    <w:rsid w:val="00DC6A8B"/>
    <w:rsid w:val="00DC6B9B"/>
    <w:rsid w:val="00DC6C69"/>
    <w:rsid w:val="00DC6C99"/>
    <w:rsid w:val="00DC6D7E"/>
    <w:rsid w:val="00DC7039"/>
    <w:rsid w:val="00DC7073"/>
    <w:rsid w:val="00DC70F5"/>
    <w:rsid w:val="00DC721B"/>
    <w:rsid w:val="00DC7312"/>
    <w:rsid w:val="00DC7338"/>
    <w:rsid w:val="00DC7374"/>
    <w:rsid w:val="00DC74AE"/>
    <w:rsid w:val="00DC74E1"/>
    <w:rsid w:val="00DC7860"/>
    <w:rsid w:val="00DC78B8"/>
    <w:rsid w:val="00DC7956"/>
    <w:rsid w:val="00DC7A01"/>
    <w:rsid w:val="00DC7A02"/>
    <w:rsid w:val="00DC7AAB"/>
    <w:rsid w:val="00DC7B10"/>
    <w:rsid w:val="00DC7B18"/>
    <w:rsid w:val="00DC7C1E"/>
    <w:rsid w:val="00DC7D7B"/>
    <w:rsid w:val="00DC7E78"/>
    <w:rsid w:val="00DC7F0B"/>
    <w:rsid w:val="00DC7F1A"/>
    <w:rsid w:val="00DC7F40"/>
    <w:rsid w:val="00DC7FED"/>
    <w:rsid w:val="00DC89C2"/>
    <w:rsid w:val="00DD002F"/>
    <w:rsid w:val="00DD01B5"/>
    <w:rsid w:val="00DD0259"/>
    <w:rsid w:val="00DD02F1"/>
    <w:rsid w:val="00DD0336"/>
    <w:rsid w:val="00DD03C9"/>
    <w:rsid w:val="00DD04C6"/>
    <w:rsid w:val="00DD0543"/>
    <w:rsid w:val="00DD0576"/>
    <w:rsid w:val="00DD05AE"/>
    <w:rsid w:val="00DD064C"/>
    <w:rsid w:val="00DD06B8"/>
    <w:rsid w:val="00DD072E"/>
    <w:rsid w:val="00DD0746"/>
    <w:rsid w:val="00DD078F"/>
    <w:rsid w:val="00DD07F5"/>
    <w:rsid w:val="00DD084F"/>
    <w:rsid w:val="00DD0951"/>
    <w:rsid w:val="00DD0A0B"/>
    <w:rsid w:val="00DD0AC8"/>
    <w:rsid w:val="00DD0BFE"/>
    <w:rsid w:val="00DD0CA9"/>
    <w:rsid w:val="00DD0DD3"/>
    <w:rsid w:val="00DD0F56"/>
    <w:rsid w:val="00DD0F63"/>
    <w:rsid w:val="00DD0F79"/>
    <w:rsid w:val="00DD0FD4"/>
    <w:rsid w:val="00DD10C4"/>
    <w:rsid w:val="00DD121F"/>
    <w:rsid w:val="00DD12EC"/>
    <w:rsid w:val="00DD1315"/>
    <w:rsid w:val="00DD1539"/>
    <w:rsid w:val="00DD15EF"/>
    <w:rsid w:val="00DD166A"/>
    <w:rsid w:val="00DD1910"/>
    <w:rsid w:val="00DD1BDD"/>
    <w:rsid w:val="00DD1C00"/>
    <w:rsid w:val="00DD1C0B"/>
    <w:rsid w:val="00DD1C1B"/>
    <w:rsid w:val="00DD1C8B"/>
    <w:rsid w:val="00DD1DA9"/>
    <w:rsid w:val="00DD1DDB"/>
    <w:rsid w:val="00DD1E99"/>
    <w:rsid w:val="00DD1EA6"/>
    <w:rsid w:val="00DD1ED7"/>
    <w:rsid w:val="00DD1F91"/>
    <w:rsid w:val="00DD1F99"/>
    <w:rsid w:val="00DD2301"/>
    <w:rsid w:val="00DD234A"/>
    <w:rsid w:val="00DD235E"/>
    <w:rsid w:val="00DD2449"/>
    <w:rsid w:val="00DD24A0"/>
    <w:rsid w:val="00DD24B7"/>
    <w:rsid w:val="00DD2576"/>
    <w:rsid w:val="00DD26BE"/>
    <w:rsid w:val="00DD26CC"/>
    <w:rsid w:val="00DD26D3"/>
    <w:rsid w:val="00DD26FE"/>
    <w:rsid w:val="00DD27F3"/>
    <w:rsid w:val="00DD29EE"/>
    <w:rsid w:val="00DD2AC3"/>
    <w:rsid w:val="00DD2B14"/>
    <w:rsid w:val="00DD2B4D"/>
    <w:rsid w:val="00DD2BFA"/>
    <w:rsid w:val="00DD2FB4"/>
    <w:rsid w:val="00DD3105"/>
    <w:rsid w:val="00DD318F"/>
    <w:rsid w:val="00DD31E1"/>
    <w:rsid w:val="00DD3360"/>
    <w:rsid w:val="00DD3422"/>
    <w:rsid w:val="00DD3490"/>
    <w:rsid w:val="00DD353E"/>
    <w:rsid w:val="00DD353F"/>
    <w:rsid w:val="00DD3552"/>
    <w:rsid w:val="00DD3604"/>
    <w:rsid w:val="00DD3677"/>
    <w:rsid w:val="00DD367D"/>
    <w:rsid w:val="00DD36D9"/>
    <w:rsid w:val="00DD371C"/>
    <w:rsid w:val="00DD3881"/>
    <w:rsid w:val="00DD38CF"/>
    <w:rsid w:val="00DD3915"/>
    <w:rsid w:val="00DD3BE0"/>
    <w:rsid w:val="00DD3BF5"/>
    <w:rsid w:val="00DD3CF9"/>
    <w:rsid w:val="00DD3D0F"/>
    <w:rsid w:val="00DD3FFC"/>
    <w:rsid w:val="00DD400E"/>
    <w:rsid w:val="00DD403A"/>
    <w:rsid w:val="00DD408C"/>
    <w:rsid w:val="00DD4391"/>
    <w:rsid w:val="00DD43C1"/>
    <w:rsid w:val="00DD44D4"/>
    <w:rsid w:val="00DD4566"/>
    <w:rsid w:val="00DD4603"/>
    <w:rsid w:val="00DD4612"/>
    <w:rsid w:val="00DD466A"/>
    <w:rsid w:val="00DD474E"/>
    <w:rsid w:val="00DD4768"/>
    <w:rsid w:val="00DD480C"/>
    <w:rsid w:val="00DD4E80"/>
    <w:rsid w:val="00DD4FE7"/>
    <w:rsid w:val="00DD5042"/>
    <w:rsid w:val="00DD5196"/>
    <w:rsid w:val="00DD51FB"/>
    <w:rsid w:val="00DD52EC"/>
    <w:rsid w:val="00DD5467"/>
    <w:rsid w:val="00DD5626"/>
    <w:rsid w:val="00DD5714"/>
    <w:rsid w:val="00DD5738"/>
    <w:rsid w:val="00DD583D"/>
    <w:rsid w:val="00DD5867"/>
    <w:rsid w:val="00DD598D"/>
    <w:rsid w:val="00DD5A08"/>
    <w:rsid w:val="00DD5AC1"/>
    <w:rsid w:val="00DD5B80"/>
    <w:rsid w:val="00DD5CAA"/>
    <w:rsid w:val="00DD5CFD"/>
    <w:rsid w:val="00DD5E9D"/>
    <w:rsid w:val="00DD5FD7"/>
    <w:rsid w:val="00DD61E1"/>
    <w:rsid w:val="00DD6292"/>
    <w:rsid w:val="00DD6378"/>
    <w:rsid w:val="00DD64C1"/>
    <w:rsid w:val="00DD651B"/>
    <w:rsid w:val="00DD6569"/>
    <w:rsid w:val="00DD657C"/>
    <w:rsid w:val="00DD670C"/>
    <w:rsid w:val="00DD67C2"/>
    <w:rsid w:val="00DD691B"/>
    <w:rsid w:val="00DD6A41"/>
    <w:rsid w:val="00DD6C6E"/>
    <w:rsid w:val="00DD6C9A"/>
    <w:rsid w:val="00DD7032"/>
    <w:rsid w:val="00DD7153"/>
    <w:rsid w:val="00DD73C8"/>
    <w:rsid w:val="00DD73CB"/>
    <w:rsid w:val="00DD7509"/>
    <w:rsid w:val="00DD7587"/>
    <w:rsid w:val="00DD75AE"/>
    <w:rsid w:val="00DD7AE7"/>
    <w:rsid w:val="00DD7BFF"/>
    <w:rsid w:val="00DD7C3C"/>
    <w:rsid w:val="00DD7D23"/>
    <w:rsid w:val="00DD7DA5"/>
    <w:rsid w:val="00DD7EBC"/>
    <w:rsid w:val="00DE0080"/>
    <w:rsid w:val="00DE00B6"/>
    <w:rsid w:val="00DE00D4"/>
    <w:rsid w:val="00DE016E"/>
    <w:rsid w:val="00DE0277"/>
    <w:rsid w:val="00DE036C"/>
    <w:rsid w:val="00DE0425"/>
    <w:rsid w:val="00DE0502"/>
    <w:rsid w:val="00DE059E"/>
    <w:rsid w:val="00DE077B"/>
    <w:rsid w:val="00DE0A6A"/>
    <w:rsid w:val="00DE0ACB"/>
    <w:rsid w:val="00DE0C34"/>
    <w:rsid w:val="00DE0E7A"/>
    <w:rsid w:val="00DE10BB"/>
    <w:rsid w:val="00DE117C"/>
    <w:rsid w:val="00DE1191"/>
    <w:rsid w:val="00DE1253"/>
    <w:rsid w:val="00DE12D6"/>
    <w:rsid w:val="00DE1377"/>
    <w:rsid w:val="00DE1463"/>
    <w:rsid w:val="00DE14CC"/>
    <w:rsid w:val="00DE159E"/>
    <w:rsid w:val="00DE1840"/>
    <w:rsid w:val="00DE1853"/>
    <w:rsid w:val="00DE18D3"/>
    <w:rsid w:val="00DE19E8"/>
    <w:rsid w:val="00DE1A01"/>
    <w:rsid w:val="00DE1A0A"/>
    <w:rsid w:val="00DE1BEC"/>
    <w:rsid w:val="00DE1C08"/>
    <w:rsid w:val="00DE1CB2"/>
    <w:rsid w:val="00DE1DA2"/>
    <w:rsid w:val="00DE1EB6"/>
    <w:rsid w:val="00DE2058"/>
    <w:rsid w:val="00DE22AB"/>
    <w:rsid w:val="00DE236B"/>
    <w:rsid w:val="00DE23A1"/>
    <w:rsid w:val="00DE23F1"/>
    <w:rsid w:val="00DE2416"/>
    <w:rsid w:val="00DE2553"/>
    <w:rsid w:val="00DE2634"/>
    <w:rsid w:val="00DE27B7"/>
    <w:rsid w:val="00DE2828"/>
    <w:rsid w:val="00DE284D"/>
    <w:rsid w:val="00DE288B"/>
    <w:rsid w:val="00DE29FE"/>
    <w:rsid w:val="00DE2A49"/>
    <w:rsid w:val="00DE2ABE"/>
    <w:rsid w:val="00DE2BAA"/>
    <w:rsid w:val="00DE2BFD"/>
    <w:rsid w:val="00DE2C6E"/>
    <w:rsid w:val="00DE2D77"/>
    <w:rsid w:val="00DE2DE5"/>
    <w:rsid w:val="00DE2E16"/>
    <w:rsid w:val="00DE2EDD"/>
    <w:rsid w:val="00DE2F0B"/>
    <w:rsid w:val="00DE2F78"/>
    <w:rsid w:val="00DE3158"/>
    <w:rsid w:val="00DE31A9"/>
    <w:rsid w:val="00DE34A5"/>
    <w:rsid w:val="00DE3516"/>
    <w:rsid w:val="00DE358B"/>
    <w:rsid w:val="00DE371A"/>
    <w:rsid w:val="00DE38D0"/>
    <w:rsid w:val="00DE38FE"/>
    <w:rsid w:val="00DE3912"/>
    <w:rsid w:val="00DE3B42"/>
    <w:rsid w:val="00DE3B51"/>
    <w:rsid w:val="00DE3B8A"/>
    <w:rsid w:val="00DE3BF8"/>
    <w:rsid w:val="00DE3C9F"/>
    <w:rsid w:val="00DE3D10"/>
    <w:rsid w:val="00DE3D43"/>
    <w:rsid w:val="00DE3EEE"/>
    <w:rsid w:val="00DE404B"/>
    <w:rsid w:val="00DE4293"/>
    <w:rsid w:val="00DE43DC"/>
    <w:rsid w:val="00DE43FF"/>
    <w:rsid w:val="00DE4501"/>
    <w:rsid w:val="00DE475B"/>
    <w:rsid w:val="00DE4783"/>
    <w:rsid w:val="00DE4907"/>
    <w:rsid w:val="00DE4975"/>
    <w:rsid w:val="00DE4B0A"/>
    <w:rsid w:val="00DE4BA1"/>
    <w:rsid w:val="00DE4C7F"/>
    <w:rsid w:val="00DE4C82"/>
    <w:rsid w:val="00DE4D69"/>
    <w:rsid w:val="00DE4E01"/>
    <w:rsid w:val="00DE4E09"/>
    <w:rsid w:val="00DE4F1D"/>
    <w:rsid w:val="00DE4F51"/>
    <w:rsid w:val="00DE5230"/>
    <w:rsid w:val="00DE531F"/>
    <w:rsid w:val="00DE532A"/>
    <w:rsid w:val="00DE53DC"/>
    <w:rsid w:val="00DE53EA"/>
    <w:rsid w:val="00DE5434"/>
    <w:rsid w:val="00DE55AA"/>
    <w:rsid w:val="00DE55D1"/>
    <w:rsid w:val="00DE568A"/>
    <w:rsid w:val="00DE57CC"/>
    <w:rsid w:val="00DE57F6"/>
    <w:rsid w:val="00DE58D8"/>
    <w:rsid w:val="00DE5960"/>
    <w:rsid w:val="00DE5A71"/>
    <w:rsid w:val="00DE5B3C"/>
    <w:rsid w:val="00DE5B71"/>
    <w:rsid w:val="00DE5EA5"/>
    <w:rsid w:val="00DE5EC8"/>
    <w:rsid w:val="00DE6081"/>
    <w:rsid w:val="00DE60E0"/>
    <w:rsid w:val="00DE611F"/>
    <w:rsid w:val="00DE6136"/>
    <w:rsid w:val="00DE6273"/>
    <w:rsid w:val="00DE6281"/>
    <w:rsid w:val="00DE62E8"/>
    <w:rsid w:val="00DE6352"/>
    <w:rsid w:val="00DE643C"/>
    <w:rsid w:val="00DE652F"/>
    <w:rsid w:val="00DE685B"/>
    <w:rsid w:val="00DE6A57"/>
    <w:rsid w:val="00DE6BE4"/>
    <w:rsid w:val="00DE6CEB"/>
    <w:rsid w:val="00DE6D15"/>
    <w:rsid w:val="00DE6D8B"/>
    <w:rsid w:val="00DE6E1D"/>
    <w:rsid w:val="00DE6E47"/>
    <w:rsid w:val="00DE6F5B"/>
    <w:rsid w:val="00DE7099"/>
    <w:rsid w:val="00DE70A6"/>
    <w:rsid w:val="00DE72D1"/>
    <w:rsid w:val="00DE72EC"/>
    <w:rsid w:val="00DE73A7"/>
    <w:rsid w:val="00DE73C2"/>
    <w:rsid w:val="00DE73E2"/>
    <w:rsid w:val="00DE746F"/>
    <w:rsid w:val="00DE75AE"/>
    <w:rsid w:val="00DE76EC"/>
    <w:rsid w:val="00DE7786"/>
    <w:rsid w:val="00DE77F2"/>
    <w:rsid w:val="00DE7812"/>
    <w:rsid w:val="00DE78CD"/>
    <w:rsid w:val="00DE7B87"/>
    <w:rsid w:val="00DE7B8A"/>
    <w:rsid w:val="00DE7C22"/>
    <w:rsid w:val="00DE7E8B"/>
    <w:rsid w:val="00DE7EEF"/>
    <w:rsid w:val="00DF00AB"/>
    <w:rsid w:val="00DF0264"/>
    <w:rsid w:val="00DF02C7"/>
    <w:rsid w:val="00DF04D3"/>
    <w:rsid w:val="00DF0520"/>
    <w:rsid w:val="00DF0588"/>
    <w:rsid w:val="00DF05A0"/>
    <w:rsid w:val="00DF05AA"/>
    <w:rsid w:val="00DF05FA"/>
    <w:rsid w:val="00DF063E"/>
    <w:rsid w:val="00DF091E"/>
    <w:rsid w:val="00DF0B24"/>
    <w:rsid w:val="00DF0C7C"/>
    <w:rsid w:val="00DF0CBF"/>
    <w:rsid w:val="00DF0D80"/>
    <w:rsid w:val="00DF0EBC"/>
    <w:rsid w:val="00DF0F48"/>
    <w:rsid w:val="00DF0F6B"/>
    <w:rsid w:val="00DF0F91"/>
    <w:rsid w:val="00DF1022"/>
    <w:rsid w:val="00DF1152"/>
    <w:rsid w:val="00DF13F2"/>
    <w:rsid w:val="00DF140A"/>
    <w:rsid w:val="00DF1496"/>
    <w:rsid w:val="00DF1512"/>
    <w:rsid w:val="00DF159A"/>
    <w:rsid w:val="00DF15AD"/>
    <w:rsid w:val="00DF16FD"/>
    <w:rsid w:val="00DF1760"/>
    <w:rsid w:val="00DF1764"/>
    <w:rsid w:val="00DF178E"/>
    <w:rsid w:val="00DF18F0"/>
    <w:rsid w:val="00DF19DE"/>
    <w:rsid w:val="00DF19FE"/>
    <w:rsid w:val="00DF1A3A"/>
    <w:rsid w:val="00DF1B05"/>
    <w:rsid w:val="00DF1B2D"/>
    <w:rsid w:val="00DF1B3C"/>
    <w:rsid w:val="00DF1BBE"/>
    <w:rsid w:val="00DF1BF9"/>
    <w:rsid w:val="00DF1CD0"/>
    <w:rsid w:val="00DF1E9D"/>
    <w:rsid w:val="00DF1F06"/>
    <w:rsid w:val="00DF2017"/>
    <w:rsid w:val="00DF2085"/>
    <w:rsid w:val="00DF212A"/>
    <w:rsid w:val="00DF216F"/>
    <w:rsid w:val="00DF21DC"/>
    <w:rsid w:val="00DF23AB"/>
    <w:rsid w:val="00DF2807"/>
    <w:rsid w:val="00DF2A96"/>
    <w:rsid w:val="00DF2AEC"/>
    <w:rsid w:val="00DF2B0A"/>
    <w:rsid w:val="00DF2C10"/>
    <w:rsid w:val="00DF2D4A"/>
    <w:rsid w:val="00DF2EFB"/>
    <w:rsid w:val="00DF325A"/>
    <w:rsid w:val="00DF3311"/>
    <w:rsid w:val="00DF3383"/>
    <w:rsid w:val="00DF3474"/>
    <w:rsid w:val="00DF34E7"/>
    <w:rsid w:val="00DF3570"/>
    <w:rsid w:val="00DF3674"/>
    <w:rsid w:val="00DF387B"/>
    <w:rsid w:val="00DF389E"/>
    <w:rsid w:val="00DF3BF3"/>
    <w:rsid w:val="00DF3C81"/>
    <w:rsid w:val="00DF3CC1"/>
    <w:rsid w:val="00DF3D72"/>
    <w:rsid w:val="00DF3D80"/>
    <w:rsid w:val="00DF3DE5"/>
    <w:rsid w:val="00DF3E6A"/>
    <w:rsid w:val="00DF3F99"/>
    <w:rsid w:val="00DF3FCC"/>
    <w:rsid w:val="00DF4040"/>
    <w:rsid w:val="00DF404D"/>
    <w:rsid w:val="00DF40D8"/>
    <w:rsid w:val="00DF4192"/>
    <w:rsid w:val="00DF4263"/>
    <w:rsid w:val="00DF4449"/>
    <w:rsid w:val="00DF4563"/>
    <w:rsid w:val="00DF46E1"/>
    <w:rsid w:val="00DF4BFF"/>
    <w:rsid w:val="00DF4C90"/>
    <w:rsid w:val="00DF4C9A"/>
    <w:rsid w:val="00DF4D95"/>
    <w:rsid w:val="00DF4E07"/>
    <w:rsid w:val="00DF4EF2"/>
    <w:rsid w:val="00DF4FD4"/>
    <w:rsid w:val="00DF5228"/>
    <w:rsid w:val="00DF5291"/>
    <w:rsid w:val="00DF5425"/>
    <w:rsid w:val="00DF5489"/>
    <w:rsid w:val="00DF55B2"/>
    <w:rsid w:val="00DF5671"/>
    <w:rsid w:val="00DF5738"/>
    <w:rsid w:val="00DF5790"/>
    <w:rsid w:val="00DF5796"/>
    <w:rsid w:val="00DF5825"/>
    <w:rsid w:val="00DF5902"/>
    <w:rsid w:val="00DF5909"/>
    <w:rsid w:val="00DF5A0F"/>
    <w:rsid w:val="00DF5A5E"/>
    <w:rsid w:val="00DF5A9D"/>
    <w:rsid w:val="00DF5AD0"/>
    <w:rsid w:val="00DF5C61"/>
    <w:rsid w:val="00DF5C81"/>
    <w:rsid w:val="00DF5CF6"/>
    <w:rsid w:val="00DF5E58"/>
    <w:rsid w:val="00DF5F9C"/>
    <w:rsid w:val="00DF617F"/>
    <w:rsid w:val="00DF6231"/>
    <w:rsid w:val="00DF6498"/>
    <w:rsid w:val="00DF651D"/>
    <w:rsid w:val="00DF65ED"/>
    <w:rsid w:val="00DF66D5"/>
    <w:rsid w:val="00DF66FD"/>
    <w:rsid w:val="00DF6705"/>
    <w:rsid w:val="00DF67CC"/>
    <w:rsid w:val="00DF67EF"/>
    <w:rsid w:val="00DF68D4"/>
    <w:rsid w:val="00DF6967"/>
    <w:rsid w:val="00DF698E"/>
    <w:rsid w:val="00DF6AA2"/>
    <w:rsid w:val="00DF6B30"/>
    <w:rsid w:val="00DF6B4A"/>
    <w:rsid w:val="00DF6C3C"/>
    <w:rsid w:val="00DF6DEC"/>
    <w:rsid w:val="00DF6E31"/>
    <w:rsid w:val="00DF6EE5"/>
    <w:rsid w:val="00DF6F10"/>
    <w:rsid w:val="00DF6FA6"/>
    <w:rsid w:val="00DF7057"/>
    <w:rsid w:val="00DF7251"/>
    <w:rsid w:val="00DF7370"/>
    <w:rsid w:val="00DF748F"/>
    <w:rsid w:val="00DF768A"/>
    <w:rsid w:val="00DF792E"/>
    <w:rsid w:val="00DF7A06"/>
    <w:rsid w:val="00DF7A11"/>
    <w:rsid w:val="00DF7B1A"/>
    <w:rsid w:val="00DF7BC8"/>
    <w:rsid w:val="00DF7C60"/>
    <w:rsid w:val="00DF7C7A"/>
    <w:rsid w:val="00DF7DAB"/>
    <w:rsid w:val="00DF7F1E"/>
    <w:rsid w:val="00DF7F53"/>
    <w:rsid w:val="00DF7F95"/>
    <w:rsid w:val="00E00052"/>
    <w:rsid w:val="00E0022D"/>
    <w:rsid w:val="00E0026A"/>
    <w:rsid w:val="00E002D5"/>
    <w:rsid w:val="00E003AE"/>
    <w:rsid w:val="00E00404"/>
    <w:rsid w:val="00E005B9"/>
    <w:rsid w:val="00E00888"/>
    <w:rsid w:val="00E0089E"/>
    <w:rsid w:val="00E008F4"/>
    <w:rsid w:val="00E0091F"/>
    <w:rsid w:val="00E009E7"/>
    <w:rsid w:val="00E00A9D"/>
    <w:rsid w:val="00E00C7E"/>
    <w:rsid w:val="00E00D89"/>
    <w:rsid w:val="00E00D9E"/>
    <w:rsid w:val="00E00E20"/>
    <w:rsid w:val="00E00E9E"/>
    <w:rsid w:val="00E00FC7"/>
    <w:rsid w:val="00E01285"/>
    <w:rsid w:val="00E01347"/>
    <w:rsid w:val="00E0152D"/>
    <w:rsid w:val="00E01563"/>
    <w:rsid w:val="00E01580"/>
    <w:rsid w:val="00E01650"/>
    <w:rsid w:val="00E01708"/>
    <w:rsid w:val="00E018C5"/>
    <w:rsid w:val="00E019BC"/>
    <w:rsid w:val="00E01A27"/>
    <w:rsid w:val="00E01A7E"/>
    <w:rsid w:val="00E01B51"/>
    <w:rsid w:val="00E01C83"/>
    <w:rsid w:val="00E01D4E"/>
    <w:rsid w:val="00E01D5B"/>
    <w:rsid w:val="00E01D6B"/>
    <w:rsid w:val="00E01E98"/>
    <w:rsid w:val="00E01EDB"/>
    <w:rsid w:val="00E02132"/>
    <w:rsid w:val="00E02147"/>
    <w:rsid w:val="00E02670"/>
    <w:rsid w:val="00E026DD"/>
    <w:rsid w:val="00E026DF"/>
    <w:rsid w:val="00E026F0"/>
    <w:rsid w:val="00E0289B"/>
    <w:rsid w:val="00E02ADE"/>
    <w:rsid w:val="00E02B76"/>
    <w:rsid w:val="00E02CEA"/>
    <w:rsid w:val="00E02D3D"/>
    <w:rsid w:val="00E02DA3"/>
    <w:rsid w:val="00E02DB7"/>
    <w:rsid w:val="00E02ECD"/>
    <w:rsid w:val="00E02EDB"/>
    <w:rsid w:val="00E02FE5"/>
    <w:rsid w:val="00E02FE6"/>
    <w:rsid w:val="00E03084"/>
    <w:rsid w:val="00E031CD"/>
    <w:rsid w:val="00E0321E"/>
    <w:rsid w:val="00E033A2"/>
    <w:rsid w:val="00E03508"/>
    <w:rsid w:val="00E035F0"/>
    <w:rsid w:val="00E03613"/>
    <w:rsid w:val="00E0376F"/>
    <w:rsid w:val="00E037AC"/>
    <w:rsid w:val="00E0383E"/>
    <w:rsid w:val="00E0388F"/>
    <w:rsid w:val="00E03B9A"/>
    <w:rsid w:val="00E03C15"/>
    <w:rsid w:val="00E03C35"/>
    <w:rsid w:val="00E03CB8"/>
    <w:rsid w:val="00E03E05"/>
    <w:rsid w:val="00E03FA3"/>
    <w:rsid w:val="00E03FD2"/>
    <w:rsid w:val="00E041E6"/>
    <w:rsid w:val="00E0422D"/>
    <w:rsid w:val="00E04325"/>
    <w:rsid w:val="00E043BB"/>
    <w:rsid w:val="00E044DB"/>
    <w:rsid w:val="00E04557"/>
    <w:rsid w:val="00E0460E"/>
    <w:rsid w:val="00E046DF"/>
    <w:rsid w:val="00E0478D"/>
    <w:rsid w:val="00E04844"/>
    <w:rsid w:val="00E04869"/>
    <w:rsid w:val="00E04909"/>
    <w:rsid w:val="00E049F0"/>
    <w:rsid w:val="00E04B57"/>
    <w:rsid w:val="00E04BD0"/>
    <w:rsid w:val="00E04CED"/>
    <w:rsid w:val="00E04D33"/>
    <w:rsid w:val="00E04D87"/>
    <w:rsid w:val="00E04DC7"/>
    <w:rsid w:val="00E04EC0"/>
    <w:rsid w:val="00E04EFB"/>
    <w:rsid w:val="00E04FA3"/>
    <w:rsid w:val="00E05087"/>
    <w:rsid w:val="00E050ED"/>
    <w:rsid w:val="00E051C3"/>
    <w:rsid w:val="00E05298"/>
    <w:rsid w:val="00E05324"/>
    <w:rsid w:val="00E05421"/>
    <w:rsid w:val="00E05469"/>
    <w:rsid w:val="00E05536"/>
    <w:rsid w:val="00E0554F"/>
    <w:rsid w:val="00E05672"/>
    <w:rsid w:val="00E056D2"/>
    <w:rsid w:val="00E05755"/>
    <w:rsid w:val="00E0578C"/>
    <w:rsid w:val="00E05B6A"/>
    <w:rsid w:val="00E05CB4"/>
    <w:rsid w:val="00E05D0C"/>
    <w:rsid w:val="00E05D7B"/>
    <w:rsid w:val="00E05DF2"/>
    <w:rsid w:val="00E05EEB"/>
    <w:rsid w:val="00E05F5C"/>
    <w:rsid w:val="00E05F7D"/>
    <w:rsid w:val="00E05F8D"/>
    <w:rsid w:val="00E06145"/>
    <w:rsid w:val="00E061EA"/>
    <w:rsid w:val="00E062AF"/>
    <w:rsid w:val="00E065FA"/>
    <w:rsid w:val="00E0694B"/>
    <w:rsid w:val="00E06999"/>
    <w:rsid w:val="00E06A53"/>
    <w:rsid w:val="00E06AC9"/>
    <w:rsid w:val="00E06CE2"/>
    <w:rsid w:val="00E06CE4"/>
    <w:rsid w:val="00E06CEF"/>
    <w:rsid w:val="00E06D6E"/>
    <w:rsid w:val="00E06E93"/>
    <w:rsid w:val="00E070A6"/>
    <w:rsid w:val="00E0713F"/>
    <w:rsid w:val="00E073F1"/>
    <w:rsid w:val="00E07458"/>
    <w:rsid w:val="00E074A7"/>
    <w:rsid w:val="00E07555"/>
    <w:rsid w:val="00E075B8"/>
    <w:rsid w:val="00E07606"/>
    <w:rsid w:val="00E076B3"/>
    <w:rsid w:val="00E0770F"/>
    <w:rsid w:val="00E078C6"/>
    <w:rsid w:val="00E079D3"/>
    <w:rsid w:val="00E07A42"/>
    <w:rsid w:val="00E07BF2"/>
    <w:rsid w:val="00E07D71"/>
    <w:rsid w:val="00E07DBA"/>
    <w:rsid w:val="00E07DF3"/>
    <w:rsid w:val="00E07F40"/>
    <w:rsid w:val="00E10189"/>
    <w:rsid w:val="00E101C8"/>
    <w:rsid w:val="00E101DD"/>
    <w:rsid w:val="00E10432"/>
    <w:rsid w:val="00E1052E"/>
    <w:rsid w:val="00E105BB"/>
    <w:rsid w:val="00E10664"/>
    <w:rsid w:val="00E10696"/>
    <w:rsid w:val="00E106D9"/>
    <w:rsid w:val="00E1075A"/>
    <w:rsid w:val="00E10941"/>
    <w:rsid w:val="00E10986"/>
    <w:rsid w:val="00E109BC"/>
    <w:rsid w:val="00E109BF"/>
    <w:rsid w:val="00E10AC1"/>
    <w:rsid w:val="00E10AED"/>
    <w:rsid w:val="00E10AF1"/>
    <w:rsid w:val="00E10B50"/>
    <w:rsid w:val="00E10B63"/>
    <w:rsid w:val="00E10B75"/>
    <w:rsid w:val="00E10C25"/>
    <w:rsid w:val="00E10D74"/>
    <w:rsid w:val="00E10DAB"/>
    <w:rsid w:val="00E10ED3"/>
    <w:rsid w:val="00E10EF7"/>
    <w:rsid w:val="00E10FE7"/>
    <w:rsid w:val="00E1102D"/>
    <w:rsid w:val="00E11034"/>
    <w:rsid w:val="00E11271"/>
    <w:rsid w:val="00E112E8"/>
    <w:rsid w:val="00E1154D"/>
    <w:rsid w:val="00E11642"/>
    <w:rsid w:val="00E116AD"/>
    <w:rsid w:val="00E11834"/>
    <w:rsid w:val="00E118F4"/>
    <w:rsid w:val="00E11997"/>
    <w:rsid w:val="00E119FB"/>
    <w:rsid w:val="00E11BC8"/>
    <w:rsid w:val="00E11BE9"/>
    <w:rsid w:val="00E11C0C"/>
    <w:rsid w:val="00E11C6A"/>
    <w:rsid w:val="00E11DCC"/>
    <w:rsid w:val="00E11E8C"/>
    <w:rsid w:val="00E11F12"/>
    <w:rsid w:val="00E12041"/>
    <w:rsid w:val="00E12067"/>
    <w:rsid w:val="00E120BA"/>
    <w:rsid w:val="00E123C8"/>
    <w:rsid w:val="00E1252D"/>
    <w:rsid w:val="00E126C3"/>
    <w:rsid w:val="00E126E6"/>
    <w:rsid w:val="00E126F1"/>
    <w:rsid w:val="00E12792"/>
    <w:rsid w:val="00E12794"/>
    <w:rsid w:val="00E12803"/>
    <w:rsid w:val="00E1282B"/>
    <w:rsid w:val="00E128DC"/>
    <w:rsid w:val="00E12ADA"/>
    <w:rsid w:val="00E12C77"/>
    <w:rsid w:val="00E12D03"/>
    <w:rsid w:val="00E12D6D"/>
    <w:rsid w:val="00E12DBE"/>
    <w:rsid w:val="00E13025"/>
    <w:rsid w:val="00E13102"/>
    <w:rsid w:val="00E1326A"/>
    <w:rsid w:val="00E13278"/>
    <w:rsid w:val="00E13289"/>
    <w:rsid w:val="00E132A1"/>
    <w:rsid w:val="00E13444"/>
    <w:rsid w:val="00E13467"/>
    <w:rsid w:val="00E134D1"/>
    <w:rsid w:val="00E136B1"/>
    <w:rsid w:val="00E1387F"/>
    <w:rsid w:val="00E138AB"/>
    <w:rsid w:val="00E1391F"/>
    <w:rsid w:val="00E13AB9"/>
    <w:rsid w:val="00E13BEC"/>
    <w:rsid w:val="00E13C2D"/>
    <w:rsid w:val="00E13C81"/>
    <w:rsid w:val="00E13D67"/>
    <w:rsid w:val="00E13EC6"/>
    <w:rsid w:val="00E14071"/>
    <w:rsid w:val="00E140FD"/>
    <w:rsid w:val="00E141FC"/>
    <w:rsid w:val="00E143D7"/>
    <w:rsid w:val="00E14424"/>
    <w:rsid w:val="00E14541"/>
    <w:rsid w:val="00E1471E"/>
    <w:rsid w:val="00E148DE"/>
    <w:rsid w:val="00E149CB"/>
    <w:rsid w:val="00E149D4"/>
    <w:rsid w:val="00E14AC0"/>
    <w:rsid w:val="00E14C1E"/>
    <w:rsid w:val="00E14D1F"/>
    <w:rsid w:val="00E14D6E"/>
    <w:rsid w:val="00E14DF7"/>
    <w:rsid w:val="00E14E2D"/>
    <w:rsid w:val="00E14F32"/>
    <w:rsid w:val="00E14F5B"/>
    <w:rsid w:val="00E14F69"/>
    <w:rsid w:val="00E14FB5"/>
    <w:rsid w:val="00E14FB9"/>
    <w:rsid w:val="00E150F4"/>
    <w:rsid w:val="00E15101"/>
    <w:rsid w:val="00E15133"/>
    <w:rsid w:val="00E15203"/>
    <w:rsid w:val="00E1535B"/>
    <w:rsid w:val="00E1545D"/>
    <w:rsid w:val="00E1548F"/>
    <w:rsid w:val="00E154F1"/>
    <w:rsid w:val="00E15585"/>
    <w:rsid w:val="00E15745"/>
    <w:rsid w:val="00E1597B"/>
    <w:rsid w:val="00E15986"/>
    <w:rsid w:val="00E15A70"/>
    <w:rsid w:val="00E15A92"/>
    <w:rsid w:val="00E15C93"/>
    <w:rsid w:val="00E15D2F"/>
    <w:rsid w:val="00E15F0A"/>
    <w:rsid w:val="00E15F2D"/>
    <w:rsid w:val="00E15FBF"/>
    <w:rsid w:val="00E16079"/>
    <w:rsid w:val="00E16092"/>
    <w:rsid w:val="00E1611E"/>
    <w:rsid w:val="00E16253"/>
    <w:rsid w:val="00E162EC"/>
    <w:rsid w:val="00E1632D"/>
    <w:rsid w:val="00E165B9"/>
    <w:rsid w:val="00E16706"/>
    <w:rsid w:val="00E16860"/>
    <w:rsid w:val="00E1696D"/>
    <w:rsid w:val="00E1698E"/>
    <w:rsid w:val="00E169A4"/>
    <w:rsid w:val="00E169C4"/>
    <w:rsid w:val="00E16A92"/>
    <w:rsid w:val="00E16C94"/>
    <w:rsid w:val="00E16DFA"/>
    <w:rsid w:val="00E16F52"/>
    <w:rsid w:val="00E16FE7"/>
    <w:rsid w:val="00E170F5"/>
    <w:rsid w:val="00E17267"/>
    <w:rsid w:val="00E173F3"/>
    <w:rsid w:val="00E1740A"/>
    <w:rsid w:val="00E1748D"/>
    <w:rsid w:val="00E176AB"/>
    <w:rsid w:val="00E177B7"/>
    <w:rsid w:val="00E17988"/>
    <w:rsid w:val="00E179C7"/>
    <w:rsid w:val="00E17D65"/>
    <w:rsid w:val="00E2000C"/>
    <w:rsid w:val="00E20050"/>
    <w:rsid w:val="00E201CB"/>
    <w:rsid w:val="00E20237"/>
    <w:rsid w:val="00E20274"/>
    <w:rsid w:val="00E205F9"/>
    <w:rsid w:val="00E206AF"/>
    <w:rsid w:val="00E20848"/>
    <w:rsid w:val="00E209B3"/>
    <w:rsid w:val="00E209BD"/>
    <w:rsid w:val="00E209F5"/>
    <w:rsid w:val="00E20A7A"/>
    <w:rsid w:val="00E20CE3"/>
    <w:rsid w:val="00E20E27"/>
    <w:rsid w:val="00E20E87"/>
    <w:rsid w:val="00E20FBB"/>
    <w:rsid w:val="00E20FE3"/>
    <w:rsid w:val="00E21050"/>
    <w:rsid w:val="00E212F6"/>
    <w:rsid w:val="00E21307"/>
    <w:rsid w:val="00E2149B"/>
    <w:rsid w:val="00E21769"/>
    <w:rsid w:val="00E217C5"/>
    <w:rsid w:val="00E21897"/>
    <w:rsid w:val="00E218B6"/>
    <w:rsid w:val="00E21A04"/>
    <w:rsid w:val="00E21A46"/>
    <w:rsid w:val="00E21ABC"/>
    <w:rsid w:val="00E21C11"/>
    <w:rsid w:val="00E21E6F"/>
    <w:rsid w:val="00E21F29"/>
    <w:rsid w:val="00E21F56"/>
    <w:rsid w:val="00E22002"/>
    <w:rsid w:val="00E220CA"/>
    <w:rsid w:val="00E221B4"/>
    <w:rsid w:val="00E22328"/>
    <w:rsid w:val="00E2237B"/>
    <w:rsid w:val="00E22600"/>
    <w:rsid w:val="00E22796"/>
    <w:rsid w:val="00E22926"/>
    <w:rsid w:val="00E2298F"/>
    <w:rsid w:val="00E22A6E"/>
    <w:rsid w:val="00E22B07"/>
    <w:rsid w:val="00E22C66"/>
    <w:rsid w:val="00E23146"/>
    <w:rsid w:val="00E23220"/>
    <w:rsid w:val="00E232DB"/>
    <w:rsid w:val="00E235D8"/>
    <w:rsid w:val="00E2360F"/>
    <w:rsid w:val="00E237DA"/>
    <w:rsid w:val="00E23B8E"/>
    <w:rsid w:val="00E23DDD"/>
    <w:rsid w:val="00E24017"/>
    <w:rsid w:val="00E24160"/>
    <w:rsid w:val="00E2429D"/>
    <w:rsid w:val="00E243F0"/>
    <w:rsid w:val="00E2456A"/>
    <w:rsid w:val="00E2471E"/>
    <w:rsid w:val="00E24742"/>
    <w:rsid w:val="00E2486D"/>
    <w:rsid w:val="00E24AB5"/>
    <w:rsid w:val="00E24B04"/>
    <w:rsid w:val="00E24B27"/>
    <w:rsid w:val="00E24D3B"/>
    <w:rsid w:val="00E24DAF"/>
    <w:rsid w:val="00E24E22"/>
    <w:rsid w:val="00E2508C"/>
    <w:rsid w:val="00E250EA"/>
    <w:rsid w:val="00E25211"/>
    <w:rsid w:val="00E25383"/>
    <w:rsid w:val="00E253C1"/>
    <w:rsid w:val="00E253F2"/>
    <w:rsid w:val="00E25432"/>
    <w:rsid w:val="00E254C5"/>
    <w:rsid w:val="00E2554B"/>
    <w:rsid w:val="00E256DB"/>
    <w:rsid w:val="00E2574A"/>
    <w:rsid w:val="00E257A9"/>
    <w:rsid w:val="00E2580D"/>
    <w:rsid w:val="00E2589A"/>
    <w:rsid w:val="00E2589D"/>
    <w:rsid w:val="00E25970"/>
    <w:rsid w:val="00E259A7"/>
    <w:rsid w:val="00E259DF"/>
    <w:rsid w:val="00E259FD"/>
    <w:rsid w:val="00E25A30"/>
    <w:rsid w:val="00E25DA8"/>
    <w:rsid w:val="00E25E1A"/>
    <w:rsid w:val="00E25EDF"/>
    <w:rsid w:val="00E25EED"/>
    <w:rsid w:val="00E25F2A"/>
    <w:rsid w:val="00E25F93"/>
    <w:rsid w:val="00E260D2"/>
    <w:rsid w:val="00E262C5"/>
    <w:rsid w:val="00E262D1"/>
    <w:rsid w:val="00E26362"/>
    <w:rsid w:val="00E26392"/>
    <w:rsid w:val="00E26422"/>
    <w:rsid w:val="00E26424"/>
    <w:rsid w:val="00E2658C"/>
    <w:rsid w:val="00E265AF"/>
    <w:rsid w:val="00E2664F"/>
    <w:rsid w:val="00E2699C"/>
    <w:rsid w:val="00E26BF3"/>
    <w:rsid w:val="00E26C0E"/>
    <w:rsid w:val="00E26DC9"/>
    <w:rsid w:val="00E26DE7"/>
    <w:rsid w:val="00E26E1E"/>
    <w:rsid w:val="00E26F63"/>
    <w:rsid w:val="00E26FDE"/>
    <w:rsid w:val="00E27149"/>
    <w:rsid w:val="00E27193"/>
    <w:rsid w:val="00E2739E"/>
    <w:rsid w:val="00E275DA"/>
    <w:rsid w:val="00E27707"/>
    <w:rsid w:val="00E279CF"/>
    <w:rsid w:val="00E27A90"/>
    <w:rsid w:val="00E27C3F"/>
    <w:rsid w:val="00E27C4A"/>
    <w:rsid w:val="00E27DF7"/>
    <w:rsid w:val="00E27FE2"/>
    <w:rsid w:val="00E3010F"/>
    <w:rsid w:val="00E30371"/>
    <w:rsid w:val="00E305E6"/>
    <w:rsid w:val="00E30646"/>
    <w:rsid w:val="00E30658"/>
    <w:rsid w:val="00E306B9"/>
    <w:rsid w:val="00E30726"/>
    <w:rsid w:val="00E307E2"/>
    <w:rsid w:val="00E308AF"/>
    <w:rsid w:val="00E308EB"/>
    <w:rsid w:val="00E30A70"/>
    <w:rsid w:val="00E30BD9"/>
    <w:rsid w:val="00E30CA7"/>
    <w:rsid w:val="00E30CFA"/>
    <w:rsid w:val="00E30E62"/>
    <w:rsid w:val="00E31039"/>
    <w:rsid w:val="00E310F0"/>
    <w:rsid w:val="00E31198"/>
    <w:rsid w:val="00E3121B"/>
    <w:rsid w:val="00E312BD"/>
    <w:rsid w:val="00E31365"/>
    <w:rsid w:val="00E31650"/>
    <w:rsid w:val="00E31682"/>
    <w:rsid w:val="00E316BC"/>
    <w:rsid w:val="00E31703"/>
    <w:rsid w:val="00E3178E"/>
    <w:rsid w:val="00E317A0"/>
    <w:rsid w:val="00E318F8"/>
    <w:rsid w:val="00E31C01"/>
    <w:rsid w:val="00E31CB7"/>
    <w:rsid w:val="00E320A0"/>
    <w:rsid w:val="00E321F2"/>
    <w:rsid w:val="00E32220"/>
    <w:rsid w:val="00E3233B"/>
    <w:rsid w:val="00E32526"/>
    <w:rsid w:val="00E3256F"/>
    <w:rsid w:val="00E326E8"/>
    <w:rsid w:val="00E32758"/>
    <w:rsid w:val="00E327B6"/>
    <w:rsid w:val="00E32C34"/>
    <w:rsid w:val="00E32C4E"/>
    <w:rsid w:val="00E32D5F"/>
    <w:rsid w:val="00E32E65"/>
    <w:rsid w:val="00E33130"/>
    <w:rsid w:val="00E3315A"/>
    <w:rsid w:val="00E33166"/>
    <w:rsid w:val="00E33177"/>
    <w:rsid w:val="00E331FF"/>
    <w:rsid w:val="00E3334F"/>
    <w:rsid w:val="00E33484"/>
    <w:rsid w:val="00E334B7"/>
    <w:rsid w:val="00E33669"/>
    <w:rsid w:val="00E33710"/>
    <w:rsid w:val="00E337DC"/>
    <w:rsid w:val="00E3388F"/>
    <w:rsid w:val="00E33895"/>
    <w:rsid w:val="00E3399D"/>
    <w:rsid w:val="00E33B34"/>
    <w:rsid w:val="00E33B78"/>
    <w:rsid w:val="00E33CD6"/>
    <w:rsid w:val="00E33D09"/>
    <w:rsid w:val="00E33EF2"/>
    <w:rsid w:val="00E33F7F"/>
    <w:rsid w:val="00E34002"/>
    <w:rsid w:val="00E34155"/>
    <w:rsid w:val="00E3417E"/>
    <w:rsid w:val="00E341A4"/>
    <w:rsid w:val="00E341BB"/>
    <w:rsid w:val="00E341C4"/>
    <w:rsid w:val="00E341E3"/>
    <w:rsid w:val="00E341F7"/>
    <w:rsid w:val="00E342AC"/>
    <w:rsid w:val="00E34340"/>
    <w:rsid w:val="00E3436D"/>
    <w:rsid w:val="00E343AE"/>
    <w:rsid w:val="00E343E2"/>
    <w:rsid w:val="00E34494"/>
    <w:rsid w:val="00E344D0"/>
    <w:rsid w:val="00E34577"/>
    <w:rsid w:val="00E34591"/>
    <w:rsid w:val="00E345AB"/>
    <w:rsid w:val="00E34740"/>
    <w:rsid w:val="00E3479E"/>
    <w:rsid w:val="00E348C9"/>
    <w:rsid w:val="00E348E7"/>
    <w:rsid w:val="00E34AC1"/>
    <w:rsid w:val="00E34C2A"/>
    <w:rsid w:val="00E34C41"/>
    <w:rsid w:val="00E352C2"/>
    <w:rsid w:val="00E352F3"/>
    <w:rsid w:val="00E35303"/>
    <w:rsid w:val="00E35354"/>
    <w:rsid w:val="00E353A2"/>
    <w:rsid w:val="00E353A9"/>
    <w:rsid w:val="00E353EB"/>
    <w:rsid w:val="00E354AE"/>
    <w:rsid w:val="00E354FB"/>
    <w:rsid w:val="00E35685"/>
    <w:rsid w:val="00E357A1"/>
    <w:rsid w:val="00E358E4"/>
    <w:rsid w:val="00E35A2F"/>
    <w:rsid w:val="00E35A31"/>
    <w:rsid w:val="00E35A78"/>
    <w:rsid w:val="00E35AE3"/>
    <w:rsid w:val="00E35CD6"/>
    <w:rsid w:val="00E35E72"/>
    <w:rsid w:val="00E35ED5"/>
    <w:rsid w:val="00E36086"/>
    <w:rsid w:val="00E360DF"/>
    <w:rsid w:val="00E360FD"/>
    <w:rsid w:val="00E362FD"/>
    <w:rsid w:val="00E36501"/>
    <w:rsid w:val="00E366FB"/>
    <w:rsid w:val="00E3682D"/>
    <w:rsid w:val="00E36942"/>
    <w:rsid w:val="00E36C6D"/>
    <w:rsid w:val="00E36C9B"/>
    <w:rsid w:val="00E36DEE"/>
    <w:rsid w:val="00E36DFE"/>
    <w:rsid w:val="00E36FF5"/>
    <w:rsid w:val="00E370FA"/>
    <w:rsid w:val="00E371E1"/>
    <w:rsid w:val="00E37340"/>
    <w:rsid w:val="00E3761C"/>
    <w:rsid w:val="00E37A22"/>
    <w:rsid w:val="00E37CBB"/>
    <w:rsid w:val="00E37CD1"/>
    <w:rsid w:val="00E37D4B"/>
    <w:rsid w:val="00E37DAA"/>
    <w:rsid w:val="00E402A5"/>
    <w:rsid w:val="00E40308"/>
    <w:rsid w:val="00E403C1"/>
    <w:rsid w:val="00E4054F"/>
    <w:rsid w:val="00E4055F"/>
    <w:rsid w:val="00E405B9"/>
    <w:rsid w:val="00E4072F"/>
    <w:rsid w:val="00E40731"/>
    <w:rsid w:val="00E4087D"/>
    <w:rsid w:val="00E40899"/>
    <w:rsid w:val="00E4097B"/>
    <w:rsid w:val="00E40ABE"/>
    <w:rsid w:val="00E40B5B"/>
    <w:rsid w:val="00E40B8F"/>
    <w:rsid w:val="00E40D30"/>
    <w:rsid w:val="00E40D35"/>
    <w:rsid w:val="00E40DEF"/>
    <w:rsid w:val="00E40E01"/>
    <w:rsid w:val="00E40E06"/>
    <w:rsid w:val="00E40E1B"/>
    <w:rsid w:val="00E40EC9"/>
    <w:rsid w:val="00E40F30"/>
    <w:rsid w:val="00E41038"/>
    <w:rsid w:val="00E4103E"/>
    <w:rsid w:val="00E41230"/>
    <w:rsid w:val="00E4134A"/>
    <w:rsid w:val="00E413DB"/>
    <w:rsid w:val="00E4140D"/>
    <w:rsid w:val="00E415BE"/>
    <w:rsid w:val="00E415EA"/>
    <w:rsid w:val="00E4169E"/>
    <w:rsid w:val="00E417A0"/>
    <w:rsid w:val="00E4185A"/>
    <w:rsid w:val="00E4189D"/>
    <w:rsid w:val="00E41978"/>
    <w:rsid w:val="00E41B6B"/>
    <w:rsid w:val="00E41C1E"/>
    <w:rsid w:val="00E41C40"/>
    <w:rsid w:val="00E41CC7"/>
    <w:rsid w:val="00E41D13"/>
    <w:rsid w:val="00E41D70"/>
    <w:rsid w:val="00E41DD5"/>
    <w:rsid w:val="00E41E15"/>
    <w:rsid w:val="00E41EBC"/>
    <w:rsid w:val="00E41EEE"/>
    <w:rsid w:val="00E41F9D"/>
    <w:rsid w:val="00E41FA7"/>
    <w:rsid w:val="00E4210C"/>
    <w:rsid w:val="00E42188"/>
    <w:rsid w:val="00E421CE"/>
    <w:rsid w:val="00E4238E"/>
    <w:rsid w:val="00E4245E"/>
    <w:rsid w:val="00E42486"/>
    <w:rsid w:val="00E4257C"/>
    <w:rsid w:val="00E425EB"/>
    <w:rsid w:val="00E42621"/>
    <w:rsid w:val="00E42822"/>
    <w:rsid w:val="00E429BA"/>
    <w:rsid w:val="00E42BAA"/>
    <w:rsid w:val="00E42BEF"/>
    <w:rsid w:val="00E42D39"/>
    <w:rsid w:val="00E42E37"/>
    <w:rsid w:val="00E42EFE"/>
    <w:rsid w:val="00E43141"/>
    <w:rsid w:val="00E43167"/>
    <w:rsid w:val="00E431FB"/>
    <w:rsid w:val="00E43249"/>
    <w:rsid w:val="00E43313"/>
    <w:rsid w:val="00E43478"/>
    <w:rsid w:val="00E4348A"/>
    <w:rsid w:val="00E43512"/>
    <w:rsid w:val="00E43590"/>
    <w:rsid w:val="00E43668"/>
    <w:rsid w:val="00E43681"/>
    <w:rsid w:val="00E436E0"/>
    <w:rsid w:val="00E437A9"/>
    <w:rsid w:val="00E4381B"/>
    <w:rsid w:val="00E43930"/>
    <w:rsid w:val="00E439A6"/>
    <w:rsid w:val="00E439DF"/>
    <w:rsid w:val="00E43A5F"/>
    <w:rsid w:val="00E43C4A"/>
    <w:rsid w:val="00E43CB5"/>
    <w:rsid w:val="00E43D83"/>
    <w:rsid w:val="00E43F87"/>
    <w:rsid w:val="00E440AB"/>
    <w:rsid w:val="00E440C5"/>
    <w:rsid w:val="00E44105"/>
    <w:rsid w:val="00E44255"/>
    <w:rsid w:val="00E442D5"/>
    <w:rsid w:val="00E443C3"/>
    <w:rsid w:val="00E4441D"/>
    <w:rsid w:val="00E44534"/>
    <w:rsid w:val="00E446E5"/>
    <w:rsid w:val="00E44723"/>
    <w:rsid w:val="00E44A13"/>
    <w:rsid w:val="00E44A23"/>
    <w:rsid w:val="00E44AFD"/>
    <w:rsid w:val="00E44B6C"/>
    <w:rsid w:val="00E44C0E"/>
    <w:rsid w:val="00E44D60"/>
    <w:rsid w:val="00E44DE7"/>
    <w:rsid w:val="00E44E96"/>
    <w:rsid w:val="00E44F42"/>
    <w:rsid w:val="00E44FA4"/>
    <w:rsid w:val="00E450CD"/>
    <w:rsid w:val="00E45145"/>
    <w:rsid w:val="00E451E2"/>
    <w:rsid w:val="00E45226"/>
    <w:rsid w:val="00E45266"/>
    <w:rsid w:val="00E45517"/>
    <w:rsid w:val="00E455D7"/>
    <w:rsid w:val="00E457AA"/>
    <w:rsid w:val="00E4581F"/>
    <w:rsid w:val="00E45923"/>
    <w:rsid w:val="00E45979"/>
    <w:rsid w:val="00E459BA"/>
    <w:rsid w:val="00E459EE"/>
    <w:rsid w:val="00E45A17"/>
    <w:rsid w:val="00E45B36"/>
    <w:rsid w:val="00E45BAF"/>
    <w:rsid w:val="00E45C3F"/>
    <w:rsid w:val="00E45CF7"/>
    <w:rsid w:val="00E45E40"/>
    <w:rsid w:val="00E45EBF"/>
    <w:rsid w:val="00E45F05"/>
    <w:rsid w:val="00E45F5A"/>
    <w:rsid w:val="00E46138"/>
    <w:rsid w:val="00E4616A"/>
    <w:rsid w:val="00E46263"/>
    <w:rsid w:val="00E462A8"/>
    <w:rsid w:val="00E462AD"/>
    <w:rsid w:val="00E462DA"/>
    <w:rsid w:val="00E46454"/>
    <w:rsid w:val="00E46461"/>
    <w:rsid w:val="00E46634"/>
    <w:rsid w:val="00E466E4"/>
    <w:rsid w:val="00E46737"/>
    <w:rsid w:val="00E4684B"/>
    <w:rsid w:val="00E46894"/>
    <w:rsid w:val="00E46B88"/>
    <w:rsid w:val="00E46BE0"/>
    <w:rsid w:val="00E46C6E"/>
    <w:rsid w:val="00E46E0D"/>
    <w:rsid w:val="00E46F9E"/>
    <w:rsid w:val="00E470B9"/>
    <w:rsid w:val="00E471CF"/>
    <w:rsid w:val="00E471E1"/>
    <w:rsid w:val="00E47304"/>
    <w:rsid w:val="00E475C8"/>
    <w:rsid w:val="00E47668"/>
    <w:rsid w:val="00E47673"/>
    <w:rsid w:val="00E476BA"/>
    <w:rsid w:val="00E477D0"/>
    <w:rsid w:val="00E477F4"/>
    <w:rsid w:val="00E47824"/>
    <w:rsid w:val="00E47980"/>
    <w:rsid w:val="00E47A2D"/>
    <w:rsid w:val="00E47B86"/>
    <w:rsid w:val="00E47C18"/>
    <w:rsid w:val="00E47C23"/>
    <w:rsid w:val="00E47C57"/>
    <w:rsid w:val="00E47CDB"/>
    <w:rsid w:val="00E47EFB"/>
    <w:rsid w:val="00E47F86"/>
    <w:rsid w:val="00E5006F"/>
    <w:rsid w:val="00E50088"/>
    <w:rsid w:val="00E50094"/>
    <w:rsid w:val="00E500E1"/>
    <w:rsid w:val="00E5012B"/>
    <w:rsid w:val="00E50170"/>
    <w:rsid w:val="00E50226"/>
    <w:rsid w:val="00E502AF"/>
    <w:rsid w:val="00E5030A"/>
    <w:rsid w:val="00E504AC"/>
    <w:rsid w:val="00E50631"/>
    <w:rsid w:val="00E50756"/>
    <w:rsid w:val="00E507C3"/>
    <w:rsid w:val="00E50819"/>
    <w:rsid w:val="00E50827"/>
    <w:rsid w:val="00E508D6"/>
    <w:rsid w:val="00E50B77"/>
    <w:rsid w:val="00E50BE4"/>
    <w:rsid w:val="00E50BFD"/>
    <w:rsid w:val="00E50C31"/>
    <w:rsid w:val="00E50CD6"/>
    <w:rsid w:val="00E50D67"/>
    <w:rsid w:val="00E50EDB"/>
    <w:rsid w:val="00E50FD1"/>
    <w:rsid w:val="00E51041"/>
    <w:rsid w:val="00E51126"/>
    <w:rsid w:val="00E5144C"/>
    <w:rsid w:val="00E51770"/>
    <w:rsid w:val="00E5179F"/>
    <w:rsid w:val="00E51842"/>
    <w:rsid w:val="00E51887"/>
    <w:rsid w:val="00E5188E"/>
    <w:rsid w:val="00E518F8"/>
    <w:rsid w:val="00E51A7F"/>
    <w:rsid w:val="00E51AD4"/>
    <w:rsid w:val="00E51B60"/>
    <w:rsid w:val="00E51BAC"/>
    <w:rsid w:val="00E51C51"/>
    <w:rsid w:val="00E51C75"/>
    <w:rsid w:val="00E51C8E"/>
    <w:rsid w:val="00E51D04"/>
    <w:rsid w:val="00E51F93"/>
    <w:rsid w:val="00E5200D"/>
    <w:rsid w:val="00E52021"/>
    <w:rsid w:val="00E520CA"/>
    <w:rsid w:val="00E520FC"/>
    <w:rsid w:val="00E5218B"/>
    <w:rsid w:val="00E52193"/>
    <w:rsid w:val="00E521D0"/>
    <w:rsid w:val="00E52213"/>
    <w:rsid w:val="00E5237D"/>
    <w:rsid w:val="00E523AB"/>
    <w:rsid w:val="00E52417"/>
    <w:rsid w:val="00E5254F"/>
    <w:rsid w:val="00E5268B"/>
    <w:rsid w:val="00E52738"/>
    <w:rsid w:val="00E527BD"/>
    <w:rsid w:val="00E527F6"/>
    <w:rsid w:val="00E528B3"/>
    <w:rsid w:val="00E52A78"/>
    <w:rsid w:val="00E52AF5"/>
    <w:rsid w:val="00E52B7A"/>
    <w:rsid w:val="00E52FB1"/>
    <w:rsid w:val="00E52FCC"/>
    <w:rsid w:val="00E531D2"/>
    <w:rsid w:val="00E53236"/>
    <w:rsid w:val="00E53295"/>
    <w:rsid w:val="00E53B5D"/>
    <w:rsid w:val="00E53B99"/>
    <w:rsid w:val="00E53C2B"/>
    <w:rsid w:val="00E53CF3"/>
    <w:rsid w:val="00E53E8B"/>
    <w:rsid w:val="00E53F37"/>
    <w:rsid w:val="00E542B9"/>
    <w:rsid w:val="00E54608"/>
    <w:rsid w:val="00E54722"/>
    <w:rsid w:val="00E54741"/>
    <w:rsid w:val="00E547AB"/>
    <w:rsid w:val="00E548CF"/>
    <w:rsid w:val="00E5493C"/>
    <w:rsid w:val="00E54946"/>
    <w:rsid w:val="00E54B2D"/>
    <w:rsid w:val="00E54BF5"/>
    <w:rsid w:val="00E54E66"/>
    <w:rsid w:val="00E54EBC"/>
    <w:rsid w:val="00E54F1A"/>
    <w:rsid w:val="00E54F34"/>
    <w:rsid w:val="00E5507E"/>
    <w:rsid w:val="00E55097"/>
    <w:rsid w:val="00E550D9"/>
    <w:rsid w:val="00E55118"/>
    <w:rsid w:val="00E5516B"/>
    <w:rsid w:val="00E55184"/>
    <w:rsid w:val="00E55428"/>
    <w:rsid w:val="00E559D9"/>
    <w:rsid w:val="00E55A08"/>
    <w:rsid w:val="00E55A38"/>
    <w:rsid w:val="00E55B40"/>
    <w:rsid w:val="00E55C8E"/>
    <w:rsid w:val="00E55DDD"/>
    <w:rsid w:val="00E55FD9"/>
    <w:rsid w:val="00E560B3"/>
    <w:rsid w:val="00E56294"/>
    <w:rsid w:val="00E562E5"/>
    <w:rsid w:val="00E562E6"/>
    <w:rsid w:val="00E565BB"/>
    <w:rsid w:val="00E56674"/>
    <w:rsid w:val="00E5670B"/>
    <w:rsid w:val="00E5681D"/>
    <w:rsid w:val="00E5688C"/>
    <w:rsid w:val="00E568AC"/>
    <w:rsid w:val="00E568C2"/>
    <w:rsid w:val="00E56C01"/>
    <w:rsid w:val="00E56D7B"/>
    <w:rsid w:val="00E56DC7"/>
    <w:rsid w:val="00E56DD3"/>
    <w:rsid w:val="00E56E22"/>
    <w:rsid w:val="00E56EDE"/>
    <w:rsid w:val="00E57134"/>
    <w:rsid w:val="00E5731F"/>
    <w:rsid w:val="00E5744A"/>
    <w:rsid w:val="00E5756F"/>
    <w:rsid w:val="00E576D0"/>
    <w:rsid w:val="00E576FE"/>
    <w:rsid w:val="00E5774F"/>
    <w:rsid w:val="00E577DA"/>
    <w:rsid w:val="00E5794A"/>
    <w:rsid w:val="00E57B96"/>
    <w:rsid w:val="00E57F6A"/>
    <w:rsid w:val="00E60031"/>
    <w:rsid w:val="00E60169"/>
    <w:rsid w:val="00E60351"/>
    <w:rsid w:val="00E604ED"/>
    <w:rsid w:val="00E606DC"/>
    <w:rsid w:val="00E60794"/>
    <w:rsid w:val="00E609D3"/>
    <w:rsid w:val="00E60AC3"/>
    <w:rsid w:val="00E60B41"/>
    <w:rsid w:val="00E60BFB"/>
    <w:rsid w:val="00E60CE5"/>
    <w:rsid w:val="00E60E42"/>
    <w:rsid w:val="00E60F92"/>
    <w:rsid w:val="00E60F95"/>
    <w:rsid w:val="00E60FB3"/>
    <w:rsid w:val="00E61014"/>
    <w:rsid w:val="00E6101B"/>
    <w:rsid w:val="00E610AC"/>
    <w:rsid w:val="00E611B1"/>
    <w:rsid w:val="00E611B4"/>
    <w:rsid w:val="00E611D3"/>
    <w:rsid w:val="00E612DF"/>
    <w:rsid w:val="00E61611"/>
    <w:rsid w:val="00E6163A"/>
    <w:rsid w:val="00E61699"/>
    <w:rsid w:val="00E61733"/>
    <w:rsid w:val="00E61745"/>
    <w:rsid w:val="00E61946"/>
    <w:rsid w:val="00E619E0"/>
    <w:rsid w:val="00E61B99"/>
    <w:rsid w:val="00E61BD9"/>
    <w:rsid w:val="00E61C6C"/>
    <w:rsid w:val="00E61C8B"/>
    <w:rsid w:val="00E62119"/>
    <w:rsid w:val="00E62131"/>
    <w:rsid w:val="00E62167"/>
    <w:rsid w:val="00E625A0"/>
    <w:rsid w:val="00E6260D"/>
    <w:rsid w:val="00E62645"/>
    <w:rsid w:val="00E62697"/>
    <w:rsid w:val="00E62827"/>
    <w:rsid w:val="00E6284F"/>
    <w:rsid w:val="00E62898"/>
    <w:rsid w:val="00E6299D"/>
    <w:rsid w:val="00E629C3"/>
    <w:rsid w:val="00E62A5C"/>
    <w:rsid w:val="00E62A74"/>
    <w:rsid w:val="00E62AEC"/>
    <w:rsid w:val="00E62C28"/>
    <w:rsid w:val="00E62C58"/>
    <w:rsid w:val="00E62D65"/>
    <w:rsid w:val="00E62DDC"/>
    <w:rsid w:val="00E62DE2"/>
    <w:rsid w:val="00E62E1D"/>
    <w:rsid w:val="00E62E94"/>
    <w:rsid w:val="00E62EC3"/>
    <w:rsid w:val="00E630BB"/>
    <w:rsid w:val="00E632AE"/>
    <w:rsid w:val="00E632E0"/>
    <w:rsid w:val="00E634D6"/>
    <w:rsid w:val="00E63529"/>
    <w:rsid w:val="00E6356D"/>
    <w:rsid w:val="00E63697"/>
    <w:rsid w:val="00E637DD"/>
    <w:rsid w:val="00E6393A"/>
    <w:rsid w:val="00E6398E"/>
    <w:rsid w:val="00E63BE5"/>
    <w:rsid w:val="00E63C98"/>
    <w:rsid w:val="00E63CA5"/>
    <w:rsid w:val="00E63D63"/>
    <w:rsid w:val="00E63D7C"/>
    <w:rsid w:val="00E64184"/>
    <w:rsid w:val="00E64239"/>
    <w:rsid w:val="00E642E8"/>
    <w:rsid w:val="00E64361"/>
    <w:rsid w:val="00E64541"/>
    <w:rsid w:val="00E645CE"/>
    <w:rsid w:val="00E6471A"/>
    <w:rsid w:val="00E64748"/>
    <w:rsid w:val="00E64A60"/>
    <w:rsid w:val="00E64C48"/>
    <w:rsid w:val="00E64EDB"/>
    <w:rsid w:val="00E64F30"/>
    <w:rsid w:val="00E64FD4"/>
    <w:rsid w:val="00E64FD8"/>
    <w:rsid w:val="00E651C3"/>
    <w:rsid w:val="00E652F0"/>
    <w:rsid w:val="00E6533B"/>
    <w:rsid w:val="00E65362"/>
    <w:rsid w:val="00E6536E"/>
    <w:rsid w:val="00E6559B"/>
    <w:rsid w:val="00E655F3"/>
    <w:rsid w:val="00E658A4"/>
    <w:rsid w:val="00E65BB4"/>
    <w:rsid w:val="00E65BF5"/>
    <w:rsid w:val="00E65CC8"/>
    <w:rsid w:val="00E65ED2"/>
    <w:rsid w:val="00E65ED9"/>
    <w:rsid w:val="00E65F06"/>
    <w:rsid w:val="00E65FD1"/>
    <w:rsid w:val="00E660CC"/>
    <w:rsid w:val="00E6637A"/>
    <w:rsid w:val="00E66450"/>
    <w:rsid w:val="00E66457"/>
    <w:rsid w:val="00E66483"/>
    <w:rsid w:val="00E66493"/>
    <w:rsid w:val="00E665A1"/>
    <w:rsid w:val="00E6672E"/>
    <w:rsid w:val="00E6672F"/>
    <w:rsid w:val="00E6690B"/>
    <w:rsid w:val="00E6699C"/>
    <w:rsid w:val="00E669E5"/>
    <w:rsid w:val="00E669EA"/>
    <w:rsid w:val="00E66A0B"/>
    <w:rsid w:val="00E66AF1"/>
    <w:rsid w:val="00E66C3F"/>
    <w:rsid w:val="00E66CC7"/>
    <w:rsid w:val="00E66E6F"/>
    <w:rsid w:val="00E66E79"/>
    <w:rsid w:val="00E66F86"/>
    <w:rsid w:val="00E67000"/>
    <w:rsid w:val="00E67117"/>
    <w:rsid w:val="00E6734E"/>
    <w:rsid w:val="00E67404"/>
    <w:rsid w:val="00E6740D"/>
    <w:rsid w:val="00E67490"/>
    <w:rsid w:val="00E674CF"/>
    <w:rsid w:val="00E674D6"/>
    <w:rsid w:val="00E6763C"/>
    <w:rsid w:val="00E6773F"/>
    <w:rsid w:val="00E67763"/>
    <w:rsid w:val="00E677CE"/>
    <w:rsid w:val="00E6784F"/>
    <w:rsid w:val="00E67854"/>
    <w:rsid w:val="00E67894"/>
    <w:rsid w:val="00E678D2"/>
    <w:rsid w:val="00E67905"/>
    <w:rsid w:val="00E67948"/>
    <w:rsid w:val="00E6798C"/>
    <w:rsid w:val="00E679CE"/>
    <w:rsid w:val="00E67A84"/>
    <w:rsid w:val="00E67A97"/>
    <w:rsid w:val="00E67ACE"/>
    <w:rsid w:val="00E67ADB"/>
    <w:rsid w:val="00E67AF1"/>
    <w:rsid w:val="00E67CC2"/>
    <w:rsid w:val="00E70006"/>
    <w:rsid w:val="00E70260"/>
    <w:rsid w:val="00E70296"/>
    <w:rsid w:val="00E702E7"/>
    <w:rsid w:val="00E70311"/>
    <w:rsid w:val="00E70458"/>
    <w:rsid w:val="00E70543"/>
    <w:rsid w:val="00E70577"/>
    <w:rsid w:val="00E70619"/>
    <w:rsid w:val="00E7080B"/>
    <w:rsid w:val="00E70932"/>
    <w:rsid w:val="00E70A5E"/>
    <w:rsid w:val="00E70A63"/>
    <w:rsid w:val="00E70ADD"/>
    <w:rsid w:val="00E70AFC"/>
    <w:rsid w:val="00E70BD6"/>
    <w:rsid w:val="00E70E08"/>
    <w:rsid w:val="00E70F4D"/>
    <w:rsid w:val="00E70F50"/>
    <w:rsid w:val="00E70F52"/>
    <w:rsid w:val="00E70FF8"/>
    <w:rsid w:val="00E7100E"/>
    <w:rsid w:val="00E711BB"/>
    <w:rsid w:val="00E7134D"/>
    <w:rsid w:val="00E71350"/>
    <w:rsid w:val="00E713A5"/>
    <w:rsid w:val="00E713BC"/>
    <w:rsid w:val="00E71437"/>
    <w:rsid w:val="00E71508"/>
    <w:rsid w:val="00E717E0"/>
    <w:rsid w:val="00E7182F"/>
    <w:rsid w:val="00E71962"/>
    <w:rsid w:val="00E71966"/>
    <w:rsid w:val="00E71994"/>
    <w:rsid w:val="00E71AE2"/>
    <w:rsid w:val="00E71BAA"/>
    <w:rsid w:val="00E7205C"/>
    <w:rsid w:val="00E72143"/>
    <w:rsid w:val="00E7214B"/>
    <w:rsid w:val="00E721BE"/>
    <w:rsid w:val="00E721CF"/>
    <w:rsid w:val="00E721E6"/>
    <w:rsid w:val="00E72212"/>
    <w:rsid w:val="00E722B7"/>
    <w:rsid w:val="00E7235C"/>
    <w:rsid w:val="00E724FB"/>
    <w:rsid w:val="00E72509"/>
    <w:rsid w:val="00E7251F"/>
    <w:rsid w:val="00E725FC"/>
    <w:rsid w:val="00E72607"/>
    <w:rsid w:val="00E726B9"/>
    <w:rsid w:val="00E72906"/>
    <w:rsid w:val="00E72AE1"/>
    <w:rsid w:val="00E72B21"/>
    <w:rsid w:val="00E72B3C"/>
    <w:rsid w:val="00E72BD5"/>
    <w:rsid w:val="00E72DC4"/>
    <w:rsid w:val="00E72EA7"/>
    <w:rsid w:val="00E73159"/>
    <w:rsid w:val="00E7317E"/>
    <w:rsid w:val="00E73358"/>
    <w:rsid w:val="00E7343B"/>
    <w:rsid w:val="00E73499"/>
    <w:rsid w:val="00E7350A"/>
    <w:rsid w:val="00E73708"/>
    <w:rsid w:val="00E737CA"/>
    <w:rsid w:val="00E739F5"/>
    <w:rsid w:val="00E73A19"/>
    <w:rsid w:val="00E73A43"/>
    <w:rsid w:val="00E73B20"/>
    <w:rsid w:val="00E73BCC"/>
    <w:rsid w:val="00E73C54"/>
    <w:rsid w:val="00E73C9F"/>
    <w:rsid w:val="00E73CE2"/>
    <w:rsid w:val="00E73D14"/>
    <w:rsid w:val="00E73DB8"/>
    <w:rsid w:val="00E73F46"/>
    <w:rsid w:val="00E74190"/>
    <w:rsid w:val="00E74257"/>
    <w:rsid w:val="00E7439B"/>
    <w:rsid w:val="00E74404"/>
    <w:rsid w:val="00E74608"/>
    <w:rsid w:val="00E74877"/>
    <w:rsid w:val="00E74911"/>
    <w:rsid w:val="00E74A02"/>
    <w:rsid w:val="00E74A43"/>
    <w:rsid w:val="00E74AB3"/>
    <w:rsid w:val="00E74BB4"/>
    <w:rsid w:val="00E74C23"/>
    <w:rsid w:val="00E74CB4"/>
    <w:rsid w:val="00E74F9E"/>
    <w:rsid w:val="00E74FC3"/>
    <w:rsid w:val="00E75025"/>
    <w:rsid w:val="00E751EE"/>
    <w:rsid w:val="00E75251"/>
    <w:rsid w:val="00E75262"/>
    <w:rsid w:val="00E75409"/>
    <w:rsid w:val="00E75447"/>
    <w:rsid w:val="00E7554E"/>
    <w:rsid w:val="00E757C5"/>
    <w:rsid w:val="00E75800"/>
    <w:rsid w:val="00E75928"/>
    <w:rsid w:val="00E75AA6"/>
    <w:rsid w:val="00E75B34"/>
    <w:rsid w:val="00E75BB7"/>
    <w:rsid w:val="00E75FB7"/>
    <w:rsid w:val="00E76043"/>
    <w:rsid w:val="00E760E1"/>
    <w:rsid w:val="00E7622E"/>
    <w:rsid w:val="00E7625D"/>
    <w:rsid w:val="00E762AD"/>
    <w:rsid w:val="00E763B5"/>
    <w:rsid w:val="00E7646E"/>
    <w:rsid w:val="00E765DF"/>
    <w:rsid w:val="00E7672E"/>
    <w:rsid w:val="00E76792"/>
    <w:rsid w:val="00E7680B"/>
    <w:rsid w:val="00E76845"/>
    <w:rsid w:val="00E76872"/>
    <w:rsid w:val="00E76A36"/>
    <w:rsid w:val="00E76BEC"/>
    <w:rsid w:val="00E76D6B"/>
    <w:rsid w:val="00E76D97"/>
    <w:rsid w:val="00E76DF6"/>
    <w:rsid w:val="00E76EAC"/>
    <w:rsid w:val="00E76F89"/>
    <w:rsid w:val="00E76F94"/>
    <w:rsid w:val="00E7717B"/>
    <w:rsid w:val="00E771E5"/>
    <w:rsid w:val="00E77623"/>
    <w:rsid w:val="00E7762F"/>
    <w:rsid w:val="00E776B9"/>
    <w:rsid w:val="00E776FE"/>
    <w:rsid w:val="00E7779B"/>
    <w:rsid w:val="00E777F6"/>
    <w:rsid w:val="00E778B4"/>
    <w:rsid w:val="00E779DC"/>
    <w:rsid w:val="00E77B00"/>
    <w:rsid w:val="00E77B02"/>
    <w:rsid w:val="00E77B4E"/>
    <w:rsid w:val="00E77BBE"/>
    <w:rsid w:val="00E77D7A"/>
    <w:rsid w:val="00E77D9F"/>
    <w:rsid w:val="00E77DB7"/>
    <w:rsid w:val="00E77E9B"/>
    <w:rsid w:val="00E77F46"/>
    <w:rsid w:val="00E77FE3"/>
    <w:rsid w:val="00E80019"/>
    <w:rsid w:val="00E80026"/>
    <w:rsid w:val="00E801E8"/>
    <w:rsid w:val="00E802F9"/>
    <w:rsid w:val="00E8039B"/>
    <w:rsid w:val="00E80403"/>
    <w:rsid w:val="00E8047E"/>
    <w:rsid w:val="00E8064C"/>
    <w:rsid w:val="00E80652"/>
    <w:rsid w:val="00E80667"/>
    <w:rsid w:val="00E808AF"/>
    <w:rsid w:val="00E808F6"/>
    <w:rsid w:val="00E809B8"/>
    <w:rsid w:val="00E80AE5"/>
    <w:rsid w:val="00E80BCD"/>
    <w:rsid w:val="00E80CA1"/>
    <w:rsid w:val="00E80CC7"/>
    <w:rsid w:val="00E80D01"/>
    <w:rsid w:val="00E80D54"/>
    <w:rsid w:val="00E80D60"/>
    <w:rsid w:val="00E80D8B"/>
    <w:rsid w:val="00E80E4F"/>
    <w:rsid w:val="00E80F95"/>
    <w:rsid w:val="00E80F96"/>
    <w:rsid w:val="00E80FD6"/>
    <w:rsid w:val="00E8102C"/>
    <w:rsid w:val="00E81069"/>
    <w:rsid w:val="00E81169"/>
    <w:rsid w:val="00E812CF"/>
    <w:rsid w:val="00E812D6"/>
    <w:rsid w:val="00E81307"/>
    <w:rsid w:val="00E81433"/>
    <w:rsid w:val="00E815E7"/>
    <w:rsid w:val="00E817CE"/>
    <w:rsid w:val="00E817E1"/>
    <w:rsid w:val="00E81920"/>
    <w:rsid w:val="00E81BE3"/>
    <w:rsid w:val="00E81CC1"/>
    <w:rsid w:val="00E81DA4"/>
    <w:rsid w:val="00E81DAD"/>
    <w:rsid w:val="00E81E78"/>
    <w:rsid w:val="00E81ED8"/>
    <w:rsid w:val="00E81EF4"/>
    <w:rsid w:val="00E82052"/>
    <w:rsid w:val="00E821AC"/>
    <w:rsid w:val="00E821D0"/>
    <w:rsid w:val="00E8226E"/>
    <w:rsid w:val="00E8226F"/>
    <w:rsid w:val="00E822D7"/>
    <w:rsid w:val="00E8234D"/>
    <w:rsid w:val="00E8239A"/>
    <w:rsid w:val="00E82470"/>
    <w:rsid w:val="00E82505"/>
    <w:rsid w:val="00E82516"/>
    <w:rsid w:val="00E82598"/>
    <w:rsid w:val="00E826A4"/>
    <w:rsid w:val="00E82750"/>
    <w:rsid w:val="00E82857"/>
    <w:rsid w:val="00E82C75"/>
    <w:rsid w:val="00E82E58"/>
    <w:rsid w:val="00E82E7F"/>
    <w:rsid w:val="00E82EA7"/>
    <w:rsid w:val="00E82EB5"/>
    <w:rsid w:val="00E82EB8"/>
    <w:rsid w:val="00E82ECE"/>
    <w:rsid w:val="00E82FBF"/>
    <w:rsid w:val="00E8306F"/>
    <w:rsid w:val="00E83094"/>
    <w:rsid w:val="00E83298"/>
    <w:rsid w:val="00E83317"/>
    <w:rsid w:val="00E83358"/>
    <w:rsid w:val="00E8338F"/>
    <w:rsid w:val="00E83403"/>
    <w:rsid w:val="00E8342E"/>
    <w:rsid w:val="00E83810"/>
    <w:rsid w:val="00E83981"/>
    <w:rsid w:val="00E83995"/>
    <w:rsid w:val="00E83A62"/>
    <w:rsid w:val="00E83AFC"/>
    <w:rsid w:val="00E83C07"/>
    <w:rsid w:val="00E83E58"/>
    <w:rsid w:val="00E83F2F"/>
    <w:rsid w:val="00E83F45"/>
    <w:rsid w:val="00E83F4B"/>
    <w:rsid w:val="00E83FEE"/>
    <w:rsid w:val="00E8416F"/>
    <w:rsid w:val="00E84300"/>
    <w:rsid w:val="00E843B7"/>
    <w:rsid w:val="00E8446E"/>
    <w:rsid w:val="00E84671"/>
    <w:rsid w:val="00E84946"/>
    <w:rsid w:val="00E84A65"/>
    <w:rsid w:val="00E84AAE"/>
    <w:rsid w:val="00E84D3C"/>
    <w:rsid w:val="00E84F06"/>
    <w:rsid w:val="00E84F1C"/>
    <w:rsid w:val="00E84FA6"/>
    <w:rsid w:val="00E84FAD"/>
    <w:rsid w:val="00E84FEB"/>
    <w:rsid w:val="00E85025"/>
    <w:rsid w:val="00E850C6"/>
    <w:rsid w:val="00E8517B"/>
    <w:rsid w:val="00E851BF"/>
    <w:rsid w:val="00E851D9"/>
    <w:rsid w:val="00E85269"/>
    <w:rsid w:val="00E852C5"/>
    <w:rsid w:val="00E852DE"/>
    <w:rsid w:val="00E85313"/>
    <w:rsid w:val="00E853F7"/>
    <w:rsid w:val="00E85410"/>
    <w:rsid w:val="00E854E8"/>
    <w:rsid w:val="00E85519"/>
    <w:rsid w:val="00E8558E"/>
    <w:rsid w:val="00E855F9"/>
    <w:rsid w:val="00E85649"/>
    <w:rsid w:val="00E856AC"/>
    <w:rsid w:val="00E85919"/>
    <w:rsid w:val="00E8591A"/>
    <w:rsid w:val="00E85A0A"/>
    <w:rsid w:val="00E85C2E"/>
    <w:rsid w:val="00E85D77"/>
    <w:rsid w:val="00E85F43"/>
    <w:rsid w:val="00E86048"/>
    <w:rsid w:val="00E86139"/>
    <w:rsid w:val="00E86210"/>
    <w:rsid w:val="00E86280"/>
    <w:rsid w:val="00E8636B"/>
    <w:rsid w:val="00E8636F"/>
    <w:rsid w:val="00E8639F"/>
    <w:rsid w:val="00E865C6"/>
    <w:rsid w:val="00E868F0"/>
    <w:rsid w:val="00E86BBC"/>
    <w:rsid w:val="00E86C3A"/>
    <w:rsid w:val="00E86D2B"/>
    <w:rsid w:val="00E86D57"/>
    <w:rsid w:val="00E86D94"/>
    <w:rsid w:val="00E86E1D"/>
    <w:rsid w:val="00E86EFE"/>
    <w:rsid w:val="00E872E2"/>
    <w:rsid w:val="00E87407"/>
    <w:rsid w:val="00E87456"/>
    <w:rsid w:val="00E87478"/>
    <w:rsid w:val="00E874B0"/>
    <w:rsid w:val="00E876AB"/>
    <w:rsid w:val="00E87746"/>
    <w:rsid w:val="00E8786C"/>
    <w:rsid w:val="00E8793E"/>
    <w:rsid w:val="00E8794D"/>
    <w:rsid w:val="00E879C5"/>
    <w:rsid w:val="00E87A54"/>
    <w:rsid w:val="00E87B35"/>
    <w:rsid w:val="00E87B8B"/>
    <w:rsid w:val="00E87BAA"/>
    <w:rsid w:val="00E87CAD"/>
    <w:rsid w:val="00E87CF4"/>
    <w:rsid w:val="00E87D95"/>
    <w:rsid w:val="00E87D98"/>
    <w:rsid w:val="00E87DFF"/>
    <w:rsid w:val="00E87EDB"/>
    <w:rsid w:val="00E87F40"/>
    <w:rsid w:val="00E87FB9"/>
    <w:rsid w:val="00E87FF0"/>
    <w:rsid w:val="00E90162"/>
    <w:rsid w:val="00E9035F"/>
    <w:rsid w:val="00E90532"/>
    <w:rsid w:val="00E905C1"/>
    <w:rsid w:val="00E9076B"/>
    <w:rsid w:val="00E907AE"/>
    <w:rsid w:val="00E9084F"/>
    <w:rsid w:val="00E909A0"/>
    <w:rsid w:val="00E909D9"/>
    <w:rsid w:val="00E90A46"/>
    <w:rsid w:val="00E90BAD"/>
    <w:rsid w:val="00E90CF2"/>
    <w:rsid w:val="00E90E5E"/>
    <w:rsid w:val="00E9103F"/>
    <w:rsid w:val="00E91078"/>
    <w:rsid w:val="00E910F8"/>
    <w:rsid w:val="00E9113F"/>
    <w:rsid w:val="00E912EB"/>
    <w:rsid w:val="00E913CD"/>
    <w:rsid w:val="00E914F8"/>
    <w:rsid w:val="00E91653"/>
    <w:rsid w:val="00E91773"/>
    <w:rsid w:val="00E9182D"/>
    <w:rsid w:val="00E91995"/>
    <w:rsid w:val="00E91B71"/>
    <w:rsid w:val="00E91EB1"/>
    <w:rsid w:val="00E91EC0"/>
    <w:rsid w:val="00E9203D"/>
    <w:rsid w:val="00E920E2"/>
    <w:rsid w:val="00E921A0"/>
    <w:rsid w:val="00E92335"/>
    <w:rsid w:val="00E92587"/>
    <w:rsid w:val="00E925D8"/>
    <w:rsid w:val="00E9264F"/>
    <w:rsid w:val="00E92797"/>
    <w:rsid w:val="00E92820"/>
    <w:rsid w:val="00E92835"/>
    <w:rsid w:val="00E92869"/>
    <w:rsid w:val="00E9287B"/>
    <w:rsid w:val="00E92976"/>
    <w:rsid w:val="00E92B90"/>
    <w:rsid w:val="00E92C5A"/>
    <w:rsid w:val="00E92CB1"/>
    <w:rsid w:val="00E92CFA"/>
    <w:rsid w:val="00E931B4"/>
    <w:rsid w:val="00E931D5"/>
    <w:rsid w:val="00E9321D"/>
    <w:rsid w:val="00E93300"/>
    <w:rsid w:val="00E9339E"/>
    <w:rsid w:val="00E93797"/>
    <w:rsid w:val="00E93806"/>
    <w:rsid w:val="00E93860"/>
    <w:rsid w:val="00E9388C"/>
    <w:rsid w:val="00E93925"/>
    <w:rsid w:val="00E93A01"/>
    <w:rsid w:val="00E93AE3"/>
    <w:rsid w:val="00E93B07"/>
    <w:rsid w:val="00E93B1E"/>
    <w:rsid w:val="00E93B2F"/>
    <w:rsid w:val="00E93BAF"/>
    <w:rsid w:val="00E93DE7"/>
    <w:rsid w:val="00E93FEF"/>
    <w:rsid w:val="00E94107"/>
    <w:rsid w:val="00E94251"/>
    <w:rsid w:val="00E94362"/>
    <w:rsid w:val="00E94384"/>
    <w:rsid w:val="00E94443"/>
    <w:rsid w:val="00E9446E"/>
    <w:rsid w:val="00E944E5"/>
    <w:rsid w:val="00E94627"/>
    <w:rsid w:val="00E94677"/>
    <w:rsid w:val="00E946C4"/>
    <w:rsid w:val="00E946E5"/>
    <w:rsid w:val="00E947B6"/>
    <w:rsid w:val="00E94940"/>
    <w:rsid w:val="00E94A78"/>
    <w:rsid w:val="00E94A9C"/>
    <w:rsid w:val="00E94ACC"/>
    <w:rsid w:val="00E94B98"/>
    <w:rsid w:val="00E94CC9"/>
    <w:rsid w:val="00E94CFE"/>
    <w:rsid w:val="00E94F0B"/>
    <w:rsid w:val="00E94F59"/>
    <w:rsid w:val="00E94F7D"/>
    <w:rsid w:val="00E950A3"/>
    <w:rsid w:val="00E950A6"/>
    <w:rsid w:val="00E95134"/>
    <w:rsid w:val="00E9517A"/>
    <w:rsid w:val="00E95306"/>
    <w:rsid w:val="00E95531"/>
    <w:rsid w:val="00E9565D"/>
    <w:rsid w:val="00E95718"/>
    <w:rsid w:val="00E95889"/>
    <w:rsid w:val="00E959DF"/>
    <w:rsid w:val="00E959E0"/>
    <w:rsid w:val="00E95A35"/>
    <w:rsid w:val="00E95A5B"/>
    <w:rsid w:val="00E95BF9"/>
    <w:rsid w:val="00E95CE3"/>
    <w:rsid w:val="00E95DAB"/>
    <w:rsid w:val="00E95E03"/>
    <w:rsid w:val="00E95E54"/>
    <w:rsid w:val="00E95F9F"/>
    <w:rsid w:val="00E960E8"/>
    <w:rsid w:val="00E9611A"/>
    <w:rsid w:val="00E96235"/>
    <w:rsid w:val="00E96249"/>
    <w:rsid w:val="00E963BC"/>
    <w:rsid w:val="00E96582"/>
    <w:rsid w:val="00E9660F"/>
    <w:rsid w:val="00E96874"/>
    <w:rsid w:val="00E968A3"/>
    <w:rsid w:val="00E969B3"/>
    <w:rsid w:val="00E969E8"/>
    <w:rsid w:val="00E96A3B"/>
    <w:rsid w:val="00E96B07"/>
    <w:rsid w:val="00E96B3C"/>
    <w:rsid w:val="00E96BFD"/>
    <w:rsid w:val="00E96C21"/>
    <w:rsid w:val="00E96D1E"/>
    <w:rsid w:val="00E96E21"/>
    <w:rsid w:val="00E96ECF"/>
    <w:rsid w:val="00E96F3D"/>
    <w:rsid w:val="00E97347"/>
    <w:rsid w:val="00E97463"/>
    <w:rsid w:val="00E974DD"/>
    <w:rsid w:val="00E976C8"/>
    <w:rsid w:val="00E9782E"/>
    <w:rsid w:val="00E9794F"/>
    <w:rsid w:val="00E979F9"/>
    <w:rsid w:val="00E97A82"/>
    <w:rsid w:val="00E97AAD"/>
    <w:rsid w:val="00E97ABE"/>
    <w:rsid w:val="00E97B79"/>
    <w:rsid w:val="00E97D39"/>
    <w:rsid w:val="00E97EE3"/>
    <w:rsid w:val="00E97EE4"/>
    <w:rsid w:val="00E97FCA"/>
    <w:rsid w:val="00E97FCB"/>
    <w:rsid w:val="00EA0069"/>
    <w:rsid w:val="00EA00E1"/>
    <w:rsid w:val="00EA01D7"/>
    <w:rsid w:val="00EA01E7"/>
    <w:rsid w:val="00EA0224"/>
    <w:rsid w:val="00EA02DB"/>
    <w:rsid w:val="00EA02EB"/>
    <w:rsid w:val="00EA0366"/>
    <w:rsid w:val="00EA0424"/>
    <w:rsid w:val="00EA04BB"/>
    <w:rsid w:val="00EA0644"/>
    <w:rsid w:val="00EA07E4"/>
    <w:rsid w:val="00EA0B56"/>
    <w:rsid w:val="00EA0B99"/>
    <w:rsid w:val="00EA0CB9"/>
    <w:rsid w:val="00EA0CE4"/>
    <w:rsid w:val="00EA0D5A"/>
    <w:rsid w:val="00EA0DB6"/>
    <w:rsid w:val="00EA0E2F"/>
    <w:rsid w:val="00EA0E3F"/>
    <w:rsid w:val="00EA0F6C"/>
    <w:rsid w:val="00EA0F82"/>
    <w:rsid w:val="00EA0FA0"/>
    <w:rsid w:val="00EA109C"/>
    <w:rsid w:val="00EA109E"/>
    <w:rsid w:val="00EA1101"/>
    <w:rsid w:val="00EA1179"/>
    <w:rsid w:val="00EA1205"/>
    <w:rsid w:val="00EA1254"/>
    <w:rsid w:val="00EA131B"/>
    <w:rsid w:val="00EA1444"/>
    <w:rsid w:val="00EA149C"/>
    <w:rsid w:val="00EA14FD"/>
    <w:rsid w:val="00EA155A"/>
    <w:rsid w:val="00EA1595"/>
    <w:rsid w:val="00EA171F"/>
    <w:rsid w:val="00EA17B7"/>
    <w:rsid w:val="00EA1828"/>
    <w:rsid w:val="00EA18C3"/>
    <w:rsid w:val="00EA1977"/>
    <w:rsid w:val="00EA1A31"/>
    <w:rsid w:val="00EA1A61"/>
    <w:rsid w:val="00EA1BB6"/>
    <w:rsid w:val="00EA1C4E"/>
    <w:rsid w:val="00EA1C8F"/>
    <w:rsid w:val="00EA1DB4"/>
    <w:rsid w:val="00EA1E66"/>
    <w:rsid w:val="00EA230C"/>
    <w:rsid w:val="00EA2334"/>
    <w:rsid w:val="00EA23B6"/>
    <w:rsid w:val="00EA251A"/>
    <w:rsid w:val="00EA2759"/>
    <w:rsid w:val="00EA2898"/>
    <w:rsid w:val="00EA2A5A"/>
    <w:rsid w:val="00EA2B54"/>
    <w:rsid w:val="00EA2C27"/>
    <w:rsid w:val="00EA2C82"/>
    <w:rsid w:val="00EA2CBE"/>
    <w:rsid w:val="00EA2D01"/>
    <w:rsid w:val="00EA2DAF"/>
    <w:rsid w:val="00EA2E03"/>
    <w:rsid w:val="00EA2EE4"/>
    <w:rsid w:val="00EA30DB"/>
    <w:rsid w:val="00EA33DB"/>
    <w:rsid w:val="00EA3401"/>
    <w:rsid w:val="00EA3428"/>
    <w:rsid w:val="00EA34E1"/>
    <w:rsid w:val="00EA3639"/>
    <w:rsid w:val="00EA3BC0"/>
    <w:rsid w:val="00EA3EDF"/>
    <w:rsid w:val="00EA4089"/>
    <w:rsid w:val="00EA40F4"/>
    <w:rsid w:val="00EA4120"/>
    <w:rsid w:val="00EA4364"/>
    <w:rsid w:val="00EA44F8"/>
    <w:rsid w:val="00EA4520"/>
    <w:rsid w:val="00EA4851"/>
    <w:rsid w:val="00EA4953"/>
    <w:rsid w:val="00EA49D2"/>
    <w:rsid w:val="00EA4BB6"/>
    <w:rsid w:val="00EA4C8C"/>
    <w:rsid w:val="00EA4D3B"/>
    <w:rsid w:val="00EA4D75"/>
    <w:rsid w:val="00EA4E69"/>
    <w:rsid w:val="00EA4F43"/>
    <w:rsid w:val="00EA4F87"/>
    <w:rsid w:val="00EA4FA2"/>
    <w:rsid w:val="00EA5024"/>
    <w:rsid w:val="00EA50B2"/>
    <w:rsid w:val="00EA5195"/>
    <w:rsid w:val="00EA51A5"/>
    <w:rsid w:val="00EA51CF"/>
    <w:rsid w:val="00EA522C"/>
    <w:rsid w:val="00EA525A"/>
    <w:rsid w:val="00EA52E5"/>
    <w:rsid w:val="00EA58E4"/>
    <w:rsid w:val="00EA58EF"/>
    <w:rsid w:val="00EA596B"/>
    <w:rsid w:val="00EA59F3"/>
    <w:rsid w:val="00EA5A70"/>
    <w:rsid w:val="00EA5A72"/>
    <w:rsid w:val="00EA5B03"/>
    <w:rsid w:val="00EA5D73"/>
    <w:rsid w:val="00EA5DA9"/>
    <w:rsid w:val="00EA5DE3"/>
    <w:rsid w:val="00EA5E33"/>
    <w:rsid w:val="00EA5E81"/>
    <w:rsid w:val="00EA5F09"/>
    <w:rsid w:val="00EA5F12"/>
    <w:rsid w:val="00EA60B0"/>
    <w:rsid w:val="00EA6103"/>
    <w:rsid w:val="00EA61A9"/>
    <w:rsid w:val="00EA6259"/>
    <w:rsid w:val="00EA62BC"/>
    <w:rsid w:val="00EA633F"/>
    <w:rsid w:val="00EA6368"/>
    <w:rsid w:val="00EA637D"/>
    <w:rsid w:val="00EA6508"/>
    <w:rsid w:val="00EA65BB"/>
    <w:rsid w:val="00EA6640"/>
    <w:rsid w:val="00EA6691"/>
    <w:rsid w:val="00EA685C"/>
    <w:rsid w:val="00EA6907"/>
    <w:rsid w:val="00EA696B"/>
    <w:rsid w:val="00EA6A37"/>
    <w:rsid w:val="00EA6A60"/>
    <w:rsid w:val="00EA6C8D"/>
    <w:rsid w:val="00EA6CAA"/>
    <w:rsid w:val="00EA6D13"/>
    <w:rsid w:val="00EA6D47"/>
    <w:rsid w:val="00EA6D56"/>
    <w:rsid w:val="00EA6EEC"/>
    <w:rsid w:val="00EA7199"/>
    <w:rsid w:val="00EA7225"/>
    <w:rsid w:val="00EA722D"/>
    <w:rsid w:val="00EA7601"/>
    <w:rsid w:val="00EA7618"/>
    <w:rsid w:val="00EA762D"/>
    <w:rsid w:val="00EA767C"/>
    <w:rsid w:val="00EA77A6"/>
    <w:rsid w:val="00EA785B"/>
    <w:rsid w:val="00EA79CE"/>
    <w:rsid w:val="00EA7A0A"/>
    <w:rsid w:val="00EA7AE6"/>
    <w:rsid w:val="00EA7B2C"/>
    <w:rsid w:val="00EA7B7A"/>
    <w:rsid w:val="00EA7CFB"/>
    <w:rsid w:val="00EA7D88"/>
    <w:rsid w:val="00EA7E39"/>
    <w:rsid w:val="00EA7FEB"/>
    <w:rsid w:val="00EB01E2"/>
    <w:rsid w:val="00EB0325"/>
    <w:rsid w:val="00EB0380"/>
    <w:rsid w:val="00EB0469"/>
    <w:rsid w:val="00EB04AC"/>
    <w:rsid w:val="00EB059D"/>
    <w:rsid w:val="00EB0642"/>
    <w:rsid w:val="00EB069B"/>
    <w:rsid w:val="00EB06C7"/>
    <w:rsid w:val="00EB094D"/>
    <w:rsid w:val="00EB09E0"/>
    <w:rsid w:val="00EB0A1F"/>
    <w:rsid w:val="00EB0AE9"/>
    <w:rsid w:val="00EB0D50"/>
    <w:rsid w:val="00EB0E50"/>
    <w:rsid w:val="00EB0E6A"/>
    <w:rsid w:val="00EB0E85"/>
    <w:rsid w:val="00EB0F06"/>
    <w:rsid w:val="00EB0F0E"/>
    <w:rsid w:val="00EB1178"/>
    <w:rsid w:val="00EB124A"/>
    <w:rsid w:val="00EB126D"/>
    <w:rsid w:val="00EB1394"/>
    <w:rsid w:val="00EB13C0"/>
    <w:rsid w:val="00EB1604"/>
    <w:rsid w:val="00EB1639"/>
    <w:rsid w:val="00EB16F1"/>
    <w:rsid w:val="00EB1737"/>
    <w:rsid w:val="00EB17C6"/>
    <w:rsid w:val="00EB1A82"/>
    <w:rsid w:val="00EB1A98"/>
    <w:rsid w:val="00EB1C05"/>
    <w:rsid w:val="00EB1C1D"/>
    <w:rsid w:val="00EB1C5A"/>
    <w:rsid w:val="00EB1CDE"/>
    <w:rsid w:val="00EB1E9B"/>
    <w:rsid w:val="00EB2016"/>
    <w:rsid w:val="00EB20F5"/>
    <w:rsid w:val="00EB2168"/>
    <w:rsid w:val="00EB2169"/>
    <w:rsid w:val="00EB2408"/>
    <w:rsid w:val="00EB2503"/>
    <w:rsid w:val="00EB2551"/>
    <w:rsid w:val="00EB257D"/>
    <w:rsid w:val="00EB290B"/>
    <w:rsid w:val="00EB2A44"/>
    <w:rsid w:val="00EB2B26"/>
    <w:rsid w:val="00EB2B29"/>
    <w:rsid w:val="00EB2B77"/>
    <w:rsid w:val="00EB2C1A"/>
    <w:rsid w:val="00EB2CDD"/>
    <w:rsid w:val="00EB2CEB"/>
    <w:rsid w:val="00EB2CEF"/>
    <w:rsid w:val="00EB313F"/>
    <w:rsid w:val="00EB31DD"/>
    <w:rsid w:val="00EB326F"/>
    <w:rsid w:val="00EB329C"/>
    <w:rsid w:val="00EB333C"/>
    <w:rsid w:val="00EB337B"/>
    <w:rsid w:val="00EB33C7"/>
    <w:rsid w:val="00EB35B9"/>
    <w:rsid w:val="00EB35F9"/>
    <w:rsid w:val="00EB3792"/>
    <w:rsid w:val="00EB3820"/>
    <w:rsid w:val="00EB384A"/>
    <w:rsid w:val="00EB3A1B"/>
    <w:rsid w:val="00EB3AF4"/>
    <w:rsid w:val="00EB3B43"/>
    <w:rsid w:val="00EB3C15"/>
    <w:rsid w:val="00EB3D3E"/>
    <w:rsid w:val="00EB3E09"/>
    <w:rsid w:val="00EB3E75"/>
    <w:rsid w:val="00EB3EAD"/>
    <w:rsid w:val="00EB3F5A"/>
    <w:rsid w:val="00EB3F94"/>
    <w:rsid w:val="00EB400D"/>
    <w:rsid w:val="00EB405C"/>
    <w:rsid w:val="00EB4495"/>
    <w:rsid w:val="00EB455B"/>
    <w:rsid w:val="00EB4630"/>
    <w:rsid w:val="00EB4767"/>
    <w:rsid w:val="00EB47B3"/>
    <w:rsid w:val="00EB47CC"/>
    <w:rsid w:val="00EB487D"/>
    <w:rsid w:val="00EB4AA0"/>
    <w:rsid w:val="00EB4B3C"/>
    <w:rsid w:val="00EB4D27"/>
    <w:rsid w:val="00EB4E8F"/>
    <w:rsid w:val="00EB4EB4"/>
    <w:rsid w:val="00EB4EBA"/>
    <w:rsid w:val="00EB512A"/>
    <w:rsid w:val="00EB51CD"/>
    <w:rsid w:val="00EB52D0"/>
    <w:rsid w:val="00EB54DB"/>
    <w:rsid w:val="00EB5578"/>
    <w:rsid w:val="00EB55AA"/>
    <w:rsid w:val="00EB562F"/>
    <w:rsid w:val="00EB573B"/>
    <w:rsid w:val="00EB57E0"/>
    <w:rsid w:val="00EB58FA"/>
    <w:rsid w:val="00EB594C"/>
    <w:rsid w:val="00EB5A34"/>
    <w:rsid w:val="00EB5B27"/>
    <w:rsid w:val="00EB5B45"/>
    <w:rsid w:val="00EB5BE5"/>
    <w:rsid w:val="00EB5BFA"/>
    <w:rsid w:val="00EB5D38"/>
    <w:rsid w:val="00EB5D9A"/>
    <w:rsid w:val="00EB5D9E"/>
    <w:rsid w:val="00EB60F5"/>
    <w:rsid w:val="00EB6209"/>
    <w:rsid w:val="00EB62A3"/>
    <w:rsid w:val="00EB6318"/>
    <w:rsid w:val="00EB649E"/>
    <w:rsid w:val="00EB652A"/>
    <w:rsid w:val="00EB66C6"/>
    <w:rsid w:val="00EB6738"/>
    <w:rsid w:val="00EB6767"/>
    <w:rsid w:val="00EB6951"/>
    <w:rsid w:val="00EB698A"/>
    <w:rsid w:val="00EB6A1B"/>
    <w:rsid w:val="00EB6A25"/>
    <w:rsid w:val="00EB6AB8"/>
    <w:rsid w:val="00EB6C96"/>
    <w:rsid w:val="00EB6C9C"/>
    <w:rsid w:val="00EB6F06"/>
    <w:rsid w:val="00EB7119"/>
    <w:rsid w:val="00EB716B"/>
    <w:rsid w:val="00EB71EC"/>
    <w:rsid w:val="00EB7207"/>
    <w:rsid w:val="00EB72CB"/>
    <w:rsid w:val="00EB7341"/>
    <w:rsid w:val="00EB74BF"/>
    <w:rsid w:val="00EB7515"/>
    <w:rsid w:val="00EB7643"/>
    <w:rsid w:val="00EB765B"/>
    <w:rsid w:val="00EB777F"/>
    <w:rsid w:val="00EB7856"/>
    <w:rsid w:val="00EB78A2"/>
    <w:rsid w:val="00EB78D4"/>
    <w:rsid w:val="00EB7962"/>
    <w:rsid w:val="00EB7968"/>
    <w:rsid w:val="00EB79B4"/>
    <w:rsid w:val="00EB79D8"/>
    <w:rsid w:val="00EB7A69"/>
    <w:rsid w:val="00EB7ACC"/>
    <w:rsid w:val="00EB7BD8"/>
    <w:rsid w:val="00EB7EF1"/>
    <w:rsid w:val="00EC011C"/>
    <w:rsid w:val="00EC0227"/>
    <w:rsid w:val="00EC02F7"/>
    <w:rsid w:val="00EC034E"/>
    <w:rsid w:val="00EC0378"/>
    <w:rsid w:val="00EC0461"/>
    <w:rsid w:val="00EC047F"/>
    <w:rsid w:val="00EC0492"/>
    <w:rsid w:val="00EC058D"/>
    <w:rsid w:val="00EC05A8"/>
    <w:rsid w:val="00EC05DE"/>
    <w:rsid w:val="00EC0736"/>
    <w:rsid w:val="00EC0764"/>
    <w:rsid w:val="00EC0784"/>
    <w:rsid w:val="00EC0852"/>
    <w:rsid w:val="00EC091D"/>
    <w:rsid w:val="00EC094F"/>
    <w:rsid w:val="00EC09B4"/>
    <w:rsid w:val="00EC0C59"/>
    <w:rsid w:val="00EC0DF4"/>
    <w:rsid w:val="00EC0EA3"/>
    <w:rsid w:val="00EC0F23"/>
    <w:rsid w:val="00EC0FA9"/>
    <w:rsid w:val="00EC10B6"/>
    <w:rsid w:val="00EC10D7"/>
    <w:rsid w:val="00EC11C7"/>
    <w:rsid w:val="00EC13E1"/>
    <w:rsid w:val="00EC16DD"/>
    <w:rsid w:val="00EC17C5"/>
    <w:rsid w:val="00EC19BC"/>
    <w:rsid w:val="00EC1B11"/>
    <w:rsid w:val="00EC1CA5"/>
    <w:rsid w:val="00EC1D06"/>
    <w:rsid w:val="00EC1F75"/>
    <w:rsid w:val="00EC1FD2"/>
    <w:rsid w:val="00EC2072"/>
    <w:rsid w:val="00EC2085"/>
    <w:rsid w:val="00EC218C"/>
    <w:rsid w:val="00EC225A"/>
    <w:rsid w:val="00EC2266"/>
    <w:rsid w:val="00EC22B1"/>
    <w:rsid w:val="00EC22DF"/>
    <w:rsid w:val="00EC22FB"/>
    <w:rsid w:val="00EC23F7"/>
    <w:rsid w:val="00EC24CA"/>
    <w:rsid w:val="00EC271C"/>
    <w:rsid w:val="00EC28F0"/>
    <w:rsid w:val="00EC295F"/>
    <w:rsid w:val="00EC299E"/>
    <w:rsid w:val="00EC2A0E"/>
    <w:rsid w:val="00EC2A83"/>
    <w:rsid w:val="00EC2B10"/>
    <w:rsid w:val="00EC2CCA"/>
    <w:rsid w:val="00EC2DA4"/>
    <w:rsid w:val="00EC2DCC"/>
    <w:rsid w:val="00EC2DE1"/>
    <w:rsid w:val="00EC2ECF"/>
    <w:rsid w:val="00EC2FC3"/>
    <w:rsid w:val="00EC3017"/>
    <w:rsid w:val="00EC3107"/>
    <w:rsid w:val="00EC313D"/>
    <w:rsid w:val="00EC34CC"/>
    <w:rsid w:val="00EC36D5"/>
    <w:rsid w:val="00EC3770"/>
    <w:rsid w:val="00EC3AF7"/>
    <w:rsid w:val="00EC3BB1"/>
    <w:rsid w:val="00EC3BE0"/>
    <w:rsid w:val="00EC3BFF"/>
    <w:rsid w:val="00EC3C58"/>
    <w:rsid w:val="00EC3CBC"/>
    <w:rsid w:val="00EC3CD4"/>
    <w:rsid w:val="00EC3D39"/>
    <w:rsid w:val="00EC3E2F"/>
    <w:rsid w:val="00EC3E4C"/>
    <w:rsid w:val="00EC3EA5"/>
    <w:rsid w:val="00EC3F7C"/>
    <w:rsid w:val="00EC4061"/>
    <w:rsid w:val="00EC407E"/>
    <w:rsid w:val="00EC429C"/>
    <w:rsid w:val="00EC42AF"/>
    <w:rsid w:val="00EC446B"/>
    <w:rsid w:val="00EC448B"/>
    <w:rsid w:val="00EC4522"/>
    <w:rsid w:val="00EC458E"/>
    <w:rsid w:val="00EC4629"/>
    <w:rsid w:val="00EC47C5"/>
    <w:rsid w:val="00EC493D"/>
    <w:rsid w:val="00EC498A"/>
    <w:rsid w:val="00EC4A18"/>
    <w:rsid w:val="00EC4C6B"/>
    <w:rsid w:val="00EC4CB4"/>
    <w:rsid w:val="00EC4CDE"/>
    <w:rsid w:val="00EC4E4C"/>
    <w:rsid w:val="00EC4F27"/>
    <w:rsid w:val="00EC4F68"/>
    <w:rsid w:val="00EC4FC8"/>
    <w:rsid w:val="00EC5071"/>
    <w:rsid w:val="00EC514F"/>
    <w:rsid w:val="00EC52DD"/>
    <w:rsid w:val="00EC55A0"/>
    <w:rsid w:val="00EC55E6"/>
    <w:rsid w:val="00EC56DB"/>
    <w:rsid w:val="00EC56EA"/>
    <w:rsid w:val="00EC5824"/>
    <w:rsid w:val="00EC5853"/>
    <w:rsid w:val="00EC5A22"/>
    <w:rsid w:val="00EC5A96"/>
    <w:rsid w:val="00EC5AD0"/>
    <w:rsid w:val="00EC5B7C"/>
    <w:rsid w:val="00EC5B8E"/>
    <w:rsid w:val="00EC5C6C"/>
    <w:rsid w:val="00EC5C8B"/>
    <w:rsid w:val="00EC5E18"/>
    <w:rsid w:val="00EC5EF0"/>
    <w:rsid w:val="00EC6061"/>
    <w:rsid w:val="00EC61A8"/>
    <w:rsid w:val="00EC6225"/>
    <w:rsid w:val="00EC623D"/>
    <w:rsid w:val="00EC6273"/>
    <w:rsid w:val="00EC6314"/>
    <w:rsid w:val="00EC6329"/>
    <w:rsid w:val="00EC6383"/>
    <w:rsid w:val="00EC63EC"/>
    <w:rsid w:val="00EC64AB"/>
    <w:rsid w:val="00EC668F"/>
    <w:rsid w:val="00EC67D8"/>
    <w:rsid w:val="00EC67FB"/>
    <w:rsid w:val="00EC6852"/>
    <w:rsid w:val="00EC6972"/>
    <w:rsid w:val="00EC699E"/>
    <w:rsid w:val="00EC6AC8"/>
    <w:rsid w:val="00EC6C71"/>
    <w:rsid w:val="00EC6DD2"/>
    <w:rsid w:val="00EC6F69"/>
    <w:rsid w:val="00EC7122"/>
    <w:rsid w:val="00EC718C"/>
    <w:rsid w:val="00EC71BC"/>
    <w:rsid w:val="00EC71DF"/>
    <w:rsid w:val="00EC72CB"/>
    <w:rsid w:val="00EC72DA"/>
    <w:rsid w:val="00EC7373"/>
    <w:rsid w:val="00EC74AF"/>
    <w:rsid w:val="00EC7596"/>
    <w:rsid w:val="00EC75E8"/>
    <w:rsid w:val="00EC7729"/>
    <w:rsid w:val="00EC7791"/>
    <w:rsid w:val="00EC78AE"/>
    <w:rsid w:val="00EC7996"/>
    <w:rsid w:val="00EC7A8C"/>
    <w:rsid w:val="00EC7B45"/>
    <w:rsid w:val="00EC7BCD"/>
    <w:rsid w:val="00EC7CA0"/>
    <w:rsid w:val="00EC7D03"/>
    <w:rsid w:val="00EC7ECE"/>
    <w:rsid w:val="00EC7FA4"/>
    <w:rsid w:val="00ED0056"/>
    <w:rsid w:val="00ED00B8"/>
    <w:rsid w:val="00ED00C4"/>
    <w:rsid w:val="00ED0367"/>
    <w:rsid w:val="00ED037F"/>
    <w:rsid w:val="00ED03A9"/>
    <w:rsid w:val="00ED04A2"/>
    <w:rsid w:val="00ED04D6"/>
    <w:rsid w:val="00ED0527"/>
    <w:rsid w:val="00ED0558"/>
    <w:rsid w:val="00ED055B"/>
    <w:rsid w:val="00ED08BD"/>
    <w:rsid w:val="00ED0926"/>
    <w:rsid w:val="00ED0D9E"/>
    <w:rsid w:val="00ED0E34"/>
    <w:rsid w:val="00ED0E3C"/>
    <w:rsid w:val="00ED0E59"/>
    <w:rsid w:val="00ED0F76"/>
    <w:rsid w:val="00ED0FE8"/>
    <w:rsid w:val="00ED1009"/>
    <w:rsid w:val="00ED10D9"/>
    <w:rsid w:val="00ED1165"/>
    <w:rsid w:val="00ED11F9"/>
    <w:rsid w:val="00ED131B"/>
    <w:rsid w:val="00ED1451"/>
    <w:rsid w:val="00ED14A6"/>
    <w:rsid w:val="00ED14B7"/>
    <w:rsid w:val="00ED15F1"/>
    <w:rsid w:val="00ED1604"/>
    <w:rsid w:val="00ED16FE"/>
    <w:rsid w:val="00ED17B1"/>
    <w:rsid w:val="00ED17C0"/>
    <w:rsid w:val="00ED19C8"/>
    <w:rsid w:val="00ED1ABF"/>
    <w:rsid w:val="00ED1D56"/>
    <w:rsid w:val="00ED1E2A"/>
    <w:rsid w:val="00ED1F7C"/>
    <w:rsid w:val="00ED20CC"/>
    <w:rsid w:val="00ED20E1"/>
    <w:rsid w:val="00ED2139"/>
    <w:rsid w:val="00ED216E"/>
    <w:rsid w:val="00ED226B"/>
    <w:rsid w:val="00ED2300"/>
    <w:rsid w:val="00ED24D8"/>
    <w:rsid w:val="00ED25CC"/>
    <w:rsid w:val="00ED26AD"/>
    <w:rsid w:val="00ED26C4"/>
    <w:rsid w:val="00ED2709"/>
    <w:rsid w:val="00ED2864"/>
    <w:rsid w:val="00ED29D3"/>
    <w:rsid w:val="00ED2B46"/>
    <w:rsid w:val="00ED2BDE"/>
    <w:rsid w:val="00ED2D6A"/>
    <w:rsid w:val="00ED2E42"/>
    <w:rsid w:val="00ED2EFD"/>
    <w:rsid w:val="00ED2FA8"/>
    <w:rsid w:val="00ED30B8"/>
    <w:rsid w:val="00ED3551"/>
    <w:rsid w:val="00ED37D5"/>
    <w:rsid w:val="00ED39DC"/>
    <w:rsid w:val="00ED39E9"/>
    <w:rsid w:val="00ED3B40"/>
    <w:rsid w:val="00ED3BED"/>
    <w:rsid w:val="00ED4110"/>
    <w:rsid w:val="00ED4204"/>
    <w:rsid w:val="00ED4222"/>
    <w:rsid w:val="00ED438B"/>
    <w:rsid w:val="00ED43BA"/>
    <w:rsid w:val="00ED4581"/>
    <w:rsid w:val="00ED4694"/>
    <w:rsid w:val="00ED46DA"/>
    <w:rsid w:val="00ED47B6"/>
    <w:rsid w:val="00ED4A21"/>
    <w:rsid w:val="00ED4A2B"/>
    <w:rsid w:val="00ED4A68"/>
    <w:rsid w:val="00ED4B47"/>
    <w:rsid w:val="00ED4D20"/>
    <w:rsid w:val="00ED4D7A"/>
    <w:rsid w:val="00ED4EA3"/>
    <w:rsid w:val="00ED4F87"/>
    <w:rsid w:val="00ED4F89"/>
    <w:rsid w:val="00ED502E"/>
    <w:rsid w:val="00ED50D2"/>
    <w:rsid w:val="00ED5116"/>
    <w:rsid w:val="00ED5168"/>
    <w:rsid w:val="00ED51F6"/>
    <w:rsid w:val="00ED5205"/>
    <w:rsid w:val="00ED5271"/>
    <w:rsid w:val="00ED53A2"/>
    <w:rsid w:val="00ED53F8"/>
    <w:rsid w:val="00ED5442"/>
    <w:rsid w:val="00ED552D"/>
    <w:rsid w:val="00ED57AD"/>
    <w:rsid w:val="00ED5849"/>
    <w:rsid w:val="00ED5856"/>
    <w:rsid w:val="00ED587F"/>
    <w:rsid w:val="00ED5983"/>
    <w:rsid w:val="00ED5A4A"/>
    <w:rsid w:val="00ED5A87"/>
    <w:rsid w:val="00ED5BBA"/>
    <w:rsid w:val="00ED5E6F"/>
    <w:rsid w:val="00ED5EC8"/>
    <w:rsid w:val="00ED5FE1"/>
    <w:rsid w:val="00ED60CE"/>
    <w:rsid w:val="00ED61B0"/>
    <w:rsid w:val="00ED6266"/>
    <w:rsid w:val="00ED627A"/>
    <w:rsid w:val="00ED6432"/>
    <w:rsid w:val="00ED643E"/>
    <w:rsid w:val="00ED64ED"/>
    <w:rsid w:val="00ED65A3"/>
    <w:rsid w:val="00ED65C0"/>
    <w:rsid w:val="00ED6647"/>
    <w:rsid w:val="00ED66A8"/>
    <w:rsid w:val="00ED6775"/>
    <w:rsid w:val="00ED6815"/>
    <w:rsid w:val="00ED69D6"/>
    <w:rsid w:val="00ED69DA"/>
    <w:rsid w:val="00ED6A6F"/>
    <w:rsid w:val="00ED6A9F"/>
    <w:rsid w:val="00ED6B32"/>
    <w:rsid w:val="00ED6C04"/>
    <w:rsid w:val="00ED6C1D"/>
    <w:rsid w:val="00ED6D91"/>
    <w:rsid w:val="00ED6DEA"/>
    <w:rsid w:val="00ED6F10"/>
    <w:rsid w:val="00ED6FCB"/>
    <w:rsid w:val="00ED6FF1"/>
    <w:rsid w:val="00ED7021"/>
    <w:rsid w:val="00ED7088"/>
    <w:rsid w:val="00ED71B9"/>
    <w:rsid w:val="00ED7542"/>
    <w:rsid w:val="00ED7573"/>
    <w:rsid w:val="00ED766D"/>
    <w:rsid w:val="00ED76F9"/>
    <w:rsid w:val="00ED7765"/>
    <w:rsid w:val="00ED7890"/>
    <w:rsid w:val="00ED7944"/>
    <w:rsid w:val="00ED7ADF"/>
    <w:rsid w:val="00ED7BA3"/>
    <w:rsid w:val="00ED7BBE"/>
    <w:rsid w:val="00ED7C4D"/>
    <w:rsid w:val="00ED7CD1"/>
    <w:rsid w:val="00ED7FF0"/>
    <w:rsid w:val="00EE00FC"/>
    <w:rsid w:val="00EE01A3"/>
    <w:rsid w:val="00EE04D3"/>
    <w:rsid w:val="00EE04DC"/>
    <w:rsid w:val="00EE0500"/>
    <w:rsid w:val="00EE0531"/>
    <w:rsid w:val="00EE07A8"/>
    <w:rsid w:val="00EE0852"/>
    <w:rsid w:val="00EE08A0"/>
    <w:rsid w:val="00EE095F"/>
    <w:rsid w:val="00EE09B1"/>
    <w:rsid w:val="00EE0A17"/>
    <w:rsid w:val="00EE0A8E"/>
    <w:rsid w:val="00EE0D09"/>
    <w:rsid w:val="00EE0D10"/>
    <w:rsid w:val="00EE0D33"/>
    <w:rsid w:val="00EE0D4E"/>
    <w:rsid w:val="00EE0E04"/>
    <w:rsid w:val="00EE0F3B"/>
    <w:rsid w:val="00EE0F6B"/>
    <w:rsid w:val="00EE101D"/>
    <w:rsid w:val="00EE1207"/>
    <w:rsid w:val="00EE147E"/>
    <w:rsid w:val="00EE1569"/>
    <w:rsid w:val="00EE1584"/>
    <w:rsid w:val="00EE16CE"/>
    <w:rsid w:val="00EE1719"/>
    <w:rsid w:val="00EE1776"/>
    <w:rsid w:val="00EE179E"/>
    <w:rsid w:val="00EE1939"/>
    <w:rsid w:val="00EE19A0"/>
    <w:rsid w:val="00EE1CAF"/>
    <w:rsid w:val="00EE1D05"/>
    <w:rsid w:val="00EE1D25"/>
    <w:rsid w:val="00EE1EFF"/>
    <w:rsid w:val="00EE1F1F"/>
    <w:rsid w:val="00EE1F88"/>
    <w:rsid w:val="00EE2060"/>
    <w:rsid w:val="00EE2169"/>
    <w:rsid w:val="00EE21CA"/>
    <w:rsid w:val="00EE2252"/>
    <w:rsid w:val="00EE232D"/>
    <w:rsid w:val="00EE2405"/>
    <w:rsid w:val="00EE2569"/>
    <w:rsid w:val="00EE2585"/>
    <w:rsid w:val="00EE25AB"/>
    <w:rsid w:val="00EE260C"/>
    <w:rsid w:val="00EE269A"/>
    <w:rsid w:val="00EE2799"/>
    <w:rsid w:val="00EE27BE"/>
    <w:rsid w:val="00EE288C"/>
    <w:rsid w:val="00EE289B"/>
    <w:rsid w:val="00EE2A65"/>
    <w:rsid w:val="00EE2A7A"/>
    <w:rsid w:val="00EE2B02"/>
    <w:rsid w:val="00EE2BAE"/>
    <w:rsid w:val="00EE2ED0"/>
    <w:rsid w:val="00EE3030"/>
    <w:rsid w:val="00EE34BC"/>
    <w:rsid w:val="00EE3676"/>
    <w:rsid w:val="00EE36B8"/>
    <w:rsid w:val="00EE3819"/>
    <w:rsid w:val="00EE3859"/>
    <w:rsid w:val="00EE39CB"/>
    <w:rsid w:val="00EE3A25"/>
    <w:rsid w:val="00EE3AA0"/>
    <w:rsid w:val="00EE3AFB"/>
    <w:rsid w:val="00EE3BB0"/>
    <w:rsid w:val="00EE3C35"/>
    <w:rsid w:val="00EE3CF0"/>
    <w:rsid w:val="00EE3D04"/>
    <w:rsid w:val="00EE3D9D"/>
    <w:rsid w:val="00EE3E9C"/>
    <w:rsid w:val="00EE3EBF"/>
    <w:rsid w:val="00EE4357"/>
    <w:rsid w:val="00EE43CC"/>
    <w:rsid w:val="00EE4450"/>
    <w:rsid w:val="00EE4453"/>
    <w:rsid w:val="00EE448D"/>
    <w:rsid w:val="00EE45E0"/>
    <w:rsid w:val="00EE4932"/>
    <w:rsid w:val="00EE4A7D"/>
    <w:rsid w:val="00EE4CE5"/>
    <w:rsid w:val="00EE4D46"/>
    <w:rsid w:val="00EE5203"/>
    <w:rsid w:val="00EE53F5"/>
    <w:rsid w:val="00EE559E"/>
    <w:rsid w:val="00EE5679"/>
    <w:rsid w:val="00EE56AC"/>
    <w:rsid w:val="00EE56F3"/>
    <w:rsid w:val="00EE576E"/>
    <w:rsid w:val="00EE5883"/>
    <w:rsid w:val="00EE5888"/>
    <w:rsid w:val="00EE5932"/>
    <w:rsid w:val="00EE59C5"/>
    <w:rsid w:val="00EE5A8A"/>
    <w:rsid w:val="00EE5ADE"/>
    <w:rsid w:val="00EE5B3A"/>
    <w:rsid w:val="00EE5B47"/>
    <w:rsid w:val="00EE5B9B"/>
    <w:rsid w:val="00EE5D1E"/>
    <w:rsid w:val="00EE5FE1"/>
    <w:rsid w:val="00EE607B"/>
    <w:rsid w:val="00EE6266"/>
    <w:rsid w:val="00EE6287"/>
    <w:rsid w:val="00EE632B"/>
    <w:rsid w:val="00EE64C3"/>
    <w:rsid w:val="00EE66FD"/>
    <w:rsid w:val="00EE6721"/>
    <w:rsid w:val="00EE672C"/>
    <w:rsid w:val="00EE6792"/>
    <w:rsid w:val="00EE69E7"/>
    <w:rsid w:val="00EE6B21"/>
    <w:rsid w:val="00EE6B23"/>
    <w:rsid w:val="00EE6D68"/>
    <w:rsid w:val="00EE6E66"/>
    <w:rsid w:val="00EE6E71"/>
    <w:rsid w:val="00EE6EA2"/>
    <w:rsid w:val="00EE7056"/>
    <w:rsid w:val="00EE712C"/>
    <w:rsid w:val="00EE71F5"/>
    <w:rsid w:val="00EE74BF"/>
    <w:rsid w:val="00EE773E"/>
    <w:rsid w:val="00EE77B2"/>
    <w:rsid w:val="00EE78F1"/>
    <w:rsid w:val="00EE790A"/>
    <w:rsid w:val="00EE794A"/>
    <w:rsid w:val="00EE7AA7"/>
    <w:rsid w:val="00EE7DA3"/>
    <w:rsid w:val="00EE7DA5"/>
    <w:rsid w:val="00EE7DB6"/>
    <w:rsid w:val="00EE7ECF"/>
    <w:rsid w:val="00EF0134"/>
    <w:rsid w:val="00EF0400"/>
    <w:rsid w:val="00EF041A"/>
    <w:rsid w:val="00EF0614"/>
    <w:rsid w:val="00EF0685"/>
    <w:rsid w:val="00EF08CF"/>
    <w:rsid w:val="00EF09D5"/>
    <w:rsid w:val="00EF09FB"/>
    <w:rsid w:val="00EF0A4C"/>
    <w:rsid w:val="00EF0B05"/>
    <w:rsid w:val="00EF0B49"/>
    <w:rsid w:val="00EF0BFC"/>
    <w:rsid w:val="00EF0D23"/>
    <w:rsid w:val="00EF0DBE"/>
    <w:rsid w:val="00EF0F18"/>
    <w:rsid w:val="00EF0FA0"/>
    <w:rsid w:val="00EF1127"/>
    <w:rsid w:val="00EF1222"/>
    <w:rsid w:val="00EF1316"/>
    <w:rsid w:val="00EF1403"/>
    <w:rsid w:val="00EF1480"/>
    <w:rsid w:val="00EF1A0A"/>
    <w:rsid w:val="00EF1BB6"/>
    <w:rsid w:val="00EF1C31"/>
    <w:rsid w:val="00EF1C51"/>
    <w:rsid w:val="00EF1F32"/>
    <w:rsid w:val="00EF21E5"/>
    <w:rsid w:val="00EF2348"/>
    <w:rsid w:val="00EF23E2"/>
    <w:rsid w:val="00EF24B2"/>
    <w:rsid w:val="00EF24E2"/>
    <w:rsid w:val="00EF24F3"/>
    <w:rsid w:val="00EF2562"/>
    <w:rsid w:val="00EF25F9"/>
    <w:rsid w:val="00EF2740"/>
    <w:rsid w:val="00EF27B4"/>
    <w:rsid w:val="00EF28B3"/>
    <w:rsid w:val="00EF2A70"/>
    <w:rsid w:val="00EF2AD9"/>
    <w:rsid w:val="00EF2B93"/>
    <w:rsid w:val="00EF2C61"/>
    <w:rsid w:val="00EF2C78"/>
    <w:rsid w:val="00EF2DF6"/>
    <w:rsid w:val="00EF2E8A"/>
    <w:rsid w:val="00EF2FED"/>
    <w:rsid w:val="00EF312C"/>
    <w:rsid w:val="00EF31A5"/>
    <w:rsid w:val="00EF321B"/>
    <w:rsid w:val="00EF3270"/>
    <w:rsid w:val="00EF34D6"/>
    <w:rsid w:val="00EF3521"/>
    <w:rsid w:val="00EF3542"/>
    <w:rsid w:val="00EF3610"/>
    <w:rsid w:val="00EF3688"/>
    <w:rsid w:val="00EF3720"/>
    <w:rsid w:val="00EF379B"/>
    <w:rsid w:val="00EF39E9"/>
    <w:rsid w:val="00EF3AC4"/>
    <w:rsid w:val="00EF3CF3"/>
    <w:rsid w:val="00EF3E1E"/>
    <w:rsid w:val="00EF3ECB"/>
    <w:rsid w:val="00EF3EDE"/>
    <w:rsid w:val="00EF3FDA"/>
    <w:rsid w:val="00EF4000"/>
    <w:rsid w:val="00EF4055"/>
    <w:rsid w:val="00EF4096"/>
    <w:rsid w:val="00EF4099"/>
    <w:rsid w:val="00EF4130"/>
    <w:rsid w:val="00EF4148"/>
    <w:rsid w:val="00EF4186"/>
    <w:rsid w:val="00EF43FB"/>
    <w:rsid w:val="00EF4482"/>
    <w:rsid w:val="00EF45C0"/>
    <w:rsid w:val="00EF476A"/>
    <w:rsid w:val="00EF47B9"/>
    <w:rsid w:val="00EF4835"/>
    <w:rsid w:val="00EF4952"/>
    <w:rsid w:val="00EF4988"/>
    <w:rsid w:val="00EF4A61"/>
    <w:rsid w:val="00EF4AEF"/>
    <w:rsid w:val="00EF4C99"/>
    <w:rsid w:val="00EF4CE8"/>
    <w:rsid w:val="00EF4DE6"/>
    <w:rsid w:val="00EF4E56"/>
    <w:rsid w:val="00EF4ECE"/>
    <w:rsid w:val="00EF51BF"/>
    <w:rsid w:val="00EF5250"/>
    <w:rsid w:val="00EF52D4"/>
    <w:rsid w:val="00EF534A"/>
    <w:rsid w:val="00EF5367"/>
    <w:rsid w:val="00EF53A8"/>
    <w:rsid w:val="00EF5498"/>
    <w:rsid w:val="00EF54DF"/>
    <w:rsid w:val="00EF55ED"/>
    <w:rsid w:val="00EF56C3"/>
    <w:rsid w:val="00EF596C"/>
    <w:rsid w:val="00EF5972"/>
    <w:rsid w:val="00EF59A1"/>
    <w:rsid w:val="00EF59FE"/>
    <w:rsid w:val="00EF5AA9"/>
    <w:rsid w:val="00EF5EA8"/>
    <w:rsid w:val="00EF5EB8"/>
    <w:rsid w:val="00EF5EC4"/>
    <w:rsid w:val="00EF5F7F"/>
    <w:rsid w:val="00EF603B"/>
    <w:rsid w:val="00EF61CC"/>
    <w:rsid w:val="00EF62A0"/>
    <w:rsid w:val="00EF62B4"/>
    <w:rsid w:val="00EF62C4"/>
    <w:rsid w:val="00EF6310"/>
    <w:rsid w:val="00EF6539"/>
    <w:rsid w:val="00EF657A"/>
    <w:rsid w:val="00EF65F7"/>
    <w:rsid w:val="00EF6607"/>
    <w:rsid w:val="00EF6790"/>
    <w:rsid w:val="00EF68D7"/>
    <w:rsid w:val="00EF6B7E"/>
    <w:rsid w:val="00EF6BA0"/>
    <w:rsid w:val="00EF6BCF"/>
    <w:rsid w:val="00EF6F2F"/>
    <w:rsid w:val="00EF7048"/>
    <w:rsid w:val="00EF71D9"/>
    <w:rsid w:val="00EF7388"/>
    <w:rsid w:val="00EF73DB"/>
    <w:rsid w:val="00EF73F5"/>
    <w:rsid w:val="00EF7555"/>
    <w:rsid w:val="00EF7890"/>
    <w:rsid w:val="00EF78E8"/>
    <w:rsid w:val="00EF793B"/>
    <w:rsid w:val="00EF7D85"/>
    <w:rsid w:val="00EF7E13"/>
    <w:rsid w:val="00EF7E2D"/>
    <w:rsid w:val="00EF7E41"/>
    <w:rsid w:val="00EF7F3C"/>
    <w:rsid w:val="00EF7FAF"/>
    <w:rsid w:val="00EF7FDA"/>
    <w:rsid w:val="00F00070"/>
    <w:rsid w:val="00F001B9"/>
    <w:rsid w:val="00F0022C"/>
    <w:rsid w:val="00F00359"/>
    <w:rsid w:val="00F0035A"/>
    <w:rsid w:val="00F00362"/>
    <w:rsid w:val="00F003BF"/>
    <w:rsid w:val="00F003E8"/>
    <w:rsid w:val="00F00484"/>
    <w:rsid w:val="00F00598"/>
    <w:rsid w:val="00F00625"/>
    <w:rsid w:val="00F006E0"/>
    <w:rsid w:val="00F0087A"/>
    <w:rsid w:val="00F00A1F"/>
    <w:rsid w:val="00F00ACC"/>
    <w:rsid w:val="00F00D2B"/>
    <w:rsid w:val="00F00DD5"/>
    <w:rsid w:val="00F0103B"/>
    <w:rsid w:val="00F01327"/>
    <w:rsid w:val="00F01371"/>
    <w:rsid w:val="00F013D1"/>
    <w:rsid w:val="00F01443"/>
    <w:rsid w:val="00F0154B"/>
    <w:rsid w:val="00F016EA"/>
    <w:rsid w:val="00F016F2"/>
    <w:rsid w:val="00F0184C"/>
    <w:rsid w:val="00F018B7"/>
    <w:rsid w:val="00F01A17"/>
    <w:rsid w:val="00F01B64"/>
    <w:rsid w:val="00F01BAF"/>
    <w:rsid w:val="00F01BF9"/>
    <w:rsid w:val="00F01CCC"/>
    <w:rsid w:val="00F01DC1"/>
    <w:rsid w:val="00F01E16"/>
    <w:rsid w:val="00F01F1F"/>
    <w:rsid w:val="00F01F8D"/>
    <w:rsid w:val="00F0203F"/>
    <w:rsid w:val="00F020ED"/>
    <w:rsid w:val="00F0229B"/>
    <w:rsid w:val="00F02456"/>
    <w:rsid w:val="00F02498"/>
    <w:rsid w:val="00F02737"/>
    <w:rsid w:val="00F0276E"/>
    <w:rsid w:val="00F027E0"/>
    <w:rsid w:val="00F0283C"/>
    <w:rsid w:val="00F02F5F"/>
    <w:rsid w:val="00F0333E"/>
    <w:rsid w:val="00F03350"/>
    <w:rsid w:val="00F0346D"/>
    <w:rsid w:val="00F034A8"/>
    <w:rsid w:val="00F0365E"/>
    <w:rsid w:val="00F037D2"/>
    <w:rsid w:val="00F03817"/>
    <w:rsid w:val="00F0387D"/>
    <w:rsid w:val="00F03947"/>
    <w:rsid w:val="00F03CBF"/>
    <w:rsid w:val="00F03D02"/>
    <w:rsid w:val="00F03F0C"/>
    <w:rsid w:val="00F04107"/>
    <w:rsid w:val="00F041D2"/>
    <w:rsid w:val="00F04224"/>
    <w:rsid w:val="00F04300"/>
    <w:rsid w:val="00F043C3"/>
    <w:rsid w:val="00F043E8"/>
    <w:rsid w:val="00F04422"/>
    <w:rsid w:val="00F04429"/>
    <w:rsid w:val="00F04481"/>
    <w:rsid w:val="00F04531"/>
    <w:rsid w:val="00F0457E"/>
    <w:rsid w:val="00F0468F"/>
    <w:rsid w:val="00F046EF"/>
    <w:rsid w:val="00F0473A"/>
    <w:rsid w:val="00F049FC"/>
    <w:rsid w:val="00F04A55"/>
    <w:rsid w:val="00F04A58"/>
    <w:rsid w:val="00F04BD2"/>
    <w:rsid w:val="00F05092"/>
    <w:rsid w:val="00F0509A"/>
    <w:rsid w:val="00F050FA"/>
    <w:rsid w:val="00F051E2"/>
    <w:rsid w:val="00F052C0"/>
    <w:rsid w:val="00F05550"/>
    <w:rsid w:val="00F05650"/>
    <w:rsid w:val="00F0593E"/>
    <w:rsid w:val="00F0598D"/>
    <w:rsid w:val="00F059A9"/>
    <w:rsid w:val="00F05A87"/>
    <w:rsid w:val="00F05AD9"/>
    <w:rsid w:val="00F05BCF"/>
    <w:rsid w:val="00F05E7B"/>
    <w:rsid w:val="00F06138"/>
    <w:rsid w:val="00F0647D"/>
    <w:rsid w:val="00F064A3"/>
    <w:rsid w:val="00F064B3"/>
    <w:rsid w:val="00F064D9"/>
    <w:rsid w:val="00F06515"/>
    <w:rsid w:val="00F0651B"/>
    <w:rsid w:val="00F06623"/>
    <w:rsid w:val="00F06910"/>
    <w:rsid w:val="00F06927"/>
    <w:rsid w:val="00F0692C"/>
    <w:rsid w:val="00F0697D"/>
    <w:rsid w:val="00F069D5"/>
    <w:rsid w:val="00F06A11"/>
    <w:rsid w:val="00F06A2D"/>
    <w:rsid w:val="00F06A49"/>
    <w:rsid w:val="00F06AD4"/>
    <w:rsid w:val="00F06D10"/>
    <w:rsid w:val="00F06DD0"/>
    <w:rsid w:val="00F07058"/>
    <w:rsid w:val="00F0709D"/>
    <w:rsid w:val="00F070D2"/>
    <w:rsid w:val="00F071D4"/>
    <w:rsid w:val="00F0743C"/>
    <w:rsid w:val="00F07592"/>
    <w:rsid w:val="00F075BD"/>
    <w:rsid w:val="00F077B8"/>
    <w:rsid w:val="00F07805"/>
    <w:rsid w:val="00F07892"/>
    <w:rsid w:val="00F07995"/>
    <w:rsid w:val="00F07A1B"/>
    <w:rsid w:val="00F07A73"/>
    <w:rsid w:val="00F07C65"/>
    <w:rsid w:val="00F07D61"/>
    <w:rsid w:val="00F07D90"/>
    <w:rsid w:val="00F07DA4"/>
    <w:rsid w:val="00F07EC4"/>
    <w:rsid w:val="00F07F74"/>
    <w:rsid w:val="00F102A0"/>
    <w:rsid w:val="00F102C3"/>
    <w:rsid w:val="00F104C8"/>
    <w:rsid w:val="00F104EB"/>
    <w:rsid w:val="00F105A7"/>
    <w:rsid w:val="00F105EB"/>
    <w:rsid w:val="00F10616"/>
    <w:rsid w:val="00F10873"/>
    <w:rsid w:val="00F10941"/>
    <w:rsid w:val="00F10984"/>
    <w:rsid w:val="00F10A4A"/>
    <w:rsid w:val="00F10A57"/>
    <w:rsid w:val="00F10B30"/>
    <w:rsid w:val="00F10C19"/>
    <w:rsid w:val="00F10C1B"/>
    <w:rsid w:val="00F10CB8"/>
    <w:rsid w:val="00F10D16"/>
    <w:rsid w:val="00F10E40"/>
    <w:rsid w:val="00F10E5C"/>
    <w:rsid w:val="00F10E72"/>
    <w:rsid w:val="00F10E80"/>
    <w:rsid w:val="00F11025"/>
    <w:rsid w:val="00F11096"/>
    <w:rsid w:val="00F11124"/>
    <w:rsid w:val="00F113BA"/>
    <w:rsid w:val="00F114A8"/>
    <w:rsid w:val="00F114F8"/>
    <w:rsid w:val="00F115BB"/>
    <w:rsid w:val="00F11674"/>
    <w:rsid w:val="00F117AF"/>
    <w:rsid w:val="00F117E1"/>
    <w:rsid w:val="00F11A76"/>
    <w:rsid w:val="00F11B49"/>
    <w:rsid w:val="00F11C5A"/>
    <w:rsid w:val="00F11D6B"/>
    <w:rsid w:val="00F11E85"/>
    <w:rsid w:val="00F11FA7"/>
    <w:rsid w:val="00F120B8"/>
    <w:rsid w:val="00F1250E"/>
    <w:rsid w:val="00F1251A"/>
    <w:rsid w:val="00F1253D"/>
    <w:rsid w:val="00F125A8"/>
    <w:rsid w:val="00F125A9"/>
    <w:rsid w:val="00F12696"/>
    <w:rsid w:val="00F12702"/>
    <w:rsid w:val="00F12A50"/>
    <w:rsid w:val="00F12B79"/>
    <w:rsid w:val="00F12BAA"/>
    <w:rsid w:val="00F12BAB"/>
    <w:rsid w:val="00F12C2C"/>
    <w:rsid w:val="00F12E61"/>
    <w:rsid w:val="00F12E93"/>
    <w:rsid w:val="00F12EF1"/>
    <w:rsid w:val="00F12F3C"/>
    <w:rsid w:val="00F12FD7"/>
    <w:rsid w:val="00F1302D"/>
    <w:rsid w:val="00F1303B"/>
    <w:rsid w:val="00F1320C"/>
    <w:rsid w:val="00F1329A"/>
    <w:rsid w:val="00F132EC"/>
    <w:rsid w:val="00F13320"/>
    <w:rsid w:val="00F13426"/>
    <w:rsid w:val="00F13448"/>
    <w:rsid w:val="00F134A9"/>
    <w:rsid w:val="00F1363D"/>
    <w:rsid w:val="00F136A9"/>
    <w:rsid w:val="00F1378A"/>
    <w:rsid w:val="00F137DB"/>
    <w:rsid w:val="00F1396D"/>
    <w:rsid w:val="00F139F4"/>
    <w:rsid w:val="00F13A9B"/>
    <w:rsid w:val="00F13CB6"/>
    <w:rsid w:val="00F13F4D"/>
    <w:rsid w:val="00F13FE1"/>
    <w:rsid w:val="00F1409B"/>
    <w:rsid w:val="00F1409E"/>
    <w:rsid w:val="00F140BF"/>
    <w:rsid w:val="00F1411A"/>
    <w:rsid w:val="00F141EC"/>
    <w:rsid w:val="00F142F6"/>
    <w:rsid w:val="00F1442A"/>
    <w:rsid w:val="00F1460C"/>
    <w:rsid w:val="00F1477A"/>
    <w:rsid w:val="00F14896"/>
    <w:rsid w:val="00F148B8"/>
    <w:rsid w:val="00F14996"/>
    <w:rsid w:val="00F14AFE"/>
    <w:rsid w:val="00F14B1C"/>
    <w:rsid w:val="00F14ED1"/>
    <w:rsid w:val="00F14F19"/>
    <w:rsid w:val="00F14FB3"/>
    <w:rsid w:val="00F1500E"/>
    <w:rsid w:val="00F1505D"/>
    <w:rsid w:val="00F15078"/>
    <w:rsid w:val="00F15122"/>
    <w:rsid w:val="00F1515D"/>
    <w:rsid w:val="00F1517C"/>
    <w:rsid w:val="00F15230"/>
    <w:rsid w:val="00F153A5"/>
    <w:rsid w:val="00F154C0"/>
    <w:rsid w:val="00F15622"/>
    <w:rsid w:val="00F159F9"/>
    <w:rsid w:val="00F15A60"/>
    <w:rsid w:val="00F15A66"/>
    <w:rsid w:val="00F15D5C"/>
    <w:rsid w:val="00F15D7F"/>
    <w:rsid w:val="00F15DC4"/>
    <w:rsid w:val="00F15EEA"/>
    <w:rsid w:val="00F1605F"/>
    <w:rsid w:val="00F16322"/>
    <w:rsid w:val="00F1642C"/>
    <w:rsid w:val="00F164CA"/>
    <w:rsid w:val="00F16508"/>
    <w:rsid w:val="00F165D0"/>
    <w:rsid w:val="00F165D9"/>
    <w:rsid w:val="00F168B7"/>
    <w:rsid w:val="00F16961"/>
    <w:rsid w:val="00F16A48"/>
    <w:rsid w:val="00F16A89"/>
    <w:rsid w:val="00F16C5C"/>
    <w:rsid w:val="00F16C6A"/>
    <w:rsid w:val="00F16CAA"/>
    <w:rsid w:val="00F16E47"/>
    <w:rsid w:val="00F16F58"/>
    <w:rsid w:val="00F16FEF"/>
    <w:rsid w:val="00F1726B"/>
    <w:rsid w:val="00F173C5"/>
    <w:rsid w:val="00F17831"/>
    <w:rsid w:val="00F1783E"/>
    <w:rsid w:val="00F17850"/>
    <w:rsid w:val="00F17881"/>
    <w:rsid w:val="00F178B0"/>
    <w:rsid w:val="00F178D6"/>
    <w:rsid w:val="00F178D7"/>
    <w:rsid w:val="00F178E4"/>
    <w:rsid w:val="00F179C5"/>
    <w:rsid w:val="00F17AC1"/>
    <w:rsid w:val="00F17B24"/>
    <w:rsid w:val="00F17BDA"/>
    <w:rsid w:val="00F17BDC"/>
    <w:rsid w:val="00F17C3D"/>
    <w:rsid w:val="00F17D71"/>
    <w:rsid w:val="00F17F42"/>
    <w:rsid w:val="00F17F46"/>
    <w:rsid w:val="00F17FC2"/>
    <w:rsid w:val="00F17FD1"/>
    <w:rsid w:val="00F17FDB"/>
    <w:rsid w:val="00F20049"/>
    <w:rsid w:val="00F20090"/>
    <w:rsid w:val="00F200A4"/>
    <w:rsid w:val="00F200B9"/>
    <w:rsid w:val="00F202E0"/>
    <w:rsid w:val="00F20583"/>
    <w:rsid w:val="00F2059A"/>
    <w:rsid w:val="00F206AB"/>
    <w:rsid w:val="00F206D1"/>
    <w:rsid w:val="00F207DE"/>
    <w:rsid w:val="00F20810"/>
    <w:rsid w:val="00F2090E"/>
    <w:rsid w:val="00F2094D"/>
    <w:rsid w:val="00F20B77"/>
    <w:rsid w:val="00F20BFC"/>
    <w:rsid w:val="00F20C6B"/>
    <w:rsid w:val="00F20CF4"/>
    <w:rsid w:val="00F20F02"/>
    <w:rsid w:val="00F2103D"/>
    <w:rsid w:val="00F21053"/>
    <w:rsid w:val="00F2112B"/>
    <w:rsid w:val="00F211AD"/>
    <w:rsid w:val="00F211B2"/>
    <w:rsid w:val="00F21202"/>
    <w:rsid w:val="00F2126F"/>
    <w:rsid w:val="00F21522"/>
    <w:rsid w:val="00F2158E"/>
    <w:rsid w:val="00F21724"/>
    <w:rsid w:val="00F21AD0"/>
    <w:rsid w:val="00F21B94"/>
    <w:rsid w:val="00F21C97"/>
    <w:rsid w:val="00F21F58"/>
    <w:rsid w:val="00F220A4"/>
    <w:rsid w:val="00F2216A"/>
    <w:rsid w:val="00F221B2"/>
    <w:rsid w:val="00F22233"/>
    <w:rsid w:val="00F22564"/>
    <w:rsid w:val="00F225E3"/>
    <w:rsid w:val="00F227D7"/>
    <w:rsid w:val="00F22917"/>
    <w:rsid w:val="00F229B5"/>
    <w:rsid w:val="00F229C3"/>
    <w:rsid w:val="00F22ACA"/>
    <w:rsid w:val="00F22BF2"/>
    <w:rsid w:val="00F22C21"/>
    <w:rsid w:val="00F22C25"/>
    <w:rsid w:val="00F22C40"/>
    <w:rsid w:val="00F22CFD"/>
    <w:rsid w:val="00F22E93"/>
    <w:rsid w:val="00F22FF8"/>
    <w:rsid w:val="00F2323E"/>
    <w:rsid w:val="00F2324D"/>
    <w:rsid w:val="00F2327E"/>
    <w:rsid w:val="00F23312"/>
    <w:rsid w:val="00F234BA"/>
    <w:rsid w:val="00F23630"/>
    <w:rsid w:val="00F23783"/>
    <w:rsid w:val="00F23814"/>
    <w:rsid w:val="00F23886"/>
    <w:rsid w:val="00F2395E"/>
    <w:rsid w:val="00F2397E"/>
    <w:rsid w:val="00F239C1"/>
    <w:rsid w:val="00F23ADE"/>
    <w:rsid w:val="00F23AF6"/>
    <w:rsid w:val="00F23C1D"/>
    <w:rsid w:val="00F23C8F"/>
    <w:rsid w:val="00F23E2D"/>
    <w:rsid w:val="00F23ED3"/>
    <w:rsid w:val="00F23F20"/>
    <w:rsid w:val="00F240B7"/>
    <w:rsid w:val="00F241D2"/>
    <w:rsid w:val="00F24221"/>
    <w:rsid w:val="00F2428B"/>
    <w:rsid w:val="00F2435C"/>
    <w:rsid w:val="00F24577"/>
    <w:rsid w:val="00F24649"/>
    <w:rsid w:val="00F247E7"/>
    <w:rsid w:val="00F24A03"/>
    <w:rsid w:val="00F24A2E"/>
    <w:rsid w:val="00F24B82"/>
    <w:rsid w:val="00F24C00"/>
    <w:rsid w:val="00F24C21"/>
    <w:rsid w:val="00F24C94"/>
    <w:rsid w:val="00F24DAA"/>
    <w:rsid w:val="00F24DB9"/>
    <w:rsid w:val="00F24E1C"/>
    <w:rsid w:val="00F2504B"/>
    <w:rsid w:val="00F25086"/>
    <w:rsid w:val="00F25205"/>
    <w:rsid w:val="00F25272"/>
    <w:rsid w:val="00F2535A"/>
    <w:rsid w:val="00F253A2"/>
    <w:rsid w:val="00F25763"/>
    <w:rsid w:val="00F25863"/>
    <w:rsid w:val="00F2586C"/>
    <w:rsid w:val="00F259B9"/>
    <w:rsid w:val="00F25A8C"/>
    <w:rsid w:val="00F25ABF"/>
    <w:rsid w:val="00F25BB2"/>
    <w:rsid w:val="00F25C74"/>
    <w:rsid w:val="00F25CF3"/>
    <w:rsid w:val="00F25D15"/>
    <w:rsid w:val="00F25D82"/>
    <w:rsid w:val="00F25DE7"/>
    <w:rsid w:val="00F25DF0"/>
    <w:rsid w:val="00F25EB7"/>
    <w:rsid w:val="00F25F42"/>
    <w:rsid w:val="00F25FC9"/>
    <w:rsid w:val="00F25FF9"/>
    <w:rsid w:val="00F26008"/>
    <w:rsid w:val="00F2603B"/>
    <w:rsid w:val="00F260F1"/>
    <w:rsid w:val="00F26173"/>
    <w:rsid w:val="00F26369"/>
    <w:rsid w:val="00F2642C"/>
    <w:rsid w:val="00F2644E"/>
    <w:rsid w:val="00F26600"/>
    <w:rsid w:val="00F26764"/>
    <w:rsid w:val="00F26790"/>
    <w:rsid w:val="00F267F8"/>
    <w:rsid w:val="00F26847"/>
    <w:rsid w:val="00F2697C"/>
    <w:rsid w:val="00F26A69"/>
    <w:rsid w:val="00F26AC9"/>
    <w:rsid w:val="00F26C47"/>
    <w:rsid w:val="00F26D47"/>
    <w:rsid w:val="00F26EC7"/>
    <w:rsid w:val="00F27035"/>
    <w:rsid w:val="00F27138"/>
    <w:rsid w:val="00F272AE"/>
    <w:rsid w:val="00F27346"/>
    <w:rsid w:val="00F2734D"/>
    <w:rsid w:val="00F27449"/>
    <w:rsid w:val="00F2759B"/>
    <w:rsid w:val="00F27665"/>
    <w:rsid w:val="00F276C1"/>
    <w:rsid w:val="00F276F8"/>
    <w:rsid w:val="00F2770E"/>
    <w:rsid w:val="00F27746"/>
    <w:rsid w:val="00F2798E"/>
    <w:rsid w:val="00F279D5"/>
    <w:rsid w:val="00F27ACF"/>
    <w:rsid w:val="00F27AD6"/>
    <w:rsid w:val="00F27BA8"/>
    <w:rsid w:val="00F27C45"/>
    <w:rsid w:val="00F27DAD"/>
    <w:rsid w:val="00F27E36"/>
    <w:rsid w:val="00F27FEC"/>
    <w:rsid w:val="00F300C2"/>
    <w:rsid w:val="00F300D2"/>
    <w:rsid w:val="00F3039C"/>
    <w:rsid w:val="00F3045B"/>
    <w:rsid w:val="00F30499"/>
    <w:rsid w:val="00F304F1"/>
    <w:rsid w:val="00F305E4"/>
    <w:rsid w:val="00F30618"/>
    <w:rsid w:val="00F30759"/>
    <w:rsid w:val="00F308EB"/>
    <w:rsid w:val="00F30A69"/>
    <w:rsid w:val="00F30ADE"/>
    <w:rsid w:val="00F30B8C"/>
    <w:rsid w:val="00F30C6B"/>
    <w:rsid w:val="00F30CAF"/>
    <w:rsid w:val="00F30CDE"/>
    <w:rsid w:val="00F30F0B"/>
    <w:rsid w:val="00F31164"/>
    <w:rsid w:val="00F31200"/>
    <w:rsid w:val="00F31205"/>
    <w:rsid w:val="00F3122E"/>
    <w:rsid w:val="00F31259"/>
    <w:rsid w:val="00F312F2"/>
    <w:rsid w:val="00F313F0"/>
    <w:rsid w:val="00F31404"/>
    <w:rsid w:val="00F314C9"/>
    <w:rsid w:val="00F3157C"/>
    <w:rsid w:val="00F31789"/>
    <w:rsid w:val="00F318D7"/>
    <w:rsid w:val="00F319C5"/>
    <w:rsid w:val="00F31C4C"/>
    <w:rsid w:val="00F31C6F"/>
    <w:rsid w:val="00F31C77"/>
    <w:rsid w:val="00F31CA5"/>
    <w:rsid w:val="00F31D35"/>
    <w:rsid w:val="00F31DEA"/>
    <w:rsid w:val="00F31EAC"/>
    <w:rsid w:val="00F31F2F"/>
    <w:rsid w:val="00F3205B"/>
    <w:rsid w:val="00F32169"/>
    <w:rsid w:val="00F32290"/>
    <w:rsid w:val="00F322C4"/>
    <w:rsid w:val="00F322CB"/>
    <w:rsid w:val="00F3233D"/>
    <w:rsid w:val="00F3234A"/>
    <w:rsid w:val="00F32601"/>
    <w:rsid w:val="00F328FA"/>
    <w:rsid w:val="00F3292E"/>
    <w:rsid w:val="00F32B59"/>
    <w:rsid w:val="00F32C2F"/>
    <w:rsid w:val="00F32D2A"/>
    <w:rsid w:val="00F32E1B"/>
    <w:rsid w:val="00F32FB3"/>
    <w:rsid w:val="00F3314D"/>
    <w:rsid w:val="00F332AE"/>
    <w:rsid w:val="00F3334A"/>
    <w:rsid w:val="00F333F8"/>
    <w:rsid w:val="00F334B2"/>
    <w:rsid w:val="00F33508"/>
    <w:rsid w:val="00F3364C"/>
    <w:rsid w:val="00F336BE"/>
    <w:rsid w:val="00F33742"/>
    <w:rsid w:val="00F339BD"/>
    <w:rsid w:val="00F339F5"/>
    <w:rsid w:val="00F33B1F"/>
    <w:rsid w:val="00F33B4B"/>
    <w:rsid w:val="00F33BE5"/>
    <w:rsid w:val="00F33CD7"/>
    <w:rsid w:val="00F33DF9"/>
    <w:rsid w:val="00F33E7A"/>
    <w:rsid w:val="00F341E5"/>
    <w:rsid w:val="00F34482"/>
    <w:rsid w:val="00F344EB"/>
    <w:rsid w:val="00F3465C"/>
    <w:rsid w:val="00F34A2B"/>
    <w:rsid w:val="00F34A9D"/>
    <w:rsid w:val="00F34AB5"/>
    <w:rsid w:val="00F34B57"/>
    <w:rsid w:val="00F34B62"/>
    <w:rsid w:val="00F34BFB"/>
    <w:rsid w:val="00F34CBE"/>
    <w:rsid w:val="00F34E91"/>
    <w:rsid w:val="00F34EA3"/>
    <w:rsid w:val="00F34F6A"/>
    <w:rsid w:val="00F3546B"/>
    <w:rsid w:val="00F35489"/>
    <w:rsid w:val="00F3550F"/>
    <w:rsid w:val="00F3564B"/>
    <w:rsid w:val="00F3573A"/>
    <w:rsid w:val="00F35841"/>
    <w:rsid w:val="00F35A35"/>
    <w:rsid w:val="00F35CAA"/>
    <w:rsid w:val="00F35D38"/>
    <w:rsid w:val="00F35DDB"/>
    <w:rsid w:val="00F35EE8"/>
    <w:rsid w:val="00F35F39"/>
    <w:rsid w:val="00F3603C"/>
    <w:rsid w:val="00F361BE"/>
    <w:rsid w:val="00F362C5"/>
    <w:rsid w:val="00F362DC"/>
    <w:rsid w:val="00F3645E"/>
    <w:rsid w:val="00F3651A"/>
    <w:rsid w:val="00F365D9"/>
    <w:rsid w:val="00F36791"/>
    <w:rsid w:val="00F3683B"/>
    <w:rsid w:val="00F3687F"/>
    <w:rsid w:val="00F3691E"/>
    <w:rsid w:val="00F369D8"/>
    <w:rsid w:val="00F36B10"/>
    <w:rsid w:val="00F36BAD"/>
    <w:rsid w:val="00F36D94"/>
    <w:rsid w:val="00F36E36"/>
    <w:rsid w:val="00F36F49"/>
    <w:rsid w:val="00F36F92"/>
    <w:rsid w:val="00F370AE"/>
    <w:rsid w:val="00F3710C"/>
    <w:rsid w:val="00F372D4"/>
    <w:rsid w:val="00F372E8"/>
    <w:rsid w:val="00F37524"/>
    <w:rsid w:val="00F37577"/>
    <w:rsid w:val="00F375CA"/>
    <w:rsid w:val="00F376CB"/>
    <w:rsid w:val="00F376E9"/>
    <w:rsid w:val="00F3780B"/>
    <w:rsid w:val="00F37957"/>
    <w:rsid w:val="00F37BD0"/>
    <w:rsid w:val="00F37C28"/>
    <w:rsid w:val="00F37D69"/>
    <w:rsid w:val="00F37DC9"/>
    <w:rsid w:val="00F37DD7"/>
    <w:rsid w:val="00F37E59"/>
    <w:rsid w:val="00F37EF3"/>
    <w:rsid w:val="00F37F01"/>
    <w:rsid w:val="00F40024"/>
    <w:rsid w:val="00F400E0"/>
    <w:rsid w:val="00F40144"/>
    <w:rsid w:val="00F401A7"/>
    <w:rsid w:val="00F40242"/>
    <w:rsid w:val="00F4029A"/>
    <w:rsid w:val="00F402EC"/>
    <w:rsid w:val="00F402F7"/>
    <w:rsid w:val="00F4037D"/>
    <w:rsid w:val="00F403E7"/>
    <w:rsid w:val="00F404E9"/>
    <w:rsid w:val="00F40658"/>
    <w:rsid w:val="00F4065F"/>
    <w:rsid w:val="00F40676"/>
    <w:rsid w:val="00F406E8"/>
    <w:rsid w:val="00F4074C"/>
    <w:rsid w:val="00F407CD"/>
    <w:rsid w:val="00F40964"/>
    <w:rsid w:val="00F40A35"/>
    <w:rsid w:val="00F40AC5"/>
    <w:rsid w:val="00F40ACA"/>
    <w:rsid w:val="00F40B2D"/>
    <w:rsid w:val="00F40B58"/>
    <w:rsid w:val="00F40B80"/>
    <w:rsid w:val="00F411AE"/>
    <w:rsid w:val="00F41286"/>
    <w:rsid w:val="00F412E7"/>
    <w:rsid w:val="00F41345"/>
    <w:rsid w:val="00F417C2"/>
    <w:rsid w:val="00F41817"/>
    <w:rsid w:val="00F4187E"/>
    <w:rsid w:val="00F41963"/>
    <w:rsid w:val="00F4199B"/>
    <w:rsid w:val="00F41C84"/>
    <w:rsid w:val="00F41DB1"/>
    <w:rsid w:val="00F41DE1"/>
    <w:rsid w:val="00F42057"/>
    <w:rsid w:val="00F4228B"/>
    <w:rsid w:val="00F422E3"/>
    <w:rsid w:val="00F42420"/>
    <w:rsid w:val="00F4288B"/>
    <w:rsid w:val="00F428C4"/>
    <w:rsid w:val="00F428D8"/>
    <w:rsid w:val="00F428DE"/>
    <w:rsid w:val="00F42A3F"/>
    <w:rsid w:val="00F42A4A"/>
    <w:rsid w:val="00F42A70"/>
    <w:rsid w:val="00F42B09"/>
    <w:rsid w:val="00F42C4B"/>
    <w:rsid w:val="00F42E4B"/>
    <w:rsid w:val="00F4316B"/>
    <w:rsid w:val="00F4329A"/>
    <w:rsid w:val="00F43318"/>
    <w:rsid w:val="00F433C4"/>
    <w:rsid w:val="00F43632"/>
    <w:rsid w:val="00F4366B"/>
    <w:rsid w:val="00F4370E"/>
    <w:rsid w:val="00F437CE"/>
    <w:rsid w:val="00F43C9A"/>
    <w:rsid w:val="00F43C9F"/>
    <w:rsid w:val="00F43CB3"/>
    <w:rsid w:val="00F43CE6"/>
    <w:rsid w:val="00F43E1C"/>
    <w:rsid w:val="00F43E51"/>
    <w:rsid w:val="00F43ECF"/>
    <w:rsid w:val="00F43EEE"/>
    <w:rsid w:val="00F43FF2"/>
    <w:rsid w:val="00F44025"/>
    <w:rsid w:val="00F440E8"/>
    <w:rsid w:val="00F4413D"/>
    <w:rsid w:val="00F4423A"/>
    <w:rsid w:val="00F4433C"/>
    <w:rsid w:val="00F44461"/>
    <w:rsid w:val="00F4448D"/>
    <w:rsid w:val="00F444D8"/>
    <w:rsid w:val="00F445C2"/>
    <w:rsid w:val="00F445FF"/>
    <w:rsid w:val="00F4460A"/>
    <w:rsid w:val="00F44640"/>
    <w:rsid w:val="00F44794"/>
    <w:rsid w:val="00F4482D"/>
    <w:rsid w:val="00F448D5"/>
    <w:rsid w:val="00F448DD"/>
    <w:rsid w:val="00F44AF1"/>
    <w:rsid w:val="00F44B99"/>
    <w:rsid w:val="00F44CD3"/>
    <w:rsid w:val="00F44F3B"/>
    <w:rsid w:val="00F44FAD"/>
    <w:rsid w:val="00F4504E"/>
    <w:rsid w:val="00F45230"/>
    <w:rsid w:val="00F45298"/>
    <w:rsid w:val="00F45554"/>
    <w:rsid w:val="00F45621"/>
    <w:rsid w:val="00F45695"/>
    <w:rsid w:val="00F456C7"/>
    <w:rsid w:val="00F45902"/>
    <w:rsid w:val="00F45926"/>
    <w:rsid w:val="00F45ABC"/>
    <w:rsid w:val="00F45AD4"/>
    <w:rsid w:val="00F45ADD"/>
    <w:rsid w:val="00F45B1D"/>
    <w:rsid w:val="00F45C4E"/>
    <w:rsid w:val="00F45D57"/>
    <w:rsid w:val="00F45DC3"/>
    <w:rsid w:val="00F46247"/>
    <w:rsid w:val="00F462C8"/>
    <w:rsid w:val="00F462F0"/>
    <w:rsid w:val="00F462F7"/>
    <w:rsid w:val="00F46418"/>
    <w:rsid w:val="00F46548"/>
    <w:rsid w:val="00F466B5"/>
    <w:rsid w:val="00F467E0"/>
    <w:rsid w:val="00F4681D"/>
    <w:rsid w:val="00F46876"/>
    <w:rsid w:val="00F46932"/>
    <w:rsid w:val="00F469BC"/>
    <w:rsid w:val="00F46B0F"/>
    <w:rsid w:val="00F46B8F"/>
    <w:rsid w:val="00F46E22"/>
    <w:rsid w:val="00F46F9C"/>
    <w:rsid w:val="00F46FB5"/>
    <w:rsid w:val="00F4705D"/>
    <w:rsid w:val="00F47206"/>
    <w:rsid w:val="00F472B2"/>
    <w:rsid w:val="00F47667"/>
    <w:rsid w:val="00F477BD"/>
    <w:rsid w:val="00F478F0"/>
    <w:rsid w:val="00F4790D"/>
    <w:rsid w:val="00F47929"/>
    <w:rsid w:val="00F479FE"/>
    <w:rsid w:val="00F47B41"/>
    <w:rsid w:val="00F47B51"/>
    <w:rsid w:val="00F47D50"/>
    <w:rsid w:val="00F47D67"/>
    <w:rsid w:val="00F47F1A"/>
    <w:rsid w:val="00F47F71"/>
    <w:rsid w:val="00F47FBC"/>
    <w:rsid w:val="00F50043"/>
    <w:rsid w:val="00F50063"/>
    <w:rsid w:val="00F501CB"/>
    <w:rsid w:val="00F50214"/>
    <w:rsid w:val="00F50391"/>
    <w:rsid w:val="00F503E3"/>
    <w:rsid w:val="00F503EF"/>
    <w:rsid w:val="00F5065A"/>
    <w:rsid w:val="00F507B0"/>
    <w:rsid w:val="00F50839"/>
    <w:rsid w:val="00F508B0"/>
    <w:rsid w:val="00F50ACC"/>
    <w:rsid w:val="00F50B82"/>
    <w:rsid w:val="00F50C40"/>
    <w:rsid w:val="00F50C73"/>
    <w:rsid w:val="00F50CE9"/>
    <w:rsid w:val="00F50DFA"/>
    <w:rsid w:val="00F50E03"/>
    <w:rsid w:val="00F50ECB"/>
    <w:rsid w:val="00F50F23"/>
    <w:rsid w:val="00F51480"/>
    <w:rsid w:val="00F51507"/>
    <w:rsid w:val="00F5159D"/>
    <w:rsid w:val="00F515B0"/>
    <w:rsid w:val="00F5167F"/>
    <w:rsid w:val="00F5173D"/>
    <w:rsid w:val="00F51853"/>
    <w:rsid w:val="00F518F0"/>
    <w:rsid w:val="00F51A45"/>
    <w:rsid w:val="00F51D31"/>
    <w:rsid w:val="00F51E4A"/>
    <w:rsid w:val="00F51E8E"/>
    <w:rsid w:val="00F51E8F"/>
    <w:rsid w:val="00F51E9F"/>
    <w:rsid w:val="00F51F19"/>
    <w:rsid w:val="00F51F3D"/>
    <w:rsid w:val="00F51F52"/>
    <w:rsid w:val="00F51F86"/>
    <w:rsid w:val="00F5205E"/>
    <w:rsid w:val="00F52173"/>
    <w:rsid w:val="00F521AD"/>
    <w:rsid w:val="00F52244"/>
    <w:rsid w:val="00F52282"/>
    <w:rsid w:val="00F5230A"/>
    <w:rsid w:val="00F523A3"/>
    <w:rsid w:val="00F5249D"/>
    <w:rsid w:val="00F5253C"/>
    <w:rsid w:val="00F52563"/>
    <w:rsid w:val="00F52567"/>
    <w:rsid w:val="00F52613"/>
    <w:rsid w:val="00F52619"/>
    <w:rsid w:val="00F52655"/>
    <w:rsid w:val="00F52721"/>
    <w:rsid w:val="00F52763"/>
    <w:rsid w:val="00F529C7"/>
    <w:rsid w:val="00F529E4"/>
    <w:rsid w:val="00F52A89"/>
    <w:rsid w:val="00F52AC7"/>
    <w:rsid w:val="00F52C60"/>
    <w:rsid w:val="00F52CFD"/>
    <w:rsid w:val="00F52D27"/>
    <w:rsid w:val="00F52E19"/>
    <w:rsid w:val="00F52FA7"/>
    <w:rsid w:val="00F530F6"/>
    <w:rsid w:val="00F53227"/>
    <w:rsid w:val="00F5324D"/>
    <w:rsid w:val="00F53354"/>
    <w:rsid w:val="00F5378D"/>
    <w:rsid w:val="00F53971"/>
    <w:rsid w:val="00F53985"/>
    <w:rsid w:val="00F539E5"/>
    <w:rsid w:val="00F53A01"/>
    <w:rsid w:val="00F53B68"/>
    <w:rsid w:val="00F53D57"/>
    <w:rsid w:val="00F53F37"/>
    <w:rsid w:val="00F53F4B"/>
    <w:rsid w:val="00F53F59"/>
    <w:rsid w:val="00F53F5A"/>
    <w:rsid w:val="00F53FDC"/>
    <w:rsid w:val="00F54014"/>
    <w:rsid w:val="00F54060"/>
    <w:rsid w:val="00F54203"/>
    <w:rsid w:val="00F54237"/>
    <w:rsid w:val="00F543EE"/>
    <w:rsid w:val="00F54400"/>
    <w:rsid w:val="00F5441B"/>
    <w:rsid w:val="00F54463"/>
    <w:rsid w:val="00F54759"/>
    <w:rsid w:val="00F54839"/>
    <w:rsid w:val="00F5498C"/>
    <w:rsid w:val="00F54ADD"/>
    <w:rsid w:val="00F54B72"/>
    <w:rsid w:val="00F54D5D"/>
    <w:rsid w:val="00F55158"/>
    <w:rsid w:val="00F5531B"/>
    <w:rsid w:val="00F55325"/>
    <w:rsid w:val="00F55363"/>
    <w:rsid w:val="00F553F6"/>
    <w:rsid w:val="00F555CC"/>
    <w:rsid w:val="00F557FB"/>
    <w:rsid w:val="00F5581F"/>
    <w:rsid w:val="00F55A78"/>
    <w:rsid w:val="00F55B58"/>
    <w:rsid w:val="00F55B91"/>
    <w:rsid w:val="00F55D7A"/>
    <w:rsid w:val="00F55DB6"/>
    <w:rsid w:val="00F55E07"/>
    <w:rsid w:val="00F55EB9"/>
    <w:rsid w:val="00F55EBB"/>
    <w:rsid w:val="00F562B0"/>
    <w:rsid w:val="00F562B9"/>
    <w:rsid w:val="00F56362"/>
    <w:rsid w:val="00F56381"/>
    <w:rsid w:val="00F5639D"/>
    <w:rsid w:val="00F564B1"/>
    <w:rsid w:val="00F564F3"/>
    <w:rsid w:val="00F56562"/>
    <w:rsid w:val="00F5658D"/>
    <w:rsid w:val="00F56646"/>
    <w:rsid w:val="00F5664E"/>
    <w:rsid w:val="00F56677"/>
    <w:rsid w:val="00F56689"/>
    <w:rsid w:val="00F566B0"/>
    <w:rsid w:val="00F5682F"/>
    <w:rsid w:val="00F56842"/>
    <w:rsid w:val="00F56918"/>
    <w:rsid w:val="00F56A19"/>
    <w:rsid w:val="00F56A6D"/>
    <w:rsid w:val="00F56B55"/>
    <w:rsid w:val="00F56BFA"/>
    <w:rsid w:val="00F56C0A"/>
    <w:rsid w:val="00F56CAB"/>
    <w:rsid w:val="00F56E81"/>
    <w:rsid w:val="00F56F93"/>
    <w:rsid w:val="00F5701E"/>
    <w:rsid w:val="00F57021"/>
    <w:rsid w:val="00F57112"/>
    <w:rsid w:val="00F57191"/>
    <w:rsid w:val="00F571CA"/>
    <w:rsid w:val="00F57272"/>
    <w:rsid w:val="00F57396"/>
    <w:rsid w:val="00F573AF"/>
    <w:rsid w:val="00F57426"/>
    <w:rsid w:val="00F57429"/>
    <w:rsid w:val="00F5744D"/>
    <w:rsid w:val="00F575D8"/>
    <w:rsid w:val="00F576D1"/>
    <w:rsid w:val="00F57770"/>
    <w:rsid w:val="00F57776"/>
    <w:rsid w:val="00F57788"/>
    <w:rsid w:val="00F57827"/>
    <w:rsid w:val="00F57A06"/>
    <w:rsid w:val="00F57AC5"/>
    <w:rsid w:val="00F57D8F"/>
    <w:rsid w:val="00F57DBC"/>
    <w:rsid w:val="00F57EA3"/>
    <w:rsid w:val="00F57EDC"/>
    <w:rsid w:val="00F6002F"/>
    <w:rsid w:val="00F600C0"/>
    <w:rsid w:val="00F600CB"/>
    <w:rsid w:val="00F601B2"/>
    <w:rsid w:val="00F601B3"/>
    <w:rsid w:val="00F60246"/>
    <w:rsid w:val="00F602F1"/>
    <w:rsid w:val="00F6030F"/>
    <w:rsid w:val="00F60384"/>
    <w:rsid w:val="00F603C9"/>
    <w:rsid w:val="00F604C8"/>
    <w:rsid w:val="00F6054E"/>
    <w:rsid w:val="00F606BF"/>
    <w:rsid w:val="00F606C9"/>
    <w:rsid w:val="00F60736"/>
    <w:rsid w:val="00F6086B"/>
    <w:rsid w:val="00F608E2"/>
    <w:rsid w:val="00F6094E"/>
    <w:rsid w:val="00F60977"/>
    <w:rsid w:val="00F60A85"/>
    <w:rsid w:val="00F60AED"/>
    <w:rsid w:val="00F60C28"/>
    <w:rsid w:val="00F60C70"/>
    <w:rsid w:val="00F60CA3"/>
    <w:rsid w:val="00F60DE2"/>
    <w:rsid w:val="00F61040"/>
    <w:rsid w:val="00F61089"/>
    <w:rsid w:val="00F610CA"/>
    <w:rsid w:val="00F611E3"/>
    <w:rsid w:val="00F61279"/>
    <w:rsid w:val="00F61339"/>
    <w:rsid w:val="00F61562"/>
    <w:rsid w:val="00F6185D"/>
    <w:rsid w:val="00F61B7D"/>
    <w:rsid w:val="00F61B87"/>
    <w:rsid w:val="00F61BA2"/>
    <w:rsid w:val="00F61D0F"/>
    <w:rsid w:val="00F61D4D"/>
    <w:rsid w:val="00F61ECE"/>
    <w:rsid w:val="00F61EE6"/>
    <w:rsid w:val="00F621FD"/>
    <w:rsid w:val="00F6249B"/>
    <w:rsid w:val="00F625A4"/>
    <w:rsid w:val="00F6269A"/>
    <w:rsid w:val="00F629F2"/>
    <w:rsid w:val="00F62A16"/>
    <w:rsid w:val="00F62B4B"/>
    <w:rsid w:val="00F62CE8"/>
    <w:rsid w:val="00F62E46"/>
    <w:rsid w:val="00F62EA9"/>
    <w:rsid w:val="00F62EEF"/>
    <w:rsid w:val="00F63000"/>
    <w:rsid w:val="00F631A4"/>
    <w:rsid w:val="00F63288"/>
    <w:rsid w:val="00F632FA"/>
    <w:rsid w:val="00F634E7"/>
    <w:rsid w:val="00F63505"/>
    <w:rsid w:val="00F63558"/>
    <w:rsid w:val="00F6363B"/>
    <w:rsid w:val="00F63673"/>
    <w:rsid w:val="00F6377F"/>
    <w:rsid w:val="00F6379D"/>
    <w:rsid w:val="00F63816"/>
    <w:rsid w:val="00F638EE"/>
    <w:rsid w:val="00F639D8"/>
    <w:rsid w:val="00F63B3F"/>
    <w:rsid w:val="00F63B47"/>
    <w:rsid w:val="00F63B8A"/>
    <w:rsid w:val="00F63C02"/>
    <w:rsid w:val="00F63C6F"/>
    <w:rsid w:val="00F63CDB"/>
    <w:rsid w:val="00F63D27"/>
    <w:rsid w:val="00F63D7D"/>
    <w:rsid w:val="00F63EF7"/>
    <w:rsid w:val="00F63F41"/>
    <w:rsid w:val="00F64072"/>
    <w:rsid w:val="00F640AB"/>
    <w:rsid w:val="00F64252"/>
    <w:rsid w:val="00F643EE"/>
    <w:rsid w:val="00F6448D"/>
    <w:rsid w:val="00F644CF"/>
    <w:rsid w:val="00F64725"/>
    <w:rsid w:val="00F647C6"/>
    <w:rsid w:val="00F6489A"/>
    <w:rsid w:val="00F64A2A"/>
    <w:rsid w:val="00F64A35"/>
    <w:rsid w:val="00F64A71"/>
    <w:rsid w:val="00F64A7C"/>
    <w:rsid w:val="00F64B6C"/>
    <w:rsid w:val="00F64BCF"/>
    <w:rsid w:val="00F6506C"/>
    <w:rsid w:val="00F652C8"/>
    <w:rsid w:val="00F653DE"/>
    <w:rsid w:val="00F655A4"/>
    <w:rsid w:val="00F655C4"/>
    <w:rsid w:val="00F65632"/>
    <w:rsid w:val="00F656AE"/>
    <w:rsid w:val="00F65843"/>
    <w:rsid w:val="00F6598E"/>
    <w:rsid w:val="00F65A8D"/>
    <w:rsid w:val="00F65B14"/>
    <w:rsid w:val="00F65E35"/>
    <w:rsid w:val="00F65FCF"/>
    <w:rsid w:val="00F66038"/>
    <w:rsid w:val="00F66161"/>
    <w:rsid w:val="00F661F8"/>
    <w:rsid w:val="00F6625D"/>
    <w:rsid w:val="00F66266"/>
    <w:rsid w:val="00F6626E"/>
    <w:rsid w:val="00F662A3"/>
    <w:rsid w:val="00F663B0"/>
    <w:rsid w:val="00F66482"/>
    <w:rsid w:val="00F664A6"/>
    <w:rsid w:val="00F666D8"/>
    <w:rsid w:val="00F666E9"/>
    <w:rsid w:val="00F667D2"/>
    <w:rsid w:val="00F6682C"/>
    <w:rsid w:val="00F66911"/>
    <w:rsid w:val="00F66A4A"/>
    <w:rsid w:val="00F66D14"/>
    <w:rsid w:val="00F66D9E"/>
    <w:rsid w:val="00F66E18"/>
    <w:rsid w:val="00F66ED0"/>
    <w:rsid w:val="00F66F48"/>
    <w:rsid w:val="00F66F64"/>
    <w:rsid w:val="00F66F73"/>
    <w:rsid w:val="00F670A3"/>
    <w:rsid w:val="00F670E9"/>
    <w:rsid w:val="00F672B8"/>
    <w:rsid w:val="00F672E5"/>
    <w:rsid w:val="00F67322"/>
    <w:rsid w:val="00F673AE"/>
    <w:rsid w:val="00F67468"/>
    <w:rsid w:val="00F674A2"/>
    <w:rsid w:val="00F67645"/>
    <w:rsid w:val="00F67703"/>
    <w:rsid w:val="00F67737"/>
    <w:rsid w:val="00F67770"/>
    <w:rsid w:val="00F67852"/>
    <w:rsid w:val="00F678E0"/>
    <w:rsid w:val="00F67A69"/>
    <w:rsid w:val="00F67A8D"/>
    <w:rsid w:val="00F67B0B"/>
    <w:rsid w:val="00F67BA0"/>
    <w:rsid w:val="00F67C2D"/>
    <w:rsid w:val="00F67C8E"/>
    <w:rsid w:val="00F67E61"/>
    <w:rsid w:val="00F67E6C"/>
    <w:rsid w:val="00F67EA0"/>
    <w:rsid w:val="00F67F73"/>
    <w:rsid w:val="00F67FDC"/>
    <w:rsid w:val="00F70023"/>
    <w:rsid w:val="00F70033"/>
    <w:rsid w:val="00F701B1"/>
    <w:rsid w:val="00F701EE"/>
    <w:rsid w:val="00F702D8"/>
    <w:rsid w:val="00F704F0"/>
    <w:rsid w:val="00F705A4"/>
    <w:rsid w:val="00F705C6"/>
    <w:rsid w:val="00F706D9"/>
    <w:rsid w:val="00F70728"/>
    <w:rsid w:val="00F70890"/>
    <w:rsid w:val="00F708BE"/>
    <w:rsid w:val="00F708D4"/>
    <w:rsid w:val="00F70AAE"/>
    <w:rsid w:val="00F70C06"/>
    <w:rsid w:val="00F70CF2"/>
    <w:rsid w:val="00F70D4A"/>
    <w:rsid w:val="00F70D72"/>
    <w:rsid w:val="00F70D96"/>
    <w:rsid w:val="00F70EDD"/>
    <w:rsid w:val="00F70F36"/>
    <w:rsid w:val="00F70F49"/>
    <w:rsid w:val="00F70F6A"/>
    <w:rsid w:val="00F70FA0"/>
    <w:rsid w:val="00F71157"/>
    <w:rsid w:val="00F7117E"/>
    <w:rsid w:val="00F711DC"/>
    <w:rsid w:val="00F713A5"/>
    <w:rsid w:val="00F714DD"/>
    <w:rsid w:val="00F71672"/>
    <w:rsid w:val="00F7167A"/>
    <w:rsid w:val="00F71775"/>
    <w:rsid w:val="00F71843"/>
    <w:rsid w:val="00F718E9"/>
    <w:rsid w:val="00F719B5"/>
    <w:rsid w:val="00F71A5F"/>
    <w:rsid w:val="00F71B40"/>
    <w:rsid w:val="00F71B88"/>
    <w:rsid w:val="00F71C59"/>
    <w:rsid w:val="00F71F2F"/>
    <w:rsid w:val="00F71FDC"/>
    <w:rsid w:val="00F7202C"/>
    <w:rsid w:val="00F72160"/>
    <w:rsid w:val="00F7216B"/>
    <w:rsid w:val="00F72216"/>
    <w:rsid w:val="00F723E6"/>
    <w:rsid w:val="00F725F7"/>
    <w:rsid w:val="00F7279A"/>
    <w:rsid w:val="00F727F5"/>
    <w:rsid w:val="00F728E1"/>
    <w:rsid w:val="00F729A1"/>
    <w:rsid w:val="00F72B9E"/>
    <w:rsid w:val="00F72BE6"/>
    <w:rsid w:val="00F72BF3"/>
    <w:rsid w:val="00F72E10"/>
    <w:rsid w:val="00F7303D"/>
    <w:rsid w:val="00F73045"/>
    <w:rsid w:val="00F7305F"/>
    <w:rsid w:val="00F730EC"/>
    <w:rsid w:val="00F73139"/>
    <w:rsid w:val="00F7318F"/>
    <w:rsid w:val="00F73354"/>
    <w:rsid w:val="00F73569"/>
    <w:rsid w:val="00F735BD"/>
    <w:rsid w:val="00F7361E"/>
    <w:rsid w:val="00F736E0"/>
    <w:rsid w:val="00F73B5B"/>
    <w:rsid w:val="00F73C09"/>
    <w:rsid w:val="00F73CC2"/>
    <w:rsid w:val="00F73CCB"/>
    <w:rsid w:val="00F7426A"/>
    <w:rsid w:val="00F742D3"/>
    <w:rsid w:val="00F742F7"/>
    <w:rsid w:val="00F74446"/>
    <w:rsid w:val="00F745D3"/>
    <w:rsid w:val="00F74673"/>
    <w:rsid w:val="00F74743"/>
    <w:rsid w:val="00F74B24"/>
    <w:rsid w:val="00F74D5F"/>
    <w:rsid w:val="00F74E16"/>
    <w:rsid w:val="00F751BC"/>
    <w:rsid w:val="00F75290"/>
    <w:rsid w:val="00F752E4"/>
    <w:rsid w:val="00F75418"/>
    <w:rsid w:val="00F7546C"/>
    <w:rsid w:val="00F754C6"/>
    <w:rsid w:val="00F75702"/>
    <w:rsid w:val="00F757F8"/>
    <w:rsid w:val="00F75864"/>
    <w:rsid w:val="00F75A03"/>
    <w:rsid w:val="00F75AEF"/>
    <w:rsid w:val="00F75C2E"/>
    <w:rsid w:val="00F75E22"/>
    <w:rsid w:val="00F75F21"/>
    <w:rsid w:val="00F7622E"/>
    <w:rsid w:val="00F762EE"/>
    <w:rsid w:val="00F762F2"/>
    <w:rsid w:val="00F76347"/>
    <w:rsid w:val="00F76450"/>
    <w:rsid w:val="00F764D4"/>
    <w:rsid w:val="00F76800"/>
    <w:rsid w:val="00F76866"/>
    <w:rsid w:val="00F76878"/>
    <w:rsid w:val="00F7690F"/>
    <w:rsid w:val="00F76918"/>
    <w:rsid w:val="00F76965"/>
    <w:rsid w:val="00F76980"/>
    <w:rsid w:val="00F76B74"/>
    <w:rsid w:val="00F76B75"/>
    <w:rsid w:val="00F76B89"/>
    <w:rsid w:val="00F77284"/>
    <w:rsid w:val="00F7734C"/>
    <w:rsid w:val="00F773DC"/>
    <w:rsid w:val="00F773F9"/>
    <w:rsid w:val="00F77456"/>
    <w:rsid w:val="00F77501"/>
    <w:rsid w:val="00F7751D"/>
    <w:rsid w:val="00F77521"/>
    <w:rsid w:val="00F77541"/>
    <w:rsid w:val="00F77584"/>
    <w:rsid w:val="00F775EA"/>
    <w:rsid w:val="00F77601"/>
    <w:rsid w:val="00F77643"/>
    <w:rsid w:val="00F776BA"/>
    <w:rsid w:val="00F77837"/>
    <w:rsid w:val="00F77984"/>
    <w:rsid w:val="00F77997"/>
    <w:rsid w:val="00F779EA"/>
    <w:rsid w:val="00F77A26"/>
    <w:rsid w:val="00F77A46"/>
    <w:rsid w:val="00F77B14"/>
    <w:rsid w:val="00F77B48"/>
    <w:rsid w:val="00F77B7F"/>
    <w:rsid w:val="00F77CF8"/>
    <w:rsid w:val="00F77DB8"/>
    <w:rsid w:val="00F77EA7"/>
    <w:rsid w:val="00F77FEB"/>
    <w:rsid w:val="00F8028E"/>
    <w:rsid w:val="00F804AF"/>
    <w:rsid w:val="00F805C7"/>
    <w:rsid w:val="00F8073B"/>
    <w:rsid w:val="00F807A0"/>
    <w:rsid w:val="00F807B1"/>
    <w:rsid w:val="00F8087A"/>
    <w:rsid w:val="00F80D92"/>
    <w:rsid w:val="00F80F34"/>
    <w:rsid w:val="00F8114B"/>
    <w:rsid w:val="00F8129E"/>
    <w:rsid w:val="00F81361"/>
    <w:rsid w:val="00F81450"/>
    <w:rsid w:val="00F814DE"/>
    <w:rsid w:val="00F81525"/>
    <w:rsid w:val="00F8167C"/>
    <w:rsid w:val="00F81830"/>
    <w:rsid w:val="00F81849"/>
    <w:rsid w:val="00F818F8"/>
    <w:rsid w:val="00F81903"/>
    <w:rsid w:val="00F81923"/>
    <w:rsid w:val="00F81984"/>
    <w:rsid w:val="00F819B0"/>
    <w:rsid w:val="00F81ACB"/>
    <w:rsid w:val="00F81B98"/>
    <w:rsid w:val="00F81BCB"/>
    <w:rsid w:val="00F81CF3"/>
    <w:rsid w:val="00F81D5D"/>
    <w:rsid w:val="00F81FB6"/>
    <w:rsid w:val="00F82178"/>
    <w:rsid w:val="00F821AA"/>
    <w:rsid w:val="00F82238"/>
    <w:rsid w:val="00F82332"/>
    <w:rsid w:val="00F8237F"/>
    <w:rsid w:val="00F82401"/>
    <w:rsid w:val="00F82420"/>
    <w:rsid w:val="00F82505"/>
    <w:rsid w:val="00F82530"/>
    <w:rsid w:val="00F825C5"/>
    <w:rsid w:val="00F82767"/>
    <w:rsid w:val="00F82864"/>
    <w:rsid w:val="00F829A0"/>
    <w:rsid w:val="00F829EA"/>
    <w:rsid w:val="00F82B66"/>
    <w:rsid w:val="00F82B9B"/>
    <w:rsid w:val="00F82CD1"/>
    <w:rsid w:val="00F82D93"/>
    <w:rsid w:val="00F82E95"/>
    <w:rsid w:val="00F82EE7"/>
    <w:rsid w:val="00F82EFE"/>
    <w:rsid w:val="00F82FEA"/>
    <w:rsid w:val="00F83030"/>
    <w:rsid w:val="00F83053"/>
    <w:rsid w:val="00F830F5"/>
    <w:rsid w:val="00F83270"/>
    <w:rsid w:val="00F832C3"/>
    <w:rsid w:val="00F833B9"/>
    <w:rsid w:val="00F833C8"/>
    <w:rsid w:val="00F833F9"/>
    <w:rsid w:val="00F837BC"/>
    <w:rsid w:val="00F83A1E"/>
    <w:rsid w:val="00F83A89"/>
    <w:rsid w:val="00F83B8C"/>
    <w:rsid w:val="00F83D62"/>
    <w:rsid w:val="00F83E39"/>
    <w:rsid w:val="00F83F74"/>
    <w:rsid w:val="00F83FB6"/>
    <w:rsid w:val="00F84063"/>
    <w:rsid w:val="00F8413C"/>
    <w:rsid w:val="00F842A0"/>
    <w:rsid w:val="00F8437D"/>
    <w:rsid w:val="00F843C3"/>
    <w:rsid w:val="00F844E2"/>
    <w:rsid w:val="00F84801"/>
    <w:rsid w:val="00F84815"/>
    <w:rsid w:val="00F848AF"/>
    <w:rsid w:val="00F84922"/>
    <w:rsid w:val="00F8492A"/>
    <w:rsid w:val="00F84C49"/>
    <w:rsid w:val="00F84C50"/>
    <w:rsid w:val="00F84C52"/>
    <w:rsid w:val="00F84CA8"/>
    <w:rsid w:val="00F8505D"/>
    <w:rsid w:val="00F85060"/>
    <w:rsid w:val="00F85310"/>
    <w:rsid w:val="00F85373"/>
    <w:rsid w:val="00F85440"/>
    <w:rsid w:val="00F8557D"/>
    <w:rsid w:val="00F8562E"/>
    <w:rsid w:val="00F85679"/>
    <w:rsid w:val="00F8569D"/>
    <w:rsid w:val="00F856E7"/>
    <w:rsid w:val="00F85897"/>
    <w:rsid w:val="00F8592B"/>
    <w:rsid w:val="00F8592C"/>
    <w:rsid w:val="00F85AD1"/>
    <w:rsid w:val="00F85AFB"/>
    <w:rsid w:val="00F85B3E"/>
    <w:rsid w:val="00F85B82"/>
    <w:rsid w:val="00F85C7A"/>
    <w:rsid w:val="00F85D05"/>
    <w:rsid w:val="00F85D66"/>
    <w:rsid w:val="00F85E05"/>
    <w:rsid w:val="00F85E4F"/>
    <w:rsid w:val="00F85FA3"/>
    <w:rsid w:val="00F86253"/>
    <w:rsid w:val="00F86291"/>
    <w:rsid w:val="00F86546"/>
    <w:rsid w:val="00F86577"/>
    <w:rsid w:val="00F86589"/>
    <w:rsid w:val="00F86714"/>
    <w:rsid w:val="00F867FB"/>
    <w:rsid w:val="00F86872"/>
    <w:rsid w:val="00F86986"/>
    <w:rsid w:val="00F869F4"/>
    <w:rsid w:val="00F86AA3"/>
    <w:rsid w:val="00F86B38"/>
    <w:rsid w:val="00F86B57"/>
    <w:rsid w:val="00F87006"/>
    <w:rsid w:val="00F87080"/>
    <w:rsid w:val="00F871B0"/>
    <w:rsid w:val="00F871D2"/>
    <w:rsid w:val="00F87228"/>
    <w:rsid w:val="00F87229"/>
    <w:rsid w:val="00F874B5"/>
    <w:rsid w:val="00F875FF"/>
    <w:rsid w:val="00F876AA"/>
    <w:rsid w:val="00F8779B"/>
    <w:rsid w:val="00F87825"/>
    <w:rsid w:val="00F87895"/>
    <w:rsid w:val="00F87B01"/>
    <w:rsid w:val="00F87B37"/>
    <w:rsid w:val="00F87BA8"/>
    <w:rsid w:val="00F87C02"/>
    <w:rsid w:val="00F87C15"/>
    <w:rsid w:val="00F87C7D"/>
    <w:rsid w:val="00F87D56"/>
    <w:rsid w:val="00F87D68"/>
    <w:rsid w:val="00F87E0C"/>
    <w:rsid w:val="00F901F6"/>
    <w:rsid w:val="00F90218"/>
    <w:rsid w:val="00F90296"/>
    <w:rsid w:val="00F903A7"/>
    <w:rsid w:val="00F906B8"/>
    <w:rsid w:val="00F90824"/>
    <w:rsid w:val="00F90859"/>
    <w:rsid w:val="00F9085F"/>
    <w:rsid w:val="00F908B4"/>
    <w:rsid w:val="00F908DC"/>
    <w:rsid w:val="00F9094F"/>
    <w:rsid w:val="00F909F4"/>
    <w:rsid w:val="00F90A26"/>
    <w:rsid w:val="00F90B41"/>
    <w:rsid w:val="00F90D0F"/>
    <w:rsid w:val="00F90F52"/>
    <w:rsid w:val="00F90F9E"/>
    <w:rsid w:val="00F90FD8"/>
    <w:rsid w:val="00F91129"/>
    <w:rsid w:val="00F9114A"/>
    <w:rsid w:val="00F911FF"/>
    <w:rsid w:val="00F9125D"/>
    <w:rsid w:val="00F91291"/>
    <w:rsid w:val="00F9133B"/>
    <w:rsid w:val="00F91395"/>
    <w:rsid w:val="00F913EE"/>
    <w:rsid w:val="00F91492"/>
    <w:rsid w:val="00F91579"/>
    <w:rsid w:val="00F91692"/>
    <w:rsid w:val="00F917F8"/>
    <w:rsid w:val="00F91970"/>
    <w:rsid w:val="00F91CA1"/>
    <w:rsid w:val="00F91F85"/>
    <w:rsid w:val="00F92061"/>
    <w:rsid w:val="00F920A0"/>
    <w:rsid w:val="00F92116"/>
    <w:rsid w:val="00F9214C"/>
    <w:rsid w:val="00F9227D"/>
    <w:rsid w:val="00F92343"/>
    <w:rsid w:val="00F9247A"/>
    <w:rsid w:val="00F924D9"/>
    <w:rsid w:val="00F9250C"/>
    <w:rsid w:val="00F926C4"/>
    <w:rsid w:val="00F92704"/>
    <w:rsid w:val="00F927DD"/>
    <w:rsid w:val="00F928D3"/>
    <w:rsid w:val="00F92986"/>
    <w:rsid w:val="00F92A6B"/>
    <w:rsid w:val="00F92AA7"/>
    <w:rsid w:val="00F92AF4"/>
    <w:rsid w:val="00F92F6B"/>
    <w:rsid w:val="00F93168"/>
    <w:rsid w:val="00F9348D"/>
    <w:rsid w:val="00F93556"/>
    <w:rsid w:val="00F93561"/>
    <w:rsid w:val="00F935EC"/>
    <w:rsid w:val="00F93785"/>
    <w:rsid w:val="00F937B3"/>
    <w:rsid w:val="00F937FB"/>
    <w:rsid w:val="00F93801"/>
    <w:rsid w:val="00F93BB4"/>
    <w:rsid w:val="00F93C69"/>
    <w:rsid w:val="00F93CF7"/>
    <w:rsid w:val="00F93D2B"/>
    <w:rsid w:val="00F93D4E"/>
    <w:rsid w:val="00F93E84"/>
    <w:rsid w:val="00F93EFC"/>
    <w:rsid w:val="00F93F10"/>
    <w:rsid w:val="00F93F6D"/>
    <w:rsid w:val="00F94067"/>
    <w:rsid w:val="00F940E3"/>
    <w:rsid w:val="00F94191"/>
    <w:rsid w:val="00F941E9"/>
    <w:rsid w:val="00F94281"/>
    <w:rsid w:val="00F94357"/>
    <w:rsid w:val="00F9445D"/>
    <w:rsid w:val="00F945B7"/>
    <w:rsid w:val="00F947C4"/>
    <w:rsid w:val="00F9489E"/>
    <w:rsid w:val="00F9496A"/>
    <w:rsid w:val="00F94B2B"/>
    <w:rsid w:val="00F94B52"/>
    <w:rsid w:val="00F94B6A"/>
    <w:rsid w:val="00F94C55"/>
    <w:rsid w:val="00F94DFD"/>
    <w:rsid w:val="00F94E85"/>
    <w:rsid w:val="00F94E9A"/>
    <w:rsid w:val="00F94EFB"/>
    <w:rsid w:val="00F94F49"/>
    <w:rsid w:val="00F95043"/>
    <w:rsid w:val="00F95116"/>
    <w:rsid w:val="00F951DA"/>
    <w:rsid w:val="00F95237"/>
    <w:rsid w:val="00F9531D"/>
    <w:rsid w:val="00F954A0"/>
    <w:rsid w:val="00F958CE"/>
    <w:rsid w:val="00F958D8"/>
    <w:rsid w:val="00F95912"/>
    <w:rsid w:val="00F95933"/>
    <w:rsid w:val="00F959A6"/>
    <w:rsid w:val="00F95A37"/>
    <w:rsid w:val="00F95AC2"/>
    <w:rsid w:val="00F95C1F"/>
    <w:rsid w:val="00F95D57"/>
    <w:rsid w:val="00F95E91"/>
    <w:rsid w:val="00F95F44"/>
    <w:rsid w:val="00F95F92"/>
    <w:rsid w:val="00F95FBA"/>
    <w:rsid w:val="00F95FE5"/>
    <w:rsid w:val="00F96157"/>
    <w:rsid w:val="00F96261"/>
    <w:rsid w:val="00F9631C"/>
    <w:rsid w:val="00F963B7"/>
    <w:rsid w:val="00F963D9"/>
    <w:rsid w:val="00F963E6"/>
    <w:rsid w:val="00F963E8"/>
    <w:rsid w:val="00F965D9"/>
    <w:rsid w:val="00F96677"/>
    <w:rsid w:val="00F9670E"/>
    <w:rsid w:val="00F967A5"/>
    <w:rsid w:val="00F96872"/>
    <w:rsid w:val="00F96925"/>
    <w:rsid w:val="00F969BF"/>
    <w:rsid w:val="00F96A19"/>
    <w:rsid w:val="00F96A76"/>
    <w:rsid w:val="00F96B1A"/>
    <w:rsid w:val="00F96C0D"/>
    <w:rsid w:val="00F96C42"/>
    <w:rsid w:val="00F96C9D"/>
    <w:rsid w:val="00F96D92"/>
    <w:rsid w:val="00F96D95"/>
    <w:rsid w:val="00F96E9D"/>
    <w:rsid w:val="00F96FF5"/>
    <w:rsid w:val="00F97178"/>
    <w:rsid w:val="00F9727A"/>
    <w:rsid w:val="00F972EA"/>
    <w:rsid w:val="00F972F7"/>
    <w:rsid w:val="00F9731E"/>
    <w:rsid w:val="00F9741F"/>
    <w:rsid w:val="00F974B7"/>
    <w:rsid w:val="00F97514"/>
    <w:rsid w:val="00F9754B"/>
    <w:rsid w:val="00F975C8"/>
    <w:rsid w:val="00F97616"/>
    <w:rsid w:val="00F976E0"/>
    <w:rsid w:val="00F97764"/>
    <w:rsid w:val="00F978F3"/>
    <w:rsid w:val="00F97969"/>
    <w:rsid w:val="00F979AA"/>
    <w:rsid w:val="00F97B5D"/>
    <w:rsid w:val="00F97DE1"/>
    <w:rsid w:val="00F97E4C"/>
    <w:rsid w:val="00F97F94"/>
    <w:rsid w:val="00FA00C0"/>
    <w:rsid w:val="00FA00F9"/>
    <w:rsid w:val="00FA013D"/>
    <w:rsid w:val="00FA023E"/>
    <w:rsid w:val="00FA0267"/>
    <w:rsid w:val="00FA032E"/>
    <w:rsid w:val="00FA03B5"/>
    <w:rsid w:val="00FA03E3"/>
    <w:rsid w:val="00FA03F4"/>
    <w:rsid w:val="00FA0400"/>
    <w:rsid w:val="00FA0505"/>
    <w:rsid w:val="00FA0A30"/>
    <w:rsid w:val="00FA0AAE"/>
    <w:rsid w:val="00FA0B42"/>
    <w:rsid w:val="00FA0CB1"/>
    <w:rsid w:val="00FA0DAD"/>
    <w:rsid w:val="00FA0ED8"/>
    <w:rsid w:val="00FA0F25"/>
    <w:rsid w:val="00FA0FAD"/>
    <w:rsid w:val="00FA0FFA"/>
    <w:rsid w:val="00FA1081"/>
    <w:rsid w:val="00FA114A"/>
    <w:rsid w:val="00FA11EB"/>
    <w:rsid w:val="00FA12B7"/>
    <w:rsid w:val="00FA140A"/>
    <w:rsid w:val="00FA1504"/>
    <w:rsid w:val="00FA150C"/>
    <w:rsid w:val="00FA15CD"/>
    <w:rsid w:val="00FA15EF"/>
    <w:rsid w:val="00FA1639"/>
    <w:rsid w:val="00FA1743"/>
    <w:rsid w:val="00FA17C7"/>
    <w:rsid w:val="00FA18DD"/>
    <w:rsid w:val="00FA199C"/>
    <w:rsid w:val="00FA1CB7"/>
    <w:rsid w:val="00FA1ED9"/>
    <w:rsid w:val="00FA1F3F"/>
    <w:rsid w:val="00FA249B"/>
    <w:rsid w:val="00FA272F"/>
    <w:rsid w:val="00FA2779"/>
    <w:rsid w:val="00FA28D4"/>
    <w:rsid w:val="00FA2A87"/>
    <w:rsid w:val="00FA2B2F"/>
    <w:rsid w:val="00FA2B9D"/>
    <w:rsid w:val="00FA2BC3"/>
    <w:rsid w:val="00FA2C8F"/>
    <w:rsid w:val="00FA2D0C"/>
    <w:rsid w:val="00FA2DEB"/>
    <w:rsid w:val="00FA2DF7"/>
    <w:rsid w:val="00FA3097"/>
    <w:rsid w:val="00FA30FF"/>
    <w:rsid w:val="00FA3156"/>
    <w:rsid w:val="00FA335B"/>
    <w:rsid w:val="00FA3360"/>
    <w:rsid w:val="00FA3382"/>
    <w:rsid w:val="00FA354B"/>
    <w:rsid w:val="00FA37E7"/>
    <w:rsid w:val="00FA392D"/>
    <w:rsid w:val="00FA39C0"/>
    <w:rsid w:val="00FA39F6"/>
    <w:rsid w:val="00FA3AD5"/>
    <w:rsid w:val="00FA3B99"/>
    <w:rsid w:val="00FA3C5D"/>
    <w:rsid w:val="00FA3C6B"/>
    <w:rsid w:val="00FA3CA8"/>
    <w:rsid w:val="00FA3D0C"/>
    <w:rsid w:val="00FA3D21"/>
    <w:rsid w:val="00FA3DD9"/>
    <w:rsid w:val="00FA3DFC"/>
    <w:rsid w:val="00FA40CA"/>
    <w:rsid w:val="00FA42AF"/>
    <w:rsid w:val="00FA44B3"/>
    <w:rsid w:val="00FA4526"/>
    <w:rsid w:val="00FA45C8"/>
    <w:rsid w:val="00FA46BC"/>
    <w:rsid w:val="00FA4842"/>
    <w:rsid w:val="00FA4855"/>
    <w:rsid w:val="00FA4916"/>
    <w:rsid w:val="00FA4A87"/>
    <w:rsid w:val="00FA4B01"/>
    <w:rsid w:val="00FA4B03"/>
    <w:rsid w:val="00FA4B31"/>
    <w:rsid w:val="00FA4BD7"/>
    <w:rsid w:val="00FA4CD7"/>
    <w:rsid w:val="00FA4F5B"/>
    <w:rsid w:val="00FA509B"/>
    <w:rsid w:val="00FA519A"/>
    <w:rsid w:val="00FA5200"/>
    <w:rsid w:val="00FA52B3"/>
    <w:rsid w:val="00FA52D8"/>
    <w:rsid w:val="00FA537B"/>
    <w:rsid w:val="00FA546F"/>
    <w:rsid w:val="00FA557F"/>
    <w:rsid w:val="00FA55CC"/>
    <w:rsid w:val="00FA561E"/>
    <w:rsid w:val="00FA563B"/>
    <w:rsid w:val="00FA566E"/>
    <w:rsid w:val="00FA56BB"/>
    <w:rsid w:val="00FA5753"/>
    <w:rsid w:val="00FA5888"/>
    <w:rsid w:val="00FA5918"/>
    <w:rsid w:val="00FA5967"/>
    <w:rsid w:val="00FA596E"/>
    <w:rsid w:val="00FA599F"/>
    <w:rsid w:val="00FA5A6A"/>
    <w:rsid w:val="00FA5BD8"/>
    <w:rsid w:val="00FA5CAD"/>
    <w:rsid w:val="00FA5D48"/>
    <w:rsid w:val="00FA5F4D"/>
    <w:rsid w:val="00FA61C4"/>
    <w:rsid w:val="00FA622D"/>
    <w:rsid w:val="00FA632D"/>
    <w:rsid w:val="00FA633E"/>
    <w:rsid w:val="00FA6385"/>
    <w:rsid w:val="00FA671E"/>
    <w:rsid w:val="00FA67D6"/>
    <w:rsid w:val="00FA67F1"/>
    <w:rsid w:val="00FA681B"/>
    <w:rsid w:val="00FA689F"/>
    <w:rsid w:val="00FA68C4"/>
    <w:rsid w:val="00FA69D5"/>
    <w:rsid w:val="00FA6A21"/>
    <w:rsid w:val="00FA6B78"/>
    <w:rsid w:val="00FA6CED"/>
    <w:rsid w:val="00FA6D19"/>
    <w:rsid w:val="00FA6DCD"/>
    <w:rsid w:val="00FA6DD4"/>
    <w:rsid w:val="00FA6EFF"/>
    <w:rsid w:val="00FA6F25"/>
    <w:rsid w:val="00FA6F40"/>
    <w:rsid w:val="00FA6FD0"/>
    <w:rsid w:val="00FA6FF2"/>
    <w:rsid w:val="00FA7093"/>
    <w:rsid w:val="00FA7207"/>
    <w:rsid w:val="00FA72A3"/>
    <w:rsid w:val="00FA7448"/>
    <w:rsid w:val="00FA7451"/>
    <w:rsid w:val="00FA7A22"/>
    <w:rsid w:val="00FA7BAE"/>
    <w:rsid w:val="00FA7D70"/>
    <w:rsid w:val="00FA7DCD"/>
    <w:rsid w:val="00FA7F1D"/>
    <w:rsid w:val="00FB00C3"/>
    <w:rsid w:val="00FB014D"/>
    <w:rsid w:val="00FB03FA"/>
    <w:rsid w:val="00FB0443"/>
    <w:rsid w:val="00FB044D"/>
    <w:rsid w:val="00FB04DC"/>
    <w:rsid w:val="00FB05C9"/>
    <w:rsid w:val="00FB0619"/>
    <w:rsid w:val="00FB0795"/>
    <w:rsid w:val="00FB0802"/>
    <w:rsid w:val="00FB09B3"/>
    <w:rsid w:val="00FB0A45"/>
    <w:rsid w:val="00FB0AD7"/>
    <w:rsid w:val="00FB0B28"/>
    <w:rsid w:val="00FB0B53"/>
    <w:rsid w:val="00FB0C28"/>
    <w:rsid w:val="00FB0CAF"/>
    <w:rsid w:val="00FB0DB4"/>
    <w:rsid w:val="00FB0DE2"/>
    <w:rsid w:val="00FB0FDA"/>
    <w:rsid w:val="00FB10E6"/>
    <w:rsid w:val="00FB1104"/>
    <w:rsid w:val="00FB12C0"/>
    <w:rsid w:val="00FB1315"/>
    <w:rsid w:val="00FB1363"/>
    <w:rsid w:val="00FB136A"/>
    <w:rsid w:val="00FB14AC"/>
    <w:rsid w:val="00FB1903"/>
    <w:rsid w:val="00FB1A73"/>
    <w:rsid w:val="00FB1AA3"/>
    <w:rsid w:val="00FB1AEE"/>
    <w:rsid w:val="00FB1BF3"/>
    <w:rsid w:val="00FB1CFA"/>
    <w:rsid w:val="00FB1CFF"/>
    <w:rsid w:val="00FB1DCF"/>
    <w:rsid w:val="00FB1E02"/>
    <w:rsid w:val="00FB2052"/>
    <w:rsid w:val="00FB20B2"/>
    <w:rsid w:val="00FB20D0"/>
    <w:rsid w:val="00FB20FA"/>
    <w:rsid w:val="00FB2130"/>
    <w:rsid w:val="00FB21AD"/>
    <w:rsid w:val="00FB21F7"/>
    <w:rsid w:val="00FB235C"/>
    <w:rsid w:val="00FB23A0"/>
    <w:rsid w:val="00FB2538"/>
    <w:rsid w:val="00FB253A"/>
    <w:rsid w:val="00FB27AF"/>
    <w:rsid w:val="00FB284C"/>
    <w:rsid w:val="00FB2898"/>
    <w:rsid w:val="00FB2F7C"/>
    <w:rsid w:val="00FB3039"/>
    <w:rsid w:val="00FB30DB"/>
    <w:rsid w:val="00FB3284"/>
    <w:rsid w:val="00FB3285"/>
    <w:rsid w:val="00FB328E"/>
    <w:rsid w:val="00FB345C"/>
    <w:rsid w:val="00FB3554"/>
    <w:rsid w:val="00FB362D"/>
    <w:rsid w:val="00FB367A"/>
    <w:rsid w:val="00FB37CA"/>
    <w:rsid w:val="00FB37EA"/>
    <w:rsid w:val="00FB38C5"/>
    <w:rsid w:val="00FB3912"/>
    <w:rsid w:val="00FB3981"/>
    <w:rsid w:val="00FB3AAE"/>
    <w:rsid w:val="00FB3AE9"/>
    <w:rsid w:val="00FB3BA7"/>
    <w:rsid w:val="00FB3C2B"/>
    <w:rsid w:val="00FB3D06"/>
    <w:rsid w:val="00FB3F59"/>
    <w:rsid w:val="00FB4139"/>
    <w:rsid w:val="00FB42E7"/>
    <w:rsid w:val="00FB4420"/>
    <w:rsid w:val="00FB45A0"/>
    <w:rsid w:val="00FB45B6"/>
    <w:rsid w:val="00FB4628"/>
    <w:rsid w:val="00FB468F"/>
    <w:rsid w:val="00FB4725"/>
    <w:rsid w:val="00FB476B"/>
    <w:rsid w:val="00FB47AC"/>
    <w:rsid w:val="00FB493B"/>
    <w:rsid w:val="00FB4CAF"/>
    <w:rsid w:val="00FB4CB9"/>
    <w:rsid w:val="00FB4D03"/>
    <w:rsid w:val="00FB4DB3"/>
    <w:rsid w:val="00FB4DE9"/>
    <w:rsid w:val="00FB4E87"/>
    <w:rsid w:val="00FB4F5F"/>
    <w:rsid w:val="00FB4F96"/>
    <w:rsid w:val="00FB4FD2"/>
    <w:rsid w:val="00FB4FE9"/>
    <w:rsid w:val="00FB503C"/>
    <w:rsid w:val="00FB50B4"/>
    <w:rsid w:val="00FB512A"/>
    <w:rsid w:val="00FB518C"/>
    <w:rsid w:val="00FB51F8"/>
    <w:rsid w:val="00FB527F"/>
    <w:rsid w:val="00FB53CD"/>
    <w:rsid w:val="00FB54EC"/>
    <w:rsid w:val="00FB555E"/>
    <w:rsid w:val="00FB56AE"/>
    <w:rsid w:val="00FB5AEE"/>
    <w:rsid w:val="00FB5AF6"/>
    <w:rsid w:val="00FB5B76"/>
    <w:rsid w:val="00FB5C3D"/>
    <w:rsid w:val="00FB5CC4"/>
    <w:rsid w:val="00FB5E12"/>
    <w:rsid w:val="00FB5E44"/>
    <w:rsid w:val="00FB5EBC"/>
    <w:rsid w:val="00FB5F43"/>
    <w:rsid w:val="00FB5F65"/>
    <w:rsid w:val="00FB606E"/>
    <w:rsid w:val="00FB6103"/>
    <w:rsid w:val="00FB64A3"/>
    <w:rsid w:val="00FB6620"/>
    <w:rsid w:val="00FB666C"/>
    <w:rsid w:val="00FB6786"/>
    <w:rsid w:val="00FB68B3"/>
    <w:rsid w:val="00FB68C4"/>
    <w:rsid w:val="00FB6A98"/>
    <w:rsid w:val="00FB6ACE"/>
    <w:rsid w:val="00FB6AD9"/>
    <w:rsid w:val="00FB6CAC"/>
    <w:rsid w:val="00FB6E9E"/>
    <w:rsid w:val="00FB6F91"/>
    <w:rsid w:val="00FB6FB6"/>
    <w:rsid w:val="00FB7010"/>
    <w:rsid w:val="00FB7099"/>
    <w:rsid w:val="00FB7278"/>
    <w:rsid w:val="00FB72B9"/>
    <w:rsid w:val="00FB73C6"/>
    <w:rsid w:val="00FB740D"/>
    <w:rsid w:val="00FB74F1"/>
    <w:rsid w:val="00FB752B"/>
    <w:rsid w:val="00FB7601"/>
    <w:rsid w:val="00FB7614"/>
    <w:rsid w:val="00FB7719"/>
    <w:rsid w:val="00FB78E5"/>
    <w:rsid w:val="00FB7A05"/>
    <w:rsid w:val="00FB7A2D"/>
    <w:rsid w:val="00FB7CAC"/>
    <w:rsid w:val="00FB7CB6"/>
    <w:rsid w:val="00FB7CFD"/>
    <w:rsid w:val="00FB7E65"/>
    <w:rsid w:val="00FB7EA2"/>
    <w:rsid w:val="00FB7F38"/>
    <w:rsid w:val="00FC0073"/>
    <w:rsid w:val="00FC0082"/>
    <w:rsid w:val="00FC009C"/>
    <w:rsid w:val="00FC0200"/>
    <w:rsid w:val="00FC0226"/>
    <w:rsid w:val="00FC022B"/>
    <w:rsid w:val="00FC029D"/>
    <w:rsid w:val="00FC0363"/>
    <w:rsid w:val="00FC03AA"/>
    <w:rsid w:val="00FC03AF"/>
    <w:rsid w:val="00FC05FD"/>
    <w:rsid w:val="00FC062F"/>
    <w:rsid w:val="00FC0749"/>
    <w:rsid w:val="00FC07B8"/>
    <w:rsid w:val="00FC0809"/>
    <w:rsid w:val="00FC087C"/>
    <w:rsid w:val="00FC08A7"/>
    <w:rsid w:val="00FC08D2"/>
    <w:rsid w:val="00FC0949"/>
    <w:rsid w:val="00FC0A3D"/>
    <w:rsid w:val="00FC0A8D"/>
    <w:rsid w:val="00FC0CDA"/>
    <w:rsid w:val="00FC0D7B"/>
    <w:rsid w:val="00FC0DC0"/>
    <w:rsid w:val="00FC0F5A"/>
    <w:rsid w:val="00FC1218"/>
    <w:rsid w:val="00FC1309"/>
    <w:rsid w:val="00FC158B"/>
    <w:rsid w:val="00FC1609"/>
    <w:rsid w:val="00FC1996"/>
    <w:rsid w:val="00FC1A2C"/>
    <w:rsid w:val="00FC1A6D"/>
    <w:rsid w:val="00FC1C26"/>
    <w:rsid w:val="00FC1D56"/>
    <w:rsid w:val="00FC1E0F"/>
    <w:rsid w:val="00FC1E8A"/>
    <w:rsid w:val="00FC1EA1"/>
    <w:rsid w:val="00FC1EA8"/>
    <w:rsid w:val="00FC1EB2"/>
    <w:rsid w:val="00FC1EE2"/>
    <w:rsid w:val="00FC201E"/>
    <w:rsid w:val="00FC2209"/>
    <w:rsid w:val="00FC2237"/>
    <w:rsid w:val="00FC22E5"/>
    <w:rsid w:val="00FC2713"/>
    <w:rsid w:val="00FC2772"/>
    <w:rsid w:val="00FC2875"/>
    <w:rsid w:val="00FC28F4"/>
    <w:rsid w:val="00FC2982"/>
    <w:rsid w:val="00FC2E3C"/>
    <w:rsid w:val="00FC2E84"/>
    <w:rsid w:val="00FC2F5C"/>
    <w:rsid w:val="00FC30F5"/>
    <w:rsid w:val="00FC314D"/>
    <w:rsid w:val="00FC3168"/>
    <w:rsid w:val="00FC3202"/>
    <w:rsid w:val="00FC3256"/>
    <w:rsid w:val="00FC327F"/>
    <w:rsid w:val="00FC3282"/>
    <w:rsid w:val="00FC3295"/>
    <w:rsid w:val="00FC3385"/>
    <w:rsid w:val="00FC3415"/>
    <w:rsid w:val="00FC3419"/>
    <w:rsid w:val="00FC34AB"/>
    <w:rsid w:val="00FC3645"/>
    <w:rsid w:val="00FC3695"/>
    <w:rsid w:val="00FC37AB"/>
    <w:rsid w:val="00FC3BAF"/>
    <w:rsid w:val="00FC3D28"/>
    <w:rsid w:val="00FC3D47"/>
    <w:rsid w:val="00FC3D58"/>
    <w:rsid w:val="00FC3D85"/>
    <w:rsid w:val="00FC3EAA"/>
    <w:rsid w:val="00FC3ED3"/>
    <w:rsid w:val="00FC400D"/>
    <w:rsid w:val="00FC4261"/>
    <w:rsid w:val="00FC43B7"/>
    <w:rsid w:val="00FC43D0"/>
    <w:rsid w:val="00FC452E"/>
    <w:rsid w:val="00FC4538"/>
    <w:rsid w:val="00FC457C"/>
    <w:rsid w:val="00FC4592"/>
    <w:rsid w:val="00FC45F6"/>
    <w:rsid w:val="00FC471D"/>
    <w:rsid w:val="00FC4736"/>
    <w:rsid w:val="00FC47AB"/>
    <w:rsid w:val="00FC47E4"/>
    <w:rsid w:val="00FC4A06"/>
    <w:rsid w:val="00FC4C5F"/>
    <w:rsid w:val="00FC4C65"/>
    <w:rsid w:val="00FC4D1B"/>
    <w:rsid w:val="00FC4D80"/>
    <w:rsid w:val="00FC4E26"/>
    <w:rsid w:val="00FC4ECB"/>
    <w:rsid w:val="00FC4F50"/>
    <w:rsid w:val="00FC5077"/>
    <w:rsid w:val="00FC515D"/>
    <w:rsid w:val="00FC53AA"/>
    <w:rsid w:val="00FC5475"/>
    <w:rsid w:val="00FC54E1"/>
    <w:rsid w:val="00FC5545"/>
    <w:rsid w:val="00FC5568"/>
    <w:rsid w:val="00FC5666"/>
    <w:rsid w:val="00FC5676"/>
    <w:rsid w:val="00FC571E"/>
    <w:rsid w:val="00FC57AC"/>
    <w:rsid w:val="00FC5AC0"/>
    <w:rsid w:val="00FC5AC6"/>
    <w:rsid w:val="00FC5D29"/>
    <w:rsid w:val="00FC5DBF"/>
    <w:rsid w:val="00FC5FD2"/>
    <w:rsid w:val="00FC603F"/>
    <w:rsid w:val="00FC617E"/>
    <w:rsid w:val="00FC61FE"/>
    <w:rsid w:val="00FC627C"/>
    <w:rsid w:val="00FC638C"/>
    <w:rsid w:val="00FC63CE"/>
    <w:rsid w:val="00FC6423"/>
    <w:rsid w:val="00FC64A6"/>
    <w:rsid w:val="00FC651C"/>
    <w:rsid w:val="00FC654C"/>
    <w:rsid w:val="00FC6644"/>
    <w:rsid w:val="00FC66F5"/>
    <w:rsid w:val="00FC6720"/>
    <w:rsid w:val="00FC6820"/>
    <w:rsid w:val="00FC68C2"/>
    <w:rsid w:val="00FC692C"/>
    <w:rsid w:val="00FC6949"/>
    <w:rsid w:val="00FC6965"/>
    <w:rsid w:val="00FC6B3E"/>
    <w:rsid w:val="00FC6B46"/>
    <w:rsid w:val="00FC7073"/>
    <w:rsid w:val="00FC70E8"/>
    <w:rsid w:val="00FC73B3"/>
    <w:rsid w:val="00FC757C"/>
    <w:rsid w:val="00FC7602"/>
    <w:rsid w:val="00FC7662"/>
    <w:rsid w:val="00FC7984"/>
    <w:rsid w:val="00FC7CC8"/>
    <w:rsid w:val="00FC7CD6"/>
    <w:rsid w:val="00FC7CDF"/>
    <w:rsid w:val="00FC7CF2"/>
    <w:rsid w:val="00FC7EF2"/>
    <w:rsid w:val="00FD05A9"/>
    <w:rsid w:val="00FD05AE"/>
    <w:rsid w:val="00FD0635"/>
    <w:rsid w:val="00FD0645"/>
    <w:rsid w:val="00FD06C8"/>
    <w:rsid w:val="00FD06D5"/>
    <w:rsid w:val="00FD0734"/>
    <w:rsid w:val="00FD0747"/>
    <w:rsid w:val="00FD0799"/>
    <w:rsid w:val="00FD07D4"/>
    <w:rsid w:val="00FD0B76"/>
    <w:rsid w:val="00FD0BC3"/>
    <w:rsid w:val="00FD0E18"/>
    <w:rsid w:val="00FD0E1B"/>
    <w:rsid w:val="00FD0EC6"/>
    <w:rsid w:val="00FD0F2D"/>
    <w:rsid w:val="00FD0F99"/>
    <w:rsid w:val="00FD10D0"/>
    <w:rsid w:val="00FD112E"/>
    <w:rsid w:val="00FD1239"/>
    <w:rsid w:val="00FD129C"/>
    <w:rsid w:val="00FD13CF"/>
    <w:rsid w:val="00FD14F6"/>
    <w:rsid w:val="00FD164D"/>
    <w:rsid w:val="00FD1681"/>
    <w:rsid w:val="00FD16AC"/>
    <w:rsid w:val="00FD170F"/>
    <w:rsid w:val="00FD1760"/>
    <w:rsid w:val="00FD1975"/>
    <w:rsid w:val="00FD1B38"/>
    <w:rsid w:val="00FD1B7B"/>
    <w:rsid w:val="00FD1C75"/>
    <w:rsid w:val="00FD1EE2"/>
    <w:rsid w:val="00FD1FC6"/>
    <w:rsid w:val="00FD2026"/>
    <w:rsid w:val="00FD217B"/>
    <w:rsid w:val="00FD2231"/>
    <w:rsid w:val="00FD22E8"/>
    <w:rsid w:val="00FD22F5"/>
    <w:rsid w:val="00FD23CC"/>
    <w:rsid w:val="00FD23E5"/>
    <w:rsid w:val="00FD2452"/>
    <w:rsid w:val="00FD2562"/>
    <w:rsid w:val="00FD2737"/>
    <w:rsid w:val="00FD2771"/>
    <w:rsid w:val="00FD2809"/>
    <w:rsid w:val="00FD2B5D"/>
    <w:rsid w:val="00FD2B92"/>
    <w:rsid w:val="00FD2C5A"/>
    <w:rsid w:val="00FD2C9D"/>
    <w:rsid w:val="00FD2D11"/>
    <w:rsid w:val="00FD2E53"/>
    <w:rsid w:val="00FD2E79"/>
    <w:rsid w:val="00FD2EBB"/>
    <w:rsid w:val="00FD31FC"/>
    <w:rsid w:val="00FD3590"/>
    <w:rsid w:val="00FD35B6"/>
    <w:rsid w:val="00FD35D0"/>
    <w:rsid w:val="00FD366D"/>
    <w:rsid w:val="00FD3720"/>
    <w:rsid w:val="00FD373A"/>
    <w:rsid w:val="00FD37C9"/>
    <w:rsid w:val="00FD38C8"/>
    <w:rsid w:val="00FD398F"/>
    <w:rsid w:val="00FD3AED"/>
    <w:rsid w:val="00FD3BCE"/>
    <w:rsid w:val="00FD3D1B"/>
    <w:rsid w:val="00FD4085"/>
    <w:rsid w:val="00FD43E6"/>
    <w:rsid w:val="00FD4415"/>
    <w:rsid w:val="00FD4453"/>
    <w:rsid w:val="00FD4581"/>
    <w:rsid w:val="00FD4597"/>
    <w:rsid w:val="00FD471B"/>
    <w:rsid w:val="00FD477B"/>
    <w:rsid w:val="00FD47E2"/>
    <w:rsid w:val="00FD47E4"/>
    <w:rsid w:val="00FD49A1"/>
    <w:rsid w:val="00FD49FD"/>
    <w:rsid w:val="00FD4A0B"/>
    <w:rsid w:val="00FD4AAA"/>
    <w:rsid w:val="00FD4B66"/>
    <w:rsid w:val="00FD4B94"/>
    <w:rsid w:val="00FD4C5F"/>
    <w:rsid w:val="00FD4CCE"/>
    <w:rsid w:val="00FD4DA7"/>
    <w:rsid w:val="00FD4DB1"/>
    <w:rsid w:val="00FD4DEB"/>
    <w:rsid w:val="00FD4E54"/>
    <w:rsid w:val="00FD4F4A"/>
    <w:rsid w:val="00FD5076"/>
    <w:rsid w:val="00FD50FD"/>
    <w:rsid w:val="00FD52CB"/>
    <w:rsid w:val="00FD5338"/>
    <w:rsid w:val="00FD549C"/>
    <w:rsid w:val="00FD565F"/>
    <w:rsid w:val="00FD57B7"/>
    <w:rsid w:val="00FD59EB"/>
    <w:rsid w:val="00FD5A35"/>
    <w:rsid w:val="00FD5BAE"/>
    <w:rsid w:val="00FD5E87"/>
    <w:rsid w:val="00FD5EA9"/>
    <w:rsid w:val="00FD5EAC"/>
    <w:rsid w:val="00FD5ED3"/>
    <w:rsid w:val="00FD5F14"/>
    <w:rsid w:val="00FD608A"/>
    <w:rsid w:val="00FD60B4"/>
    <w:rsid w:val="00FD6195"/>
    <w:rsid w:val="00FD64AB"/>
    <w:rsid w:val="00FD652A"/>
    <w:rsid w:val="00FD65CE"/>
    <w:rsid w:val="00FD6613"/>
    <w:rsid w:val="00FD671A"/>
    <w:rsid w:val="00FD6A04"/>
    <w:rsid w:val="00FD6CC0"/>
    <w:rsid w:val="00FD6DC5"/>
    <w:rsid w:val="00FD6E4A"/>
    <w:rsid w:val="00FD6F0C"/>
    <w:rsid w:val="00FD6FA3"/>
    <w:rsid w:val="00FD6FD1"/>
    <w:rsid w:val="00FD6FE0"/>
    <w:rsid w:val="00FD71CA"/>
    <w:rsid w:val="00FD7301"/>
    <w:rsid w:val="00FD7335"/>
    <w:rsid w:val="00FD7444"/>
    <w:rsid w:val="00FD75DB"/>
    <w:rsid w:val="00FD76B3"/>
    <w:rsid w:val="00FD771F"/>
    <w:rsid w:val="00FD78D0"/>
    <w:rsid w:val="00FD7973"/>
    <w:rsid w:val="00FD7A94"/>
    <w:rsid w:val="00FD7AAD"/>
    <w:rsid w:val="00FD7C36"/>
    <w:rsid w:val="00FD7C5C"/>
    <w:rsid w:val="00FD7CAF"/>
    <w:rsid w:val="00FD7E28"/>
    <w:rsid w:val="00FD7E3E"/>
    <w:rsid w:val="00FD7F51"/>
    <w:rsid w:val="00FE01B8"/>
    <w:rsid w:val="00FE01E1"/>
    <w:rsid w:val="00FE032A"/>
    <w:rsid w:val="00FE0422"/>
    <w:rsid w:val="00FE04F3"/>
    <w:rsid w:val="00FE0508"/>
    <w:rsid w:val="00FE0557"/>
    <w:rsid w:val="00FE0686"/>
    <w:rsid w:val="00FE0775"/>
    <w:rsid w:val="00FE0852"/>
    <w:rsid w:val="00FE0924"/>
    <w:rsid w:val="00FE0927"/>
    <w:rsid w:val="00FE0989"/>
    <w:rsid w:val="00FE098D"/>
    <w:rsid w:val="00FE09DB"/>
    <w:rsid w:val="00FE0B45"/>
    <w:rsid w:val="00FE0BCF"/>
    <w:rsid w:val="00FE0BED"/>
    <w:rsid w:val="00FE0C29"/>
    <w:rsid w:val="00FE0C35"/>
    <w:rsid w:val="00FE0C6F"/>
    <w:rsid w:val="00FE0D85"/>
    <w:rsid w:val="00FE0D8A"/>
    <w:rsid w:val="00FE0DF2"/>
    <w:rsid w:val="00FE0E2B"/>
    <w:rsid w:val="00FE0ED4"/>
    <w:rsid w:val="00FE1040"/>
    <w:rsid w:val="00FE1076"/>
    <w:rsid w:val="00FE11BD"/>
    <w:rsid w:val="00FE1BCA"/>
    <w:rsid w:val="00FE1D00"/>
    <w:rsid w:val="00FE1EAC"/>
    <w:rsid w:val="00FE202D"/>
    <w:rsid w:val="00FE206C"/>
    <w:rsid w:val="00FE20DB"/>
    <w:rsid w:val="00FE20E7"/>
    <w:rsid w:val="00FE229B"/>
    <w:rsid w:val="00FE2386"/>
    <w:rsid w:val="00FE238B"/>
    <w:rsid w:val="00FE248C"/>
    <w:rsid w:val="00FE2583"/>
    <w:rsid w:val="00FE2652"/>
    <w:rsid w:val="00FE297B"/>
    <w:rsid w:val="00FE2A18"/>
    <w:rsid w:val="00FE2A6B"/>
    <w:rsid w:val="00FE2AAF"/>
    <w:rsid w:val="00FE2B21"/>
    <w:rsid w:val="00FE2D96"/>
    <w:rsid w:val="00FE2DC0"/>
    <w:rsid w:val="00FE2F6C"/>
    <w:rsid w:val="00FE2F91"/>
    <w:rsid w:val="00FE31C4"/>
    <w:rsid w:val="00FE3271"/>
    <w:rsid w:val="00FE32DA"/>
    <w:rsid w:val="00FE32E6"/>
    <w:rsid w:val="00FE353E"/>
    <w:rsid w:val="00FE3707"/>
    <w:rsid w:val="00FE37D1"/>
    <w:rsid w:val="00FE37D6"/>
    <w:rsid w:val="00FE3848"/>
    <w:rsid w:val="00FE3975"/>
    <w:rsid w:val="00FE39AD"/>
    <w:rsid w:val="00FE3A57"/>
    <w:rsid w:val="00FE3D16"/>
    <w:rsid w:val="00FE3D26"/>
    <w:rsid w:val="00FE3DD9"/>
    <w:rsid w:val="00FE3F14"/>
    <w:rsid w:val="00FE3F5E"/>
    <w:rsid w:val="00FE401F"/>
    <w:rsid w:val="00FE40DD"/>
    <w:rsid w:val="00FE412C"/>
    <w:rsid w:val="00FE41C1"/>
    <w:rsid w:val="00FE41DF"/>
    <w:rsid w:val="00FE420E"/>
    <w:rsid w:val="00FE4220"/>
    <w:rsid w:val="00FE4253"/>
    <w:rsid w:val="00FE431C"/>
    <w:rsid w:val="00FE43A5"/>
    <w:rsid w:val="00FE43C0"/>
    <w:rsid w:val="00FE4684"/>
    <w:rsid w:val="00FE4857"/>
    <w:rsid w:val="00FE4927"/>
    <w:rsid w:val="00FE4AA4"/>
    <w:rsid w:val="00FE4AA6"/>
    <w:rsid w:val="00FE4C0B"/>
    <w:rsid w:val="00FE4D36"/>
    <w:rsid w:val="00FE4E0B"/>
    <w:rsid w:val="00FE4F44"/>
    <w:rsid w:val="00FE4F5D"/>
    <w:rsid w:val="00FE4FB9"/>
    <w:rsid w:val="00FE4FE2"/>
    <w:rsid w:val="00FE50D1"/>
    <w:rsid w:val="00FE5269"/>
    <w:rsid w:val="00FE5300"/>
    <w:rsid w:val="00FE5457"/>
    <w:rsid w:val="00FE54F7"/>
    <w:rsid w:val="00FE5627"/>
    <w:rsid w:val="00FE5719"/>
    <w:rsid w:val="00FE578A"/>
    <w:rsid w:val="00FE589D"/>
    <w:rsid w:val="00FE58C9"/>
    <w:rsid w:val="00FE5925"/>
    <w:rsid w:val="00FE5B36"/>
    <w:rsid w:val="00FE5C0B"/>
    <w:rsid w:val="00FE5DB2"/>
    <w:rsid w:val="00FE5E12"/>
    <w:rsid w:val="00FE5ECD"/>
    <w:rsid w:val="00FE5ED2"/>
    <w:rsid w:val="00FE5ED5"/>
    <w:rsid w:val="00FE5FA6"/>
    <w:rsid w:val="00FE6035"/>
    <w:rsid w:val="00FE62BF"/>
    <w:rsid w:val="00FE65D0"/>
    <w:rsid w:val="00FE6673"/>
    <w:rsid w:val="00FE66C1"/>
    <w:rsid w:val="00FE6704"/>
    <w:rsid w:val="00FE6955"/>
    <w:rsid w:val="00FE6A18"/>
    <w:rsid w:val="00FE6A33"/>
    <w:rsid w:val="00FE6A37"/>
    <w:rsid w:val="00FE6BC8"/>
    <w:rsid w:val="00FE6BDF"/>
    <w:rsid w:val="00FE6C75"/>
    <w:rsid w:val="00FE6C7D"/>
    <w:rsid w:val="00FE6D4E"/>
    <w:rsid w:val="00FE6E36"/>
    <w:rsid w:val="00FE6E90"/>
    <w:rsid w:val="00FE718D"/>
    <w:rsid w:val="00FE7244"/>
    <w:rsid w:val="00FE7274"/>
    <w:rsid w:val="00FE7381"/>
    <w:rsid w:val="00FE74A4"/>
    <w:rsid w:val="00FE783D"/>
    <w:rsid w:val="00FE784B"/>
    <w:rsid w:val="00FE7951"/>
    <w:rsid w:val="00FE799C"/>
    <w:rsid w:val="00FE79C0"/>
    <w:rsid w:val="00FE7B7E"/>
    <w:rsid w:val="00FE7BAA"/>
    <w:rsid w:val="00FE7C36"/>
    <w:rsid w:val="00FE7C67"/>
    <w:rsid w:val="00FE7CD9"/>
    <w:rsid w:val="00FE7E58"/>
    <w:rsid w:val="00FE7F84"/>
    <w:rsid w:val="00FE7F89"/>
    <w:rsid w:val="00FF01C0"/>
    <w:rsid w:val="00FF0262"/>
    <w:rsid w:val="00FF0290"/>
    <w:rsid w:val="00FF0413"/>
    <w:rsid w:val="00FF04F5"/>
    <w:rsid w:val="00FF0547"/>
    <w:rsid w:val="00FF06B4"/>
    <w:rsid w:val="00FF0773"/>
    <w:rsid w:val="00FF08F1"/>
    <w:rsid w:val="00FF09CF"/>
    <w:rsid w:val="00FF0A0F"/>
    <w:rsid w:val="00FF0A8C"/>
    <w:rsid w:val="00FF0B2B"/>
    <w:rsid w:val="00FF0B42"/>
    <w:rsid w:val="00FF0B66"/>
    <w:rsid w:val="00FF0D63"/>
    <w:rsid w:val="00FF0E8F"/>
    <w:rsid w:val="00FF0FAE"/>
    <w:rsid w:val="00FF0FCA"/>
    <w:rsid w:val="00FF1120"/>
    <w:rsid w:val="00FF11A6"/>
    <w:rsid w:val="00FF1336"/>
    <w:rsid w:val="00FF1387"/>
    <w:rsid w:val="00FF13FF"/>
    <w:rsid w:val="00FF142A"/>
    <w:rsid w:val="00FF1568"/>
    <w:rsid w:val="00FF16AB"/>
    <w:rsid w:val="00FF17ED"/>
    <w:rsid w:val="00FF1809"/>
    <w:rsid w:val="00FF1982"/>
    <w:rsid w:val="00FF1A66"/>
    <w:rsid w:val="00FF1A8F"/>
    <w:rsid w:val="00FF1B02"/>
    <w:rsid w:val="00FF1B10"/>
    <w:rsid w:val="00FF1B18"/>
    <w:rsid w:val="00FF1B6D"/>
    <w:rsid w:val="00FF1FFD"/>
    <w:rsid w:val="00FF2011"/>
    <w:rsid w:val="00FF2031"/>
    <w:rsid w:val="00FF2047"/>
    <w:rsid w:val="00FF20A9"/>
    <w:rsid w:val="00FF2159"/>
    <w:rsid w:val="00FF224C"/>
    <w:rsid w:val="00FF23F5"/>
    <w:rsid w:val="00FF23F6"/>
    <w:rsid w:val="00FF248F"/>
    <w:rsid w:val="00FF24A4"/>
    <w:rsid w:val="00FF24E2"/>
    <w:rsid w:val="00FF2711"/>
    <w:rsid w:val="00FF27E7"/>
    <w:rsid w:val="00FF2879"/>
    <w:rsid w:val="00FF29B4"/>
    <w:rsid w:val="00FF2A14"/>
    <w:rsid w:val="00FF2C75"/>
    <w:rsid w:val="00FF2D29"/>
    <w:rsid w:val="00FF2EB1"/>
    <w:rsid w:val="00FF2EB7"/>
    <w:rsid w:val="00FF318A"/>
    <w:rsid w:val="00FF31BD"/>
    <w:rsid w:val="00FF31D5"/>
    <w:rsid w:val="00FF332D"/>
    <w:rsid w:val="00FF346F"/>
    <w:rsid w:val="00FF34A7"/>
    <w:rsid w:val="00FF34D6"/>
    <w:rsid w:val="00FF3652"/>
    <w:rsid w:val="00FF36E5"/>
    <w:rsid w:val="00FF3713"/>
    <w:rsid w:val="00FF3808"/>
    <w:rsid w:val="00FF380A"/>
    <w:rsid w:val="00FF38B3"/>
    <w:rsid w:val="00FF393E"/>
    <w:rsid w:val="00FF39E6"/>
    <w:rsid w:val="00FF39FC"/>
    <w:rsid w:val="00FF3A9D"/>
    <w:rsid w:val="00FF3B26"/>
    <w:rsid w:val="00FF3CA1"/>
    <w:rsid w:val="00FF3CDB"/>
    <w:rsid w:val="00FF3CFE"/>
    <w:rsid w:val="00FF3D16"/>
    <w:rsid w:val="00FF3D49"/>
    <w:rsid w:val="00FF3DC4"/>
    <w:rsid w:val="00FF41C1"/>
    <w:rsid w:val="00FF41E0"/>
    <w:rsid w:val="00FF4223"/>
    <w:rsid w:val="00FF4253"/>
    <w:rsid w:val="00FF4300"/>
    <w:rsid w:val="00FF43CB"/>
    <w:rsid w:val="00FF4417"/>
    <w:rsid w:val="00FF442A"/>
    <w:rsid w:val="00FF468C"/>
    <w:rsid w:val="00FF482D"/>
    <w:rsid w:val="00FF485F"/>
    <w:rsid w:val="00FF48D2"/>
    <w:rsid w:val="00FF4902"/>
    <w:rsid w:val="00FF4944"/>
    <w:rsid w:val="00FF4982"/>
    <w:rsid w:val="00FF4A09"/>
    <w:rsid w:val="00FF4CB3"/>
    <w:rsid w:val="00FF4CFB"/>
    <w:rsid w:val="00FF4D34"/>
    <w:rsid w:val="00FF4D88"/>
    <w:rsid w:val="00FF4EF4"/>
    <w:rsid w:val="00FF504A"/>
    <w:rsid w:val="00FF50B4"/>
    <w:rsid w:val="00FF5102"/>
    <w:rsid w:val="00FF511E"/>
    <w:rsid w:val="00FF5393"/>
    <w:rsid w:val="00FF53AB"/>
    <w:rsid w:val="00FF543D"/>
    <w:rsid w:val="00FF5458"/>
    <w:rsid w:val="00FF5622"/>
    <w:rsid w:val="00FF56C4"/>
    <w:rsid w:val="00FF577C"/>
    <w:rsid w:val="00FF57FC"/>
    <w:rsid w:val="00FF5830"/>
    <w:rsid w:val="00FF5863"/>
    <w:rsid w:val="00FF5D3C"/>
    <w:rsid w:val="00FF5D7D"/>
    <w:rsid w:val="00FF5D8B"/>
    <w:rsid w:val="00FF5FB8"/>
    <w:rsid w:val="00FF6187"/>
    <w:rsid w:val="00FF6360"/>
    <w:rsid w:val="00FF640C"/>
    <w:rsid w:val="00FF6575"/>
    <w:rsid w:val="00FF682A"/>
    <w:rsid w:val="00FF6922"/>
    <w:rsid w:val="00FF6994"/>
    <w:rsid w:val="00FF6B28"/>
    <w:rsid w:val="00FF6B9A"/>
    <w:rsid w:val="00FF6BB6"/>
    <w:rsid w:val="00FF6D76"/>
    <w:rsid w:val="00FF6E54"/>
    <w:rsid w:val="00FF6ED1"/>
    <w:rsid w:val="00FF6F03"/>
    <w:rsid w:val="00FF6F83"/>
    <w:rsid w:val="00FF6F88"/>
    <w:rsid w:val="00FF6FD2"/>
    <w:rsid w:val="00FF7057"/>
    <w:rsid w:val="00FF706C"/>
    <w:rsid w:val="00FF70A7"/>
    <w:rsid w:val="00FF7250"/>
    <w:rsid w:val="00FF732C"/>
    <w:rsid w:val="00FF739A"/>
    <w:rsid w:val="00FF74BC"/>
    <w:rsid w:val="00FF7522"/>
    <w:rsid w:val="00FF75E4"/>
    <w:rsid w:val="00FF75EC"/>
    <w:rsid w:val="00FF766B"/>
    <w:rsid w:val="00FF7773"/>
    <w:rsid w:val="00FF7780"/>
    <w:rsid w:val="00FF7786"/>
    <w:rsid w:val="00FF77E7"/>
    <w:rsid w:val="00FF7932"/>
    <w:rsid w:val="00FF79A2"/>
    <w:rsid w:val="00FF7A76"/>
    <w:rsid w:val="00FF7B2D"/>
    <w:rsid w:val="00FF7B44"/>
    <w:rsid w:val="00FF7CF8"/>
    <w:rsid w:val="00FF7DE4"/>
    <w:rsid w:val="00FF7E35"/>
    <w:rsid w:val="00FF7F95"/>
    <w:rsid w:val="00FF7FD8"/>
    <w:rsid w:val="0113F5B3"/>
    <w:rsid w:val="012610A1"/>
    <w:rsid w:val="0147E0D8"/>
    <w:rsid w:val="014CDBE5"/>
    <w:rsid w:val="015B8A63"/>
    <w:rsid w:val="017C6EE0"/>
    <w:rsid w:val="01C6F827"/>
    <w:rsid w:val="01D6A00D"/>
    <w:rsid w:val="01E4C312"/>
    <w:rsid w:val="02213FA6"/>
    <w:rsid w:val="0227D6B5"/>
    <w:rsid w:val="0266C764"/>
    <w:rsid w:val="02A26E04"/>
    <w:rsid w:val="02EFC1E1"/>
    <w:rsid w:val="02F48E9C"/>
    <w:rsid w:val="03128330"/>
    <w:rsid w:val="03172197"/>
    <w:rsid w:val="033035E5"/>
    <w:rsid w:val="03697D37"/>
    <w:rsid w:val="038DCC41"/>
    <w:rsid w:val="038E1B3E"/>
    <w:rsid w:val="039A46B8"/>
    <w:rsid w:val="03BBDB67"/>
    <w:rsid w:val="03BCB12E"/>
    <w:rsid w:val="03F6D31E"/>
    <w:rsid w:val="041DE02E"/>
    <w:rsid w:val="043A8D22"/>
    <w:rsid w:val="043BF634"/>
    <w:rsid w:val="04672CFB"/>
    <w:rsid w:val="046C3F3D"/>
    <w:rsid w:val="0475B07F"/>
    <w:rsid w:val="047BDF94"/>
    <w:rsid w:val="0492A1A0"/>
    <w:rsid w:val="04A467EE"/>
    <w:rsid w:val="04C5F94E"/>
    <w:rsid w:val="04CCFD2C"/>
    <w:rsid w:val="04DA8C39"/>
    <w:rsid w:val="04DC0385"/>
    <w:rsid w:val="04F88477"/>
    <w:rsid w:val="05609180"/>
    <w:rsid w:val="05857B04"/>
    <w:rsid w:val="05931580"/>
    <w:rsid w:val="05A03D2D"/>
    <w:rsid w:val="05A1D8EB"/>
    <w:rsid w:val="05A7592E"/>
    <w:rsid w:val="05BE8757"/>
    <w:rsid w:val="05C4AD47"/>
    <w:rsid w:val="05CE90FC"/>
    <w:rsid w:val="05D1283E"/>
    <w:rsid w:val="05D37EA2"/>
    <w:rsid w:val="0604A688"/>
    <w:rsid w:val="0622A4AE"/>
    <w:rsid w:val="063CF821"/>
    <w:rsid w:val="0644F1F0"/>
    <w:rsid w:val="064753A7"/>
    <w:rsid w:val="066389A6"/>
    <w:rsid w:val="067D2EBF"/>
    <w:rsid w:val="0685FFF3"/>
    <w:rsid w:val="069613DA"/>
    <w:rsid w:val="06B21B21"/>
    <w:rsid w:val="06C2456E"/>
    <w:rsid w:val="06D5D19E"/>
    <w:rsid w:val="07034EE0"/>
    <w:rsid w:val="070DB559"/>
    <w:rsid w:val="071D697D"/>
    <w:rsid w:val="072925D0"/>
    <w:rsid w:val="0740EEF3"/>
    <w:rsid w:val="07788A3B"/>
    <w:rsid w:val="0784EAE4"/>
    <w:rsid w:val="0793FB07"/>
    <w:rsid w:val="07E5B79F"/>
    <w:rsid w:val="07F2F056"/>
    <w:rsid w:val="07F96300"/>
    <w:rsid w:val="084570FB"/>
    <w:rsid w:val="0845C50C"/>
    <w:rsid w:val="0859CAE1"/>
    <w:rsid w:val="086D5AB5"/>
    <w:rsid w:val="08801F53"/>
    <w:rsid w:val="089AF546"/>
    <w:rsid w:val="08B10F34"/>
    <w:rsid w:val="08D0035C"/>
    <w:rsid w:val="08DD9F00"/>
    <w:rsid w:val="08EEC1EE"/>
    <w:rsid w:val="0909CDF1"/>
    <w:rsid w:val="091D40C8"/>
    <w:rsid w:val="09272315"/>
    <w:rsid w:val="096D8F7B"/>
    <w:rsid w:val="096E0018"/>
    <w:rsid w:val="097CD770"/>
    <w:rsid w:val="09863103"/>
    <w:rsid w:val="09A5529D"/>
    <w:rsid w:val="09B9BB09"/>
    <w:rsid w:val="09CF231F"/>
    <w:rsid w:val="09FFAAB3"/>
    <w:rsid w:val="0A70AB3A"/>
    <w:rsid w:val="0A747DFA"/>
    <w:rsid w:val="0A8499A9"/>
    <w:rsid w:val="0AA46EF4"/>
    <w:rsid w:val="0AAD5CC2"/>
    <w:rsid w:val="0AB46269"/>
    <w:rsid w:val="0AB77C07"/>
    <w:rsid w:val="0ACA9C96"/>
    <w:rsid w:val="0AF8F153"/>
    <w:rsid w:val="0B25F6B7"/>
    <w:rsid w:val="0B64D8DB"/>
    <w:rsid w:val="0B666A98"/>
    <w:rsid w:val="0BA49CFB"/>
    <w:rsid w:val="0BB28C53"/>
    <w:rsid w:val="0BE7049E"/>
    <w:rsid w:val="0C03B297"/>
    <w:rsid w:val="0C1E7C38"/>
    <w:rsid w:val="0C25B7E1"/>
    <w:rsid w:val="0C373747"/>
    <w:rsid w:val="0C5171D2"/>
    <w:rsid w:val="0C846475"/>
    <w:rsid w:val="0CA4FF2D"/>
    <w:rsid w:val="0CED542C"/>
    <w:rsid w:val="0CF055D5"/>
    <w:rsid w:val="0D17A5C5"/>
    <w:rsid w:val="0D1D2B95"/>
    <w:rsid w:val="0D294D24"/>
    <w:rsid w:val="0D69871C"/>
    <w:rsid w:val="0D74BF5D"/>
    <w:rsid w:val="0D752737"/>
    <w:rsid w:val="0DA9A001"/>
    <w:rsid w:val="0DEB018E"/>
    <w:rsid w:val="0DF0EC0E"/>
    <w:rsid w:val="0E034C9E"/>
    <w:rsid w:val="0E349B21"/>
    <w:rsid w:val="0E378737"/>
    <w:rsid w:val="0E61BD1A"/>
    <w:rsid w:val="0EA03555"/>
    <w:rsid w:val="0ED1F7C6"/>
    <w:rsid w:val="0EDAB371"/>
    <w:rsid w:val="0F05B251"/>
    <w:rsid w:val="0F0B7A3C"/>
    <w:rsid w:val="0FBD1BAA"/>
    <w:rsid w:val="0FBFF95A"/>
    <w:rsid w:val="0FC743B9"/>
    <w:rsid w:val="0FC96238"/>
    <w:rsid w:val="0FDC913F"/>
    <w:rsid w:val="0FEFE8FE"/>
    <w:rsid w:val="0FF60BA0"/>
    <w:rsid w:val="100C518E"/>
    <w:rsid w:val="1013A3ED"/>
    <w:rsid w:val="1056750B"/>
    <w:rsid w:val="1065DFC2"/>
    <w:rsid w:val="108CEE3B"/>
    <w:rsid w:val="109AEBBE"/>
    <w:rsid w:val="10B15F1B"/>
    <w:rsid w:val="115D1675"/>
    <w:rsid w:val="115E2254"/>
    <w:rsid w:val="11653CB4"/>
    <w:rsid w:val="117CD2BA"/>
    <w:rsid w:val="11849F31"/>
    <w:rsid w:val="1199BB41"/>
    <w:rsid w:val="11AB0C2C"/>
    <w:rsid w:val="11C36EBB"/>
    <w:rsid w:val="11D4042F"/>
    <w:rsid w:val="11EEEAE7"/>
    <w:rsid w:val="11F86EBA"/>
    <w:rsid w:val="11FDD4DE"/>
    <w:rsid w:val="1201124E"/>
    <w:rsid w:val="1209308F"/>
    <w:rsid w:val="1256748F"/>
    <w:rsid w:val="12639EAE"/>
    <w:rsid w:val="12659601"/>
    <w:rsid w:val="126D5B43"/>
    <w:rsid w:val="129AE69F"/>
    <w:rsid w:val="1307F672"/>
    <w:rsid w:val="13835671"/>
    <w:rsid w:val="138C2DF1"/>
    <w:rsid w:val="1391D49C"/>
    <w:rsid w:val="13C0A9BC"/>
    <w:rsid w:val="13E00610"/>
    <w:rsid w:val="140811EC"/>
    <w:rsid w:val="142D6AFE"/>
    <w:rsid w:val="14579C7B"/>
    <w:rsid w:val="14A42AFF"/>
    <w:rsid w:val="14C3F568"/>
    <w:rsid w:val="14D46D16"/>
    <w:rsid w:val="152F2E61"/>
    <w:rsid w:val="153A1446"/>
    <w:rsid w:val="155EFE25"/>
    <w:rsid w:val="15A0724A"/>
    <w:rsid w:val="15B29E46"/>
    <w:rsid w:val="15E1C98A"/>
    <w:rsid w:val="160581C8"/>
    <w:rsid w:val="1620843F"/>
    <w:rsid w:val="1640CB9A"/>
    <w:rsid w:val="1650B865"/>
    <w:rsid w:val="165AED51"/>
    <w:rsid w:val="1667531A"/>
    <w:rsid w:val="1679A001"/>
    <w:rsid w:val="168BAC29"/>
    <w:rsid w:val="16B3211E"/>
    <w:rsid w:val="16BA221C"/>
    <w:rsid w:val="16BE24DE"/>
    <w:rsid w:val="16E94509"/>
    <w:rsid w:val="16EEB86F"/>
    <w:rsid w:val="170A65B6"/>
    <w:rsid w:val="17188A01"/>
    <w:rsid w:val="17232FED"/>
    <w:rsid w:val="175254F7"/>
    <w:rsid w:val="1752B68F"/>
    <w:rsid w:val="1753F026"/>
    <w:rsid w:val="17743074"/>
    <w:rsid w:val="178965C2"/>
    <w:rsid w:val="179DCFBD"/>
    <w:rsid w:val="17AFC1F6"/>
    <w:rsid w:val="17CA57F8"/>
    <w:rsid w:val="17D42614"/>
    <w:rsid w:val="182AA005"/>
    <w:rsid w:val="184F4A16"/>
    <w:rsid w:val="18526D49"/>
    <w:rsid w:val="186F5132"/>
    <w:rsid w:val="18877835"/>
    <w:rsid w:val="18A7EB88"/>
    <w:rsid w:val="18B0E722"/>
    <w:rsid w:val="18B70CB9"/>
    <w:rsid w:val="18B98A6A"/>
    <w:rsid w:val="18C15CCA"/>
    <w:rsid w:val="18C5C65A"/>
    <w:rsid w:val="18DB8954"/>
    <w:rsid w:val="18DFB751"/>
    <w:rsid w:val="18E6803F"/>
    <w:rsid w:val="18FBBCC4"/>
    <w:rsid w:val="190909FB"/>
    <w:rsid w:val="190BEBF3"/>
    <w:rsid w:val="19265A8D"/>
    <w:rsid w:val="194D85F9"/>
    <w:rsid w:val="195A9AF0"/>
    <w:rsid w:val="195B0145"/>
    <w:rsid w:val="19669E9B"/>
    <w:rsid w:val="197CF1F0"/>
    <w:rsid w:val="19A19BEC"/>
    <w:rsid w:val="19D28EC7"/>
    <w:rsid w:val="19DEB6B2"/>
    <w:rsid w:val="19E53E40"/>
    <w:rsid w:val="19FAF5AD"/>
    <w:rsid w:val="1A14A186"/>
    <w:rsid w:val="1A204527"/>
    <w:rsid w:val="1A2CDCB1"/>
    <w:rsid w:val="1A406E3B"/>
    <w:rsid w:val="1A4892D5"/>
    <w:rsid w:val="1A4C077F"/>
    <w:rsid w:val="1A66B399"/>
    <w:rsid w:val="1A9B9AA9"/>
    <w:rsid w:val="1AA9192A"/>
    <w:rsid w:val="1AC11447"/>
    <w:rsid w:val="1AC9821A"/>
    <w:rsid w:val="1ADC4727"/>
    <w:rsid w:val="1ADF4872"/>
    <w:rsid w:val="1AF6457E"/>
    <w:rsid w:val="1AFF9AC7"/>
    <w:rsid w:val="1B033DBE"/>
    <w:rsid w:val="1B04C4B3"/>
    <w:rsid w:val="1B0D7645"/>
    <w:rsid w:val="1B0FDC8D"/>
    <w:rsid w:val="1B262477"/>
    <w:rsid w:val="1B36E477"/>
    <w:rsid w:val="1BB88652"/>
    <w:rsid w:val="1BD8521D"/>
    <w:rsid w:val="1BD8744F"/>
    <w:rsid w:val="1BDD4670"/>
    <w:rsid w:val="1BEA46C5"/>
    <w:rsid w:val="1BFB7E29"/>
    <w:rsid w:val="1C1086AA"/>
    <w:rsid w:val="1C160803"/>
    <w:rsid w:val="1C562D22"/>
    <w:rsid w:val="1C626545"/>
    <w:rsid w:val="1C67B3DF"/>
    <w:rsid w:val="1CAFE2FC"/>
    <w:rsid w:val="1D11582C"/>
    <w:rsid w:val="1D1E0029"/>
    <w:rsid w:val="1D23294B"/>
    <w:rsid w:val="1D263548"/>
    <w:rsid w:val="1D49E84C"/>
    <w:rsid w:val="1D4A688C"/>
    <w:rsid w:val="1D5D91B2"/>
    <w:rsid w:val="1D6AC1ED"/>
    <w:rsid w:val="1D8DECFC"/>
    <w:rsid w:val="1DAE4564"/>
    <w:rsid w:val="1DAF5F3D"/>
    <w:rsid w:val="1DC858D0"/>
    <w:rsid w:val="1DD0303A"/>
    <w:rsid w:val="1DF11FC4"/>
    <w:rsid w:val="1E0B4F44"/>
    <w:rsid w:val="1E0BDA48"/>
    <w:rsid w:val="1E2E4DB5"/>
    <w:rsid w:val="1E4FEDB9"/>
    <w:rsid w:val="1E7AEE13"/>
    <w:rsid w:val="1E7B401C"/>
    <w:rsid w:val="1E83CF24"/>
    <w:rsid w:val="1E8B0121"/>
    <w:rsid w:val="1EC5CBCB"/>
    <w:rsid w:val="1EC89530"/>
    <w:rsid w:val="1EFE3ED3"/>
    <w:rsid w:val="1EFFA4C1"/>
    <w:rsid w:val="1F119B81"/>
    <w:rsid w:val="1F18B900"/>
    <w:rsid w:val="1F190F86"/>
    <w:rsid w:val="1F26D21D"/>
    <w:rsid w:val="1F4E542A"/>
    <w:rsid w:val="1F51701E"/>
    <w:rsid w:val="1F6E4D89"/>
    <w:rsid w:val="1F7FDA92"/>
    <w:rsid w:val="1F9473F1"/>
    <w:rsid w:val="1FB72CEF"/>
    <w:rsid w:val="1FF049D0"/>
    <w:rsid w:val="1FFBC319"/>
    <w:rsid w:val="2004238C"/>
    <w:rsid w:val="2005CB4F"/>
    <w:rsid w:val="2038E91F"/>
    <w:rsid w:val="204767EB"/>
    <w:rsid w:val="206FCC3E"/>
    <w:rsid w:val="20835F23"/>
    <w:rsid w:val="20BEA412"/>
    <w:rsid w:val="20CFFFF9"/>
    <w:rsid w:val="2109F565"/>
    <w:rsid w:val="211B0285"/>
    <w:rsid w:val="212FEED9"/>
    <w:rsid w:val="21377D01"/>
    <w:rsid w:val="2144C948"/>
    <w:rsid w:val="21750363"/>
    <w:rsid w:val="2176BECA"/>
    <w:rsid w:val="2198E8BD"/>
    <w:rsid w:val="21B402E3"/>
    <w:rsid w:val="21B8BFC9"/>
    <w:rsid w:val="21BE573C"/>
    <w:rsid w:val="21CAC496"/>
    <w:rsid w:val="222865CE"/>
    <w:rsid w:val="2233D4D5"/>
    <w:rsid w:val="2264F851"/>
    <w:rsid w:val="2277A5E5"/>
    <w:rsid w:val="229224EA"/>
    <w:rsid w:val="22A4A8A4"/>
    <w:rsid w:val="22B6E184"/>
    <w:rsid w:val="22BA23B6"/>
    <w:rsid w:val="22F41E8C"/>
    <w:rsid w:val="23014E83"/>
    <w:rsid w:val="23234A58"/>
    <w:rsid w:val="234F43E1"/>
    <w:rsid w:val="235D54A5"/>
    <w:rsid w:val="23B5FC75"/>
    <w:rsid w:val="23E3E252"/>
    <w:rsid w:val="2410145A"/>
    <w:rsid w:val="24109B2E"/>
    <w:rsid w:val="247B32F6"/>
    <w:rsid w:val="2489FCDB"/>
    <w:rsid w:val="24B160C9"/>
    <w:rsid w:val="2508E097"/>
    <w:rsid w:val="2509F63D"/>
    <w:rsid w:val="2513CD76"/>
    <w:rsid w:val="251C662C"/>
    <w:rsid w:val="25E43E13"/>
    <w:rsid w:val="2612B5F6"/>
    <w:rsid w:val="26176CE7"/>
    <w:rsid w:val="26236A6A"/>
    <w:rsid w:val="26312AEF"/>
    <w:rsid w:val="2633D3FA"/>
    <w:rsid w:val="2685F536"/>
    <w:rsid w:val="268C2EA2"/>
    <w:rsid w:val="2697035B"/>
    <w:rsid w:val="26A450F5"/>
    <w:rsid w:val="26C6F377"/>
    <w:rsid w:val="26CBE6FE"/>
    <w:rsid w:val="26CFA29F"/>
    <w:rsid w:val="271FB3BF"/>
    <w:rsid w:val="27288853"/>
    <w:rsid w:val="2741F548"/>
    <w:rsid w:val="277EA497"/>
    <w:rsid w:val="2783E55F"/>
    <w:rsid w:val="27879283"/>
    <w:rsid w:val="279D3947"/>
    <w:rsid w:val="27AFFADB"/>
    <w:rsid w:val="27FF0352"/>
    <w:rsid w:val="280DC9B6"/>
    <w:rsid w:val="2813BFDC"/>
    <w:rsid w:val="283E039C"/>
    <w:rsid w:val="284F5A30"/>
    <w:rsid w:val="286C1BB3"/>
    <w:rsid w:val="28771EA5"/>
    <w:rsid w:val="287D6C0F"/>
    <w:rsid w:val="28A1E064"/>
    <w:rsid w:val="28E1168A"/>
    <w:rsid w:val="28F6BF56"/>
    <w:rsid w:val="291BC28C"/>
    <w:rsid w:val="292B1625"/>
    <w:rsid w:val="292E62E2"/>
    <w:rsid w:val="2930A606"/>
    <w:rsid w:val="29453E85"/>
    <w:rsid w:val="2984B228"/>
    <w:rsid w:val="29A9053A"/>
    <w:rsid w:val="29DC7689"/>
    <w:rsid w:val="29DCB3D2"/>
    <w:rsid w:val="29DE2665"/>
    <w:rsid w:val="29E26C76"/>
    <w:rsid w:val="2A20BC98"/>
    <w:rsid w:val="2A2DBBAB"/>
    <w:rsid w:val="2A7A6C0D"/>
    <w:rsid w:val="2A9BA246"/>
    <w:rsid w:val="2AC6E7DC"/>
    <w:rsid w:val="2AD997C5"/>
    <w:rsid w:val="2B02336F"/>
    <w:rsid w:val="2B09FF82"/>
    <w:rsid w:val="2B0DD1B1"/>
    <w:rsid w:val="2B0F76A6"/>
    <w:rsid w:val="2B27911D"/>
    <w:rsid w:val="2B2B5E66"/>
    <w:rsid w:val="2B413B06"/>
    <w:rsid w:val="2B7C5482"/>
    <w:rsid w:val="2B7FB05A"/>
    <w:rsid w:val="2C0B8121"/>
    <w:rsid w:val="2C18D6A4"/>
    <w:rsid w:val="2C1F613C"/>
    <w:rsid w:val="2C77B113"/>
    <w:rsid w:val="2CACD897"/>
    <w:rsid w:val="2CAF9B18"/>
    <w:rsid w:val="2CE0DE64"/>
    <w:rsid w:val="2CFE28D8"/>
    <w:rsid w:val="2D0643EC"/>
    <w:rsid w:val="2D302F04"/>
    <w:rsid w:val="2D37DC75"/>
    <w:rsid w:val="2D5C3FB5"/>
    <w:rsid w:val="2D91C777"/>
    <w:rsid w:val="2DD5F07B"/>
    <w:rsid w:val="2E09C216"/>
    <w:rsid w:val="2E19163D"/>
    <w:rsid w:val="2E3FB3D3"/>
    <w:rsid w:val="2E4BF352"/>
    <w:rsid w:val="2E55AA68"/>
    <w:rsid w:val="2E566E36"/>
    <w:rsid w:val="2E6976D4"/>
    <w:rsid w:val="2E834D42"/>
    <w:rsid w:val="2E9956EE"/>
    <w:rsid w:val="2EACA445"/>
    <w:rsid w:val="2ECE3719"/>
    <w:rsid w:val="2EE30365"/>
    <w:rsid w:val="2EEDCB45"/>
    <w:rsid w:val="2F2045C4"/>
    <w:rsid w:val="2F3F13C9"/>
    <w:rsid w:val="2F749F62"/>
    <w:rsid w:val="2F7EB412"/>
    <w:rsid w:val="2FC75AC6"/>
    <w:rsid w:val="2FCD6F13"/>
    <w:rsid w:val="2FD14936"/>
    <w:rsid w:val="2FEAC90C"/>
    <w:rsid w:val="3000C1F5"/>
    <w:rsid w:val="30279C72"/>
    <w:rsid w:val="303A80CA"/>
    <w:rsid w:val="3099BE9D"/>
    <w:rsid w:val="309F9134"/>
    <w:rsid w:val="30EC9FBF"/>
    <w:rsid w:val="3147CBF3"/>
    <w:rsid w:val="31509B1D"/>
    <w:rsid w:val="319D443F"/>
    <w:rsid w:val="31C811BB"/>
    <w:rsid w:val="31C87592"/>
    <w:rsid w:val="31F20C33"/>
    <w:rsid w:val="32265C2A"/>
    <w:rsid w:val="322941D5"/>
    <w:rsid w:val="322DC13A"/>
    <w:rsid w:val="323A35D5"/>
    <w:rsid w:val="325ED57C"/>
    <w:rsid w:val="32D8F2F0"/>
    <w:rsid w:val="33072555"/>
    <w:rsid w:val="330B63D5"/>
    <w:rsid w:val="331981B7"/>
    <w:rsid w:val="331B3A2C"/>
    <w:rsid w:val="33226385"/>
    <w:rsid w:val="3332D816"/>
    <w:rsid w:val="334F0EBE"/>
    <w:rsid w:val="3356184E"/>
    <w:rsid w:val="33897709"/>
    <w:rsid w:val="33B5FCC5"/>
    <w:rsid w:val="340AF2FB"/>
    <w:rsid w:val="34476BCB"/>
    <w:rsid w:val="344C2FAA"/>
    <w:rsid w:val="345FD6DB"/>
    <w:rsid w:val="346C1100"/>
    <w:rsid w:val="346F63CC"/>
    <w:rsid w:val="347004DF"/>
    <w:rsid w:val="34973BAC"/>
    <w:rsid w:val="34BC0180"/>
    <w:rsid w:val="34DA9DDD"/>
    <w:rsid w:val="3508762D"/>
    <w:rsid w:val="350DC6AF"/>
    <w:rsid w:val="351D156F"/>
    <w:rsid w:val="351D1D7F"/>
    <w:rsid w:val="3531832C"/>
    <w:rsid w:val="354387B0"/>
    <w:rsid w:val="35585654"/>
    <w:rsid w:val="356CC30C"/>
    <w:rsid w:val="357BD987"/>
    <w:rsid w:val="35959949"/>
    <w:rsid w:val="35B78156"/>
    <w:rsid w:val="35BBC814"/>
    <w:rsid w:val="35E8722E"/>
    <w:rsid w:val="35FC5406"/>
    <w:rsid w:val="36538A2C"/>
    <w:rsid w:val="3665C6A1"/>
    <w:rsid w:val="367C71F3"/>
    <w:rsid w:val="3692DE4C"/>
    <w:rsid w:val="3698A062"/>
    <w:rsid w:val="36A012F6"/>
    <w:rsid w:val="36D6EDB7"/>
    <w:rsid w:val="36D7BCEE"/>
    <w:rsid w:val="36DAF631"/>
    <w:rsid w:val="36E966A4"/>
    <w:rsid w:val="37011A54"/>
    <w:rsid w:val="37199FE1"/>
    <w:rsid w:val="37297FFF"/>
    <w:rsid w:val="3737279C"/>
    <w:rsid w:val="37394F3A"/>
    <w:rsid w:val="3746B09C"/>
    <w:rsid w:val="377CD234"/>
    <w:rsid w:val="378FB08C"/>
    <w:rsid w:val="37969CA7"/>
    <w:rsid w:val="37A769D6"/>
    <w:rsid w:val="37B04E99"/>
    <w:rsid w:val="37C6DC36"/>
    <w:rsid w:val="37C7C4C1"/>
    <w:rsid w:val="37D9F6DC"/>
    <w:rsid w:val="380DD1F7"/>
    <w:rsid w:val="381796C9"/>
    <w:rsid w:val="3851171B"/>
    <w:rsid w:val="3874FCC7"/>
    <w:rsid w:val="388B25B7"/>
    <w:rsid w:val="388E99A6"/>
    <w:rsid w:val="3893770D"/>
    <w:rsid w:val="38A684EA"/>
    <w:rsid w:val="38E0A5C8"/>
    <w:rsid w:val="38E96B44"/>
    <w:rsid w:val="38FEBC9F"/>
    <w:rsid w:val="390091E7"/>
    <w:rsid w:val="39153E4E"/>
    <w:rsid w:val="3928269E"/>
    <w:rsid w:val="392E1747"/>
    <w:rsid w:val="3987587D"/>
    <w:rsid w:val="39999C71"/>
    <w:rsid w:val="3A39BDBA"/>
    <w:rsid w:val="3A515582"/>
    <w:rsid w:val="3A83721F"/>
    <w:rsid w:val="3A848F91"/>
    <w:rsid w:val="3AAC8D9F"/>
    <w:rsid w:val="3AB6548F"/>
    <w:rsid w:val="3ABEC7D9"/>
    <w:rsid w:val="3AE2B7C7"/>
    <w:rsid w:val="3B085C34"/>
    <w:rsid w:val="3B3D070F"/>
    <w:rsid w:val="3B7E90E6"/>
    <w:rsid w:val="3B919F94"/>
    <w:rsid w:val="3B9C6B8E"/>
    <w:rsid w:val="3BA79282"/>
    <w:rsid w:val="3BB9FE86"/>
    <w:rsid w:val="3BCEA9FF"/>
    <w:rsid w:val="3C01B686"/>
    <w:rsid w:val="3C0C26FD"/>
    <w:rsid w:val="3C175DEA"/>
    <w:rsid w:val="3C5D5E61"/>
    <w:rsid w:val="3C679615"/>
    <w:rsid w:val="3C98846C"/>
    <w:rsid w:val="3CA53358"/>
    <w:rsid w:val="3CB18BF8"/>
    <w:rsid w:val="3CB9736E"/>
    <w:rsid w:val="3D12ADE1"/>
    <w:rsid w:val="3D206B13"/>
    <w:rsid w:val="3D20DCF9"/>
    <w:rsid w:val="3D22A187"/>
    <w:rsid w:val="3D3AD891"/>
    <w:rsid w:val="3D8DCE04"/>
    <w:rsid w:val="3DCC8DA3"/>
    <w:rsid w:val="3DF0E876"/>
    <w:rsid w:val="3E01652F"/>
    <w:rsid w:val="3E920F99"/>
    <w:rsid w:val="3EA22C54"/>
    <w:rsid w:val="3EB886C1"/>
    <w:rsid w:val="3EC9C2DB"/>
    <w:rsid w:val="3EE72AF9"/>
    <w:rsid w:val="3EF3DB6B"/>
    <w:rsid w:val="3F20C742"/>
    <w:rsid w:val="3F302EC5"/>
    <w:rsid w:val="3F34A3B7"/>
    <w:rsid w:val="3F509BDE"/>
    <w:rsid w:val="3F7D303F"/>
    <w:rsid w:val="3F7EF286"/>
    <w:rsid w:val="3F829DE8"/>
    <w:rsid w:val="3F8C0C4D"/>
    <w:rsid w:val="3F97C16D"/>
    <w:rsid w:val="3FB58D45"/>
    <w:rsid w:val="3FBCB258"/>
    <w:rsid w:val="3FD41820"/>
    <w:rsid w:val="3FE63795"/>
    <w:rsid w:val="400F6637"/>
    <w:rsid w:val="401FCCA6"/>
    <w:rsid w:val="402F99D6"/>
    <w:rsid w:val="40499C72"/>
    <w:rsid w:val="40532A65"/>
    <w:rsid w:val="405507AA"/>
    <w:rsid w:val="405799D4"/>
    <w:rsid w:val="405B59EC"/>
    <w:rsid w:val="408D5F74"/>
    <w:rsid w:val="40F41AED"/>
    <w:rsid w:val="415DABDC"/>
    <w:rsid w:val="4171BA6F"/>
    <w:rsid w:val="41AC12B6"/>
    <w:rsid w:val="41BB8B63"/>
    <w:rsid w:val="41C20CD4"/>
    <w:rsid w:val="41E062C0"/>
    <w:rsid w:val="41EEEB9A"/>
    <w:rsid w:val="423EB22A"/>
    <w:rsid w:val="42523DB8"/>
    <w:rsid w:val="426D184C"/>
    <w:rsid w:val="427021E4"/>
    <w:rsid w:val="42ABBA89"/>
    <w:rsid w:val="42B0251D"/>
    <w:rsid w:val="42CFE117"/>
    <w:rsid w:val="42D959E3"/>
    <w:rsid w:val="42EE6685"/>
    <w:rsid w:val="430F72D3"/>
    <w:rsid w:val="43271FF6"/>
    <w:rsid w:val="432839C4"/>
    <w:rsid w:val="434B80A0"/>
    <w:rsid w:val="439F8CAC"/>
    <w:rsid w:val="43A1F1F0"/>
    <w:rsid w:val="44173EFA"/>
    <w:rsid w:val="44223B5A"/>
    <w:rsid w:val="442663BE"/>
    <w:rsid w:val="4486D078"/>
    <w:rsid w:val="44907398"/>
    <w:rsid w:val="44BBE738"/>
    <w:rsid w:val="44BF7431"/>
    <w:rsid w:val="44C9171E"/>
    <w:rsid w:val="4503B11A"/>
    <w:rsid w:val="450583D6"/>
    <w:rsid w:val="45135449"/>
    <w:rsid w:val="45BED748"/>
    <w:rsid w:val="45C79CCE"/>
    <w:rsid w:val="45D3A8A8"/>
    <w:rsid w:val="45F20957"/>
    <w:rsid w:val="45FA071B"/>
    <w:rsid w:val="4639CEA3"/>
    <w:rsid w:val="4657D871"/>
    <w:rsid w:val="4683DF42"/>
    <w:rsid w:val="4689265F"/>
    <w:rsid w:val="468CFCCA"/>
    <w:rsid w:val="46C094FD"/>
    <w:rsid w:val="47185E52"/>
    <w:rsid w:val="472ABCD2"/>
    <w:rsid w:val="475B0D00"/>
    <w:rsid w:val="47671F67"/>
    <w:rsid w:val="476EBD31"/>
    <w:rsid w:val="47951A37"/>
    <w:rsid w:val="47B6B60B"/>
    <w:rsid w:val="47E7B8F7"/>
    <w:rsid w:val="47ED9887"/>
    <w:rsid w:val="481052F6"/>
    <w:rsid w:val="48131078"/>
    <w:rsid w:val="48404BFA"/>
    <w:rsid w:val="48770FB2"/>
    <w:rsid w:val="488349C7"/>
    <w:rsid w:val="48D3EB0D"/>
    <w:rsid w:val="48D5F6B7"/>
    <w:rsid w:val="48DA44EE"/>
    <w:rsid w:val="48EA324F"/>
    <w:rsid w:val="4950A47B"/>
    <w:rsid w:val="4965334A"/>
    <w:rsid w:val="496D6EEE"/>
    <w:rsid w:val="496FEF49"/>
    <w:rsid w:val="49747F05"/>
    <w:rsid w:val="4983572C"/>
    <w:rsid w:val="49ACF23C"/>
    <w:rsid w:val="49B30650"/>
    <w:rsid w:val="49C365DD"/>
    <w:rsid w:val="49D18BAB"/>
    <w:rsid w:val="49D1FD54"/>
    <w:rsid w:val="49E92655"/>
    <w:rsid w:val="4A0164E3"/>
    <w:rsid w:val="4A80B5E6"/>
    <w:rsid w:val="4A8D9838"/>
    <w:rsid w:val="4A983360"/>
    <w:rsid w:val="4AC00C6F"/>
    <w:rsid w:val="4AC9965B"/>
    <w:rsid w:val="4B2C979E"/>
    <w:rsid w:val="4B6786DF"/>
    <w:rsid w:val="4B868748"/>
    <w:rsid w:val="4B9BDE06"/>
    <w:rsid w:val="4BA6331B"/>
    <w:rsid w:val="4C00F306"/>
    <w:rsid w:val="4C20DEE2"/>
    <w:rsid w:val="4C3C6F0F"/>
    <w:rsid w:val="4C5255C8"/>
    <w:rsid w:val="4C643E28"/>
    <w:rsid w:val="4C7607C7"/>
    <w:rsid w:val="4C942E15"/>
    <w:rsid w:val="4C9A0D3F"/>
    <w:rsid w:val="4C9E8AAF"/>
    <w:rsid w:val="4D0A5314"/>
    <w:rsid w:val="4D220F39"/>
    <w:rsid w:val="4D36FB4A"/>
    <w:rsid w:val="4D6BDC3B"/>
    <w:rsid w:val="4D75878B"/>
    <w:rsid w:val="4D8BAF9A"/>
    <w:rsid w:val="4D8FD866"/>
    <w:rsid w:val="4DA073B6"/>
    <w:rsid w:val="4DCC993F"/>
    <w:rsid w:val="4DD4B2BB"/>
    <w:rsid w:val="4DF4FF5A"/>
    <w:rsid w:val="4E1FB855"/>
    <w:rsid w:val="4E405A11"/>
    <w:rsid w:val="4E415A41"/>
    <w:rsid w:val="4E50DB9D"/>
    <w:rsid w:val="4E5CFA8B"/>
    <w:rsid w:val="4EAC18C5"/>
    <w:rsid w:val="4EB2B7BD"/>
    <w:rsid w:val="4EDA359F"/>
    <w:rsid w:val="4EDA60FE"/>
    <w:rsid w:val="4F05BEB7"/>
    <w:rsid w:val="4F167C62"/>
    <w:rsid w:val="4F19ACDE"/>
    <w:rsid w:val="4F5866F8"/>
    <w:rsid w:val="4F65716F"/>
    <w:rsid w:val="4F781375"/>
    <w:rsid w:val="4FE6E11E"/>
    <w:rsid w:val="4FF856C8"/>
    <w:rsid w:val="4FFFD0EF"/>
    <w:rsid w:val="501E0143"/>
    <w:rsid w:val="50339FB3"/>
    <w:rsid w:val="5052526A"/>
    <w:rsid w:val="5094A956"/>
    <w:rsid w:val="50B6CEF5"/>
    <w:rsid w:val="50B71273"/>
    <w:rsid w:val="50F2B604"/>
    <w:rsid w:val="51B10817"/>
    <w:rsid w:val="51BFB770"/>
    <w:rsid w:val="51C6CEF3"/>
    <w:rsid w:val="51C6D0CA"/>
    <w:rsid w:val="51C9A910"/>
    <w:rsid w:val="51F39584"/>
    <w:rsid w:val="51FFD47E"/>
    <w:rsid w:val="5202A221"/>
    <w:rsid w:val="52072D99"/>
    <w:rsid w:val="5211DEE9"/>
    <w:rsid w:val="521DA6A0"/>
    <w:rsid w:val="5236A13F"/>
    <w:rsid w:val="524E2890"/>
    <w:rsid w:val="525AFF1E"/>
    <w:rsid w:val="527D9187"/>
    <w:rsid w:val="529404EE"/>
    <w:rsid w:val="52984406"/>
    <w:rsid w:val="52AEAD7F"/>
    <w:rsid w:val="52D33683"/>
    <w:rsid w:val="52D59C03"/>
    <w:rsid w:val="5316B258"/>
    <w:rsid w:val="5323EC18"/>
    <w:rsid w:val="532735DA"/>
    <w:rsid w:val="53283CDC"/>
    <w:rsid w:val="5338F0B1"/>
    <w:rsid w:val="53604FA2"/>
    <w:rsid w:val="5379578E"/>
    <w:rsid w:val="537A29D2"/>
    <w:rsid w:val="537B149A"/>
    <w:rsid w:val="537B2100"/>
    <w:rsid w:val="53807D8F"/>
    <w:rsid w:val="53DA9D9D"/>
    <w:rsid w:val="54065E40"/>
    <w:rsid w:val="543B3A85"/>
    <w:rsid w:val="545F3D89"/>
    <w:rsid w:val="546465B9"/>
    <w:rsid w:val="549611B9"/>
    <w:rsid w:val="549D7F13"/>
    <w:rsid w:val="54CFF105"/>
    <w:rsid w:val="54D82AA8"/>
    <w:rsid w:val="54F146D3"/>
    <w:rsid w:val="5500E04F"/>
    <w:rsid w:val="5508EB26"/>
    <w:rsid w:val="5523C4AA"/>
    <w:rsid w:val="5547A2C8"/>
    <w:rsid w:val="554AFC4E"/>
    <w:rsid w:val="5552CB72"/>
    <w:rsid w:val="555D322E"/>
    <w:rsid w:val="55837C69"/>
    <w:rsid w:val="55A234F0"/>
    <w:rsid w:val="55A28943"/>
    <w:rsid w:val="55FC7707"/>
    <w:rsid w:val="561EDC15"/>
    <w:rsid w:val="562116DF"/>
    <w:rsid w:val="5653D785"/>
    <w:rsid w:val="568FBB1C"/>
    <w:rsid w:val="5690D823"/>
    <w:rsid w:val="5697E9C3"/>
    <w:rsid w:val="56A48AFB"/>
    <w:rsid w:val="56F31CAD"/>
    <w:rsid w:val="570BF897"/>
    <w:rsid w:val="573707CE"/>
    <w:rsid w:val="579E23C5"/>
    <w:rsid w:val="579E665B"/>
    <w:rsid w:val="57A6C32E"/>
    <w:rsid w:val="57AAD7D6"/>
    <w:rsid w:val="57C39313"/>
    <w:rsid w:val="57C65F01"/>
    <w:rsid w:val="57C6B790"/>
    <w:rsid w:val="57D8A910"/>
    <w:rsid w:val="57D9E5C2"/>
    <w:rsid w:val="57E12269"/>
    <w:rsid w:val="57F210A0"/>
    <w:rsid w:val="581FE7D0"/>
    <w:rsid w:val="5844E1A6"/>
    <w:rsid w:val="58731A37"/>
    <w:rsid w:val="58871820"/>
    <w:rsid w:val="58A72B51"/>
    <w:rsid w:val="58B43652"/>
    <w:rsid w:val="58BABE60"/>
    <w:rsid w:val="58F50D00"/>
    <w:rsid w:val="59439583"/>
    <w:rsid w:val="59601276"/>
    <w:rsid w:val="5987312D"/>
    <w:rsid w:val="59AF8DBC"/>
    <w:rsid w:val="59F083DC"/>
    <w:rsid w:val="5A3DE85B"/>
    <w:rsid w:val="5A42F17D"/>
    <w:rsid w:val="5A842988"/>
    <w:rsid w:val="5A9EE253"/>
    <w:rsid w:val="5AB7184D"/>
    <w:rsid w:val="5ACB3E85"/>
    <w:rsid w:val="5AD7A9F8"/>
    <w:rsid w:val="5AE28F25"/>
    <w:rsid w:val="5AE31945"/>
    <w:rsid w:val="5B101F16"/>
    <w:rsid w:val="5B721090"/>
    <w:rsid w:val="5B869A27"/>
    <w:rsid w:val="5BA3EA2E"/>
    <w:rsid w:val="5BA45712"/>
    <w:rsid w:val="5BD1BB89"/>
    <w:rsid w:val="5BF08140"/>
    <w:rsid w:val="5BF7A7E0"/>
    <w:rsid w:val="5C00A055"/>
    <w:rsid w:val="5C1B57EB"/>
    <w:rsid w:val="5C3DE1E3"/>
    <w:rsid w:val="5C70089F"/>
    <w:rsid w:val="5C7DE276"/>
    <w:rsid w:val="5C8FACED"/>
    <w:rsid w:val="5CAD9657"/>
    <w:rsid w:val="5CB09313"/>
    <w:rsid w:val="5CD04256"/>
    <w:rsid w:val="5CFB802F"/>
    <w:rsid w:val="5D13B871"/>
    <w:rsid w:val="5D1E6062"/>
    <w:rsid w:val="5D1FA4A4"/>
    <w:rsid w:val="5D24A131"/>
    <w:rsid w:val="5D31583A"/>
    <w:rsid w:val="5D3C2C7A"/>
    <w:rsid w:val="5D4B3006"/>
    <w:rsid w:val="5D9EB879"/>
    <w:rsid w:val="5DEA007D"/>
    <w:rsid w:val="5DEE1816"/>
    <w:rsid w:val="5E0DC173"/>
    <w:rsid w:val="5E2049EA"/>
    <w:rsid w:val="5E27F106"/>
    <w:rsid w:val="5E6A96C1"/>
    <w:rsid w:val="5E900E30"/>
    <w:rsid w:val="5EA2DD9B"/>
    <w:rsid w:val="5EA7EF7A"/>
    <w:rsid w:val="5ECDB62E"/>
    <w:rsid w:val="5F1D59BC"/>
    <w:rsid w:val="5F1D6137"/>
    <w:rsid w:val="5F2AF803"/>
    <w:rsid w:val="5F4AB89F"/>
    <w:rsid w:val="5F4CB1F0"/>
    <w:rsid w:val="5F6BDA87"/>
    <w:rsid w:val="5F910D01"/>
    <w:rsid w:val="5F91483C"/>
    <w:rsid w:val="5FAB7BEF"/>
    <w:rsid w:val="5FD519A7"/>
    <w:rsid w:val="5FF63CC6"/>
    <w:rsid w:val="6005FE24"/>
    <w:rsid w:val="600F1A83"/>
    <w:rsid w:val="602F6BF8"/>
    <w:rsid w:val="6043F0A9"/>
    <w:rsid w:val="605B549E"/>
    <w:rsid w:val="6060B515"/>
    <w:rsid w:val="6072D23C"/>
    <w:rsid w:val="608D0085"/>
    <w:rsid w:val="60E3FA2A"/>
    <w:rsid w:val="60E9C6D1"/>
    <w:rsid w:val="61187FE8"/>
    <w:rsid w:val="6131ABDB"/>
    <w:rsid w:val="61401D3F"/>
    <w:rsid w:val="61502E8D"/>
    <w:rsid w:val="61637168"/>
    <w:rsid w:val="61835239"/>
    <w:rsid w:val="61A33001"/>
    <w:rsid w:val="61D3B954"/>
    <w:rsid w:val="61DBB427"/>
    <w:rsid w:val="61F8DBF3"/>
    <w:rsid w:val="62019D75"/>
    <w:rsid w:val="624DD672"/>
    <w:rsid w:val="62590B89"/>
    <w:rsid w:val="62686C84"/>
    <w:rsid w:val="6287A965"/>
    <w:rsid w:val="62A63514"/>
    <w:rsid w:val="62AEE5F4"/>
    <w:rsid w:val="62CF3099"/>
    <w:rsid w:val="62E98278"/>
    <w:rsid w:val="62F14A8D"/>
    <w:rsid w:val="62F29A26"/>
    <w:rsid w:val="6323DF25"/>
    <w:rsid w:val="6361ACAE"/>
    <w:rsid w:val="6375F9FD"/>
    <w:rsid w:val="639098CA"/>
    <w:rsid w:val="63B5399C"/>
    <w:rsid w:val="63BFC3E1"/>
    <w:rsid w:val="63CE8243"/>
    <w:rsid w:val="63F1453E"/>
    <w:rsid w:val="640FE22D"/>
    <w:rsid w:val="64159EE6"/>
    <w:rsid w:val="6429BDEF"/>
    <w:rsid w:val="64581C43"/>
    <w:rsid w:val="64718468"/>
    <w:rsid w:val="647F53B7"/>
    <w:rsid w:val="64B2F7E5"/>
    <w:rsid w:val="64BCC5C3"/>
    <w:rsid w:val="64BF327C"/>
    <w:rsid w:val="652BB118"/>
    <w:rsid w:val="654A5623"/>
    <w:rsid w:val="6568F3C4"/>
    <w:rsid w:val="6576C271"/>
    <w:rsid w:val="65A814C0"/>
    <w:rsid w:val="65AC4E1F"/>
    <w:rsid w:val="65C1CDDD"/>
    <w:rsid w:val="65C4EC9F"/>
    <w:rsid w:val="65CAED96"/>
    <w:rsid w:val="65DC5915"/>
    <w:rsid w:val="65F681DC"/>
    <w:rsid w:val="66384D87"/>
    <w:rsid w:val="667BA16F"/>
    <w:rsid w:val="6680D446"/>
    <w:rsid w:val="66DF204C"/>
    <w:rsid w:val="66E88B02"/>
    <w:rsid w:val="66EB8DA9"/>
    <w:rsid w:val="67071027"/>
    <w:rsid w:val="670DF39A"/>
    <w:rsid w:val="6711B0DC"/>
    <w:rsid w:val="67145AA1"/>
    <w:rsid w:val="6719E7C4"/>
    <w:rsid w:val="671C8E3F"/>
    <w:rsid w:val="672E70C1"/>
    <w:rsid w:val="6778C10D"/>
    <w:rsid w:val="67942412"/>
    <w:rsid w:val="67C4E0A1"/>
    <w:rsid w:val="67CF1205"/>
    <w:rsid w:val="67F03427"/>
    <w:rsid w:val="681460E2"/>
    <w:rsid w:val="681900E7"/>
    <w:rsid w:val="681DCEF6"/>
    <w:rsid w:val="683A2FC7"/>
    <w:rsid w:val="68648D06"/>
    <w:rsid w:val="689312CD"/>
    <w:rsid w:val="6895E650"/>
    <w:rsid w:val="68BB1258"/>
    <w:rsid w:val="68EB4B2A"/>
    <w:rsid w:val="68FC7F92"/>
    <w:rsid w:val="6945C720"/>
    <w:rsid w:val="6979F490"/>
    <w:rsid w:val="697FD29F"/>
    <w:rsid w:val="699B303F"/>
    <w:rsid w:val="69A1C083"/>
    <w:rsid w:val="69C7D899"/>
    <w:rsid w:val="69F36801"/>
    <w:rsid w:val="6A12644F"/>
    <w:rsid w:val="6A5ECCE5"/>
    <w:rsid w:val="6A65F48C"/>
    <w:rsid w:val="6A7A98FC"/>
    <w:rsid w:val="6A91D9B2"/>
    <w:rsid w:val="6AA837DC"/>
    <w:rsid w:val="6AD247CB"/>
    <w:rsid w:val="6AF9A1C1"/>
    <w:rsid w:val="6B03A9EA"/>
    <w:rsid w:val="6B0D8863"/>
    <w:rsid w:val="6B1EAF0D"/>
    <w:rsid w:val="6B27A34F"/>
    <w:rsid w:val="6B29DB94"/>
    <w:rsid w:val="6B3DC02C"/>
    <w:rsid w:val="6B3FB4EE"/>
    <w:rsid w:val="6BB3D4D2"/>
    <w:rsid w:val="6BB49B24"/>
    <w:rsid w:val="6BC633D6"/>
    <w:rsid w:val="6C0CA693"/>
    <w:rsid w:val="6C0FEAB8"/>
    <w:rsid w:val="6C1A7DC2"/>
    <w:rsid w:val="6C3DD785"/>
    <w:rsid w:val="6CA34A48"/>
    <w:rsid w:val="6CB234CB"/>
    <w:rsid w:val="6CB2F331"/>
    <w:rsid w:val="6CC34BEC"/>
    <w:rsid w:val="6CD93F97"/>
    <w:rsid w:val="6CE5D9F6"/>
    <w:rsid w:val="6D0187B4"/>
    <w:rsid w:val="6D18830A"/>
    <w:rsid w:val="6D1DF230"/>
    <w:rsid w:val="6D201D51"/>
    <w:rsid w:val="6D49AC62"/>
    <w:rsid w:val="6D774CD7"/>
    <w:rsid w:val="6DE714AC"/>
    <w:rsid w:val="6DF57927"/>
    <w:rsid w:val="6DFD44C6"/>
    <w:rsid w:val="6E0EE15A"/>
    <w:rsid w:val="6E297BC3"/>
    <w:rsid w:val="6E3D0C23"/>
    <w:rsid w:val="6E4E092F"/>
    <w:rsid w:val="6E5FA588"/>
    <w:rsid w:val="6E759D06"/>
    <w:rsid w:val="6E877E0D"/>
    <w:rsid w:val="6E9F65A6"/>
    <w:rsid w:val="6EC2A47D"/>
    <w:rsid w:val="6ECEB811"/>
    <w:rsid w:val="6F177E46"/>
    <w:rsid w:val="6F26D84A"/>
    <w:rsid w:val="6F467FA7"/>
    <w:rsid w:val="6F690492"/>
    <w:rsid w:val="6F72789D"/>
    <w:rsid w:val="6F9626E5"/>
    <w:rsid w:val="6FCB43DB"/>
    <w:rsid w:val="700AA5E3"/>
    <w:rsid w:val="7014913E"/>
    <w:rsid w:val="702C7C34"/>
    <w:rsid w:val="7036B43B"/>
    <w:rsid w:val="7061A2ED"/>
    <w:rsid w:val="70738783"/>
    <w:rsid w:val="708CB8C1"/>
    <w:rsid w:val="70A02DF3"/>
    <w:rsid w:val="70F37FA5"/>
    <w:rsid w:val="71425DB9"/>
    <w:rsid w:val="714422F9"/>
    <w:rsid w:val="71448713"/>
    <w:rsid w:val="71587A58"/>
    <w:rsid w:val="715C2087"/>
    <w:rsid w:val="7173AB62"/>
    <w:rsid w:val="71946ABE"/>
    <w:rsid w:val="719C9023"/>
    <w:rsid w:val="720D50C6"/>
    <w:rsid w:val="72150E52"/>
    <w:rsid w:val="7251B825"/>
    <w:rsid w:val="725A28B0"/>
    <w:rsid w:val="72634D9B"/>
    <w:rsid w:val="72721556"/>
    <w:rsid w:val="727D5357"/>
    <w:rsid w:val="72963E0E"/>
    <w:rsid w:val="729B52F6"/>
    <w:rsid w:val="72AB2BEB"/>
    <w:rsid w:val="72AC8CD7"/>
    <w:rsid w:val="72B066B5"/>
    <w:rsid w:val="72D3F744"/>
    <w:rsid w:val="731BAC49"/>
    <w:rsid w:val="73364879"/>
    <w:rsid w:val="733A5EB0"/>
    <w:rsid w:val="738BBFCB"/>
    <w:rsid w:val="7397BF0D"/>
    <w:rsid w:val="73A80AD3"/>
    <w:rsid w:val="73AE118F"/>
    <w:rsid w:val="73DE97F0"/>
    <w:rsid w:val="73F47DAF"/>
    <w:rsid w:val="73FBF382"/>
    <w:rsid w:val="741009B2"/>
    <w:rsid w:val="742F5338"/>
    <w:rsid w:val="7431033F"/>
    <w:rsid w:val="744243CA"/>
    <w:rsid w:val="74452938"/>
    <w:rsid w:val="745A76F5"/>
    <w:rsid w:val="746CF4C5"/>
    <w:rsid w:val="74C81312"/>
    <w:rsid w:val="750CC991"/>
    <w:rsid w:val="7524CB61"/>
    <w:rsid w:val="755AD160"/>
    <w:rsid w:val="7581696B"/>
    <w:rsid w:val="75AF3E82"/>
    <w:rsid w:val="75E4A69B"/>
    <w:rsid w:val="75E73380"/>
    <w:rsid w:val="76013671"/>
    <w:rsid w:val="763ECE33"/>
    <w:rsid w:val="763FF6F6"/>
    <w:rsid w:val="764620AC"/>
    <w:rsid w:val="76568C85"/>
    <w:rsid w:val="7657C665"/>
    <w:rsid w:val="76679107"/>
    <w:rsid w:val="768C9437"/>
    <w:rsid w:val="768CD293"/>
    <w:rsid w:val="76989BBE"/>
    <w:rsid w:val="769EBD31"/>
    <w:rsid w:val="76A4092F"/>
    <w:rsid w:val="76BD0794"/>
    <w:rsid w:val="76CFEE3B"/>
    <w:rsid w:val="76E42032"/>
    <w:rsid w:val="76F99DBD"/>
    <w:rsid w:val="774B61ED"/>
    <w:rsid w:val="77674310"/>
    <w:rsid w:val="776DF00B"/>
    <w:rsid w:val="77919938"/>
    <w:rsid w:val="779AFE82"/>
    <w:rsid w:val="77A1E20F"/>
    <w:rsid w:val="77BF3E29"/>
    <w:rsid w:val="77CB6464"/>
    <w:rsid w:val="78240BDD"/>
    <w:rsid w:val="7834E8A0"/>
    <w:rsid w:val="784B561A"/>
    <w:rsid w:val="785485AF"/>
    <w:rsid w:val="7857BA8B"/>
    <w:rsid w:val="7859C89E"/>
    <w:rsid w:val="785DC8C5"/>
    <w:rsid w:val="78603D79"/>
    <w:rsid w:val="788D4B8D"/>
    <w:rsid w:val="78903214"/>
    <w:rsid w:val="78F9E1C2"/>
    <w:rsid w:val="79469894"/>
    <w:rsid w:val="79641E22"/>
    <w:rsid w:val="7978676A"/>
    <w:rsid w:val="7980456B"/>
    <w:rsid w:val="79D11BF9"/>
    <w:rsid w:val="79D73007"/>
    <w:rsid w:val="79E309D7"/>
    <w:rsid w:val="7A19AF3B"/>
    <w:rsid w:val="7A312D5D"/>
    <w:rsid w:val="7A5ACF01"/>
    <w:rsid w:val="7A990C16"/>
    <w:rsid w:val="7ABFDECF"/>
    <w:rsid w:val="7ADA1B0F"/>
    <w:rsid w:val="7ADCC2E5"/>
    <w:rsid w:val="7ADF22C0"/>
    <w:rsid w:val="7AE1A665"/>
    <w:rsid w:val="7B0BD16B"/>
    <w:rsid w:val="7B6DB6EE"/>
    <w:rsid w:val="7B736A88"/>
    <w:rsid w:val="7B777F04"/>
    <w:rsid w:val="7BDA3CBA"/>
    <w:rsid w:val="7BFC5708"/>
    <w:rsid w:val="7C101B60"/>
    <w:rsid w:val="7C15C078"/>
    <w:rsid w:val="7C315166"/>
    <w:rsid w:val="7C32FE4C"/>
    <w:rsid w:val="7C59FC60"/>
    <w:rsid w:val="7C5E3352"/>
    <w:rsid w:val="7CBFACD2"/>
    <w:rsid w:val="7CCE48FE"/>
    <w:rsid w:val="7CD75092"/>
    <w:rsid w:val="7D3F6F04"/>
    <w:rsid w:val="7D66316E"/>
    <w:rsid w:val="7D80802E"/>
    <w:rsid w:val="7DA42F00"/>
    <w:rsid w:val="7DBDB048"/>
    <w:rsid w:val="7DC3D9C7"/>
    <w:rsid w:val="7DD4D3F9"/>
    <w:rsid w:val="7DE545C9"/>
    <w:rsid w:val="7DED6BBD"/>
    <w:rsid w:val="7DF61F6F"/>
    <w:rsid w:val="7E026018"/>
    <w:rsid w:val="7E28BBED"/>
    <w:rsid w:val="7E63007A"/>
    <w:rsid w:val="7E7F48BC"/>
    <w:rsid w:val="7E83EE75"/>
    <w:rsid w:val="7ED313B4"/>
    <w:rsid w:val="7EE4D3E8"/>
    <w:rsid w:val="7F16B3DF"/>
    <w:rsid w:val="7F46A023"/>
    <w:rsid w:val="7F6C22A0"/>
    <w:rsid w:val="7F6FC9E2"/>
    <w:rsid w:val="7F7391E4"/>
    <w:rsid w:val="7F83706A"/>
    <w:rsid w:val="7FA4AA1C"/>
    <w:rsid w:val="7FA790CF"/>
    <w:rsid w:val="7FB4458E"/>
    <w:rsid w:val="7FC3BD93"/>
    <w:rsid w:val="7FC57755"/>
    <w:rsid w:val="7FE13110"/>
    <w:rsid w:val="7FE435CB"/>
    <w:rsid w:val="7FE77C55"/>
    <w:rsid w:val="7FEE25D8"/>
    <w:rsid w:val="7FF10BE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C82BA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242828" w:themeColor="text1"/>
        <w:lang w:val="en-GB" w:eastAsia="en-US" w:bidi="ar-SA"/>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49" w:unhideWhenUsed="1" w:qFormat="1"/>
    <w:lsdException w:name="heading 6" w:semiHidden="1" w:uiPriority="49" w:unhideWhenUsed="1" w:qFormat="1"/>
    <w:lsdException w:name="heading 7" w:semiHidden="1" w:uiPriority="49" w:unhideWhenUsed="1" w:qFormat="1"/>
    <w:lsdException w:name="heading 8" w:semiHidden="1" w:uiPriority="49" w:unhideWhenUsed="1" w:qFormat="1"/>
    <w:lsdException w:name="heading 9" w:semiHidden="1" w:uiPriority="4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iPriority="2"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857"/>
    <w:pPr>
      <w:spacing w:before="120" w:line="240" w:lineRule="auto"/>
    </w:pPr>
    <w:rPr>
      <w:rFonts w:ascii="Times New Roman" w:hAnsi="Times New Roman" w:cs="Times New Roman"/>
      <w:sz w:val="24"/>
      <w:szCs w:val="24"/>
    </w:rPr>
  </w:style>
  <w:style w:type="paragraph" w:styleId="Heading1">
    <w:name w:val="heading 1"/>
    <w:aliases w:val="ade_Überschrift 1"/>
    <w:basedOn w:val="Normal"/>
    <w:next w:val="Normal"/>
    <w:link w:val="Heading1Char"/>
    <w:uiPriority w:val="9"/>
    <w:qFormat/>
    <w:rsid w:val="00EB4E8F"/>
    <w:pPr>
      <w:keepNext/>
      <w:keepLines/>
      <w:numPr>
        <w:numId w:val="12"/>
      </w:numPr>
      <w:pBdr>
        <w:bottom w:val="single" w:sz="4" w:space="1" w:color="1A4596"/>
      </w:pBdr>
      <w:spacing w:before="240" w:after="240"/>
      <w:outlineLvl w:val="0"/>
    </w:pPr>
    <w:rPr>
      <w:rFonts w:asciiTheme="majorHAnsi" w:eastAsiaTheme="majorEastAsia" w:hAnsiTheme="majorHAnsi" w:cstheme="majorBidi"/>
      <w:caps/>
      <w:color w:val="1A4596"/>
      <w:sz w:val="32"/>
      <w:szCs w:val="32"/>
    </w:rPr>
  </w:style>
  <w:style w:type="paragraph" w:styleId="Heading2">
    <w:name w:val="heading 2"/>
    <w:aliases w:val="ade_Überschrift 2"/>
    <w:basedOn w:val="Normal"/>
    <w:next w:val="Normal"/>
    <w:link w:val="Heading2Char"/>
    <w:uiPriority w:val="9"/>
    <w:qFormat/>
    <w:rsid w:val="00F2644E"/>
    <w:pPr>
      <w:keepNext/>
      <w:keepLines/>
      <w:numPr>
        <w:ilvl w:val="1"/>
        <w:numId w:val="12"/>
      </w:numPr>
      <w:spacing w:before="240"/>
      <w:ind w:left="576"/>
      <w:outlineLvl w:val="1"/>
    </w:pPr>
    <w:rPr>
      <w:rFonts w:asciiTheme="majorHAnsi" w:eastAsiaTheme="majorEastAsia" w:hAnsiTheme="majorHAnsi" w:cstheme="majorBidi"/>
      <w:caps/>
      <w:color w:val="1A4596"/>
      <w:sz w:val="26"/>
      <w:szCs w:val="26"/>
    </w:rPr>
  </w:style>
  <w:style w:type="paragraph" w:styleId="Heading3">
    <w:name w:val="heading 3"/>
    <w:aliases w:val="ade_Überschrift 3"/>
    <w:basedOn w:val="Normal"/>
    <w:next w:val="Normal"/>
    <w:link w:val="Heading3Char"/>
    <w:uiPriority w:val="9"/>
    <w:qFormat/>
    <w:rsid w:val="00D84AAE"/>
    <w:pPr>
      <w:keepNext/>
      <w:keepLines/>
      <w:numPr>
        <w:ilvl w:val="2"/>
        <w:numId w:val="12"/>
      </w:numPr>
      <w:spacing w:before="240"/>
      <w:outlineLvl w:val="2"/>
    </w:pPr>
    <w:rPr>
      <w:rFonts w:asciiTheme="majorHAnsi" w:eastAsiaTheme="majorEastAsia" w:hAnsiTheme="majorHAnsi" w:cstheme="majorBidi"/>
      <w:b/>
    </w:rPr>
  </w:style>
  <w:style w:type="paragraph" w:styleId="Heading4">
    <w:name w:val="heading 4"/>
    <w:aliases w:val="ade_Überschrift 4"/>
    <w:basedOn w:val="Normal"/>
    <w:next w:val="Normal"/>
    <w:link w:val="Heading4Char"/>
    <w:uiPriority w:val="9"/>
    <w:qFormat/>
    <w:rsid w:val="002B23FD"/>
    <w:pPr>
      <w:keepNext/>
      <w:keepLines/>
      <w:numPr>
        <w:ilvl w:val="3"/>
        <w:numId w:val="12"/>
      </w:numPr>
      <w:spacing w:before="40"/>
      <w:outlineLvl w:val="3"/>
    </w:pPr>
    <w:rPr>
      <w:rFonts w:asciiTheme="majorHAnsi" w:eastAsiaTheme="majorEastAsia" w:hAnsiTheme="majorHAnsi" w:cstheme="majorBidi"/>
      <w:i/>
      <w:iCs/>
      <w:color w:val="auto"/>
      <w:lang w:val="en-US"/>
    </w:rPr>
  </w:style>
  <w:style w:type="paragraph" w:styleId="Heading5">
    <w:name w:val="heading 5"/>
    <w:aliases w:val="ade_Überschrift 5"/>
    <w:basedOn w:val="Normal"/>
    <w:next w:val="Normal"/>
    <w:link w:val="Heading5Char"/>
    <w:uiPriority w:val="49"/>
    <w:unhideWhenUsed/>
    <w:qFormat/>
    <w:rsid w:val="00A0284A"/>
    <w:pPr>
      <w:keepNext/>
      <w:keepLines/>
      <w:numPr>
        <w:ilvl w:val="4"/>
        <w:numId w:val="12"/>
      </w:numPr>
      <w:spacing w:before="40"/>
      <w:ind w:left="1009" w:hanging="1009"/>
      <w:outlineLvl w:val="4"/>
    </w:pPr>
    <w:rPr>
      <w:rFonts w:asciiTheme="majorHAnsi" w:eastAsiaTheme="majorEastAsia" w:hAnsiTheme="majorHAnsi" w:cstheme="majorBidi"/>
      <w:color w:val="auto"/>
    </w:rPr>
  </w:style>
  <w:style w:type="paragraph" w:styleId="Heading6">
    <w:name w:val="heading 6"/>
    <w:aliases w:val="ade_Überschrift 6"/>
    <w:basedOn w:val="Normal"/>
    <w:next w:val="Normal"/>
    <w:link w:val="Heading6Char"/>
    <w:uiPriority w:val="49"/>
    <w:unhideWhenUsed/>
    <w:qFormat/>
    <w:rsid w:val="005F5673"/>
    <w:pPr>
      <w:keepNext/>
      <w:keepLines/>
      <w:numPr>
        <w:ilvl w:val="5"/>
        <w:numId w:val="12"/>
      </w:numPr>
      <w:spacing w:before="40" w:after="0"/>
      <w:outlineLvl w:val="5"/>
    </w:pPr>
    <w:rPr>
      <w:rFonts w:asciiTheme="majorHAnsi" w:eastAsiaTheme="majorEastAsia" w:hAnsiTheme="majorHAnsi" w:cstheme="majorBidi"/>
      <w:color w:val="00525A" w:themeColor="accent1" w:themeShade="7F"/>
    </w:rPr>
  </w:style>
  <w:style w:type="paragraph" w:styleId="Heading7">
    <w:name w:val="heading 7"/>
    <w:aliases w:val="ade_Überschrift 7"/>
    <w:basedOn w:val="Normal"/>
    <w:next w:val="Normal"/>
    <w:link w:val="Heading7Char"/>
    <w:uiPriority w:val="49"/>
    <w:unhideWhenUsed/>
    <w:qFormat/>
    <w:rsid w:val="005F5673"/>
    <w:pPr>
      <w:keepNext/>
      <w:keepLines/>
      <w:numPr>
        <w:ilvl w:val="6"/>
        <w:numId w:val="12"/>
      </w:numPr>
      <w:spacing w:before="40" w:after="0"/>
      <w:outlineLvl w:val="6"/>
    </w:pPr>
    <w:rPr>
      <w:rFonts w:asciiTheme="majorHAnsi" w:eastAsiaTheme="majorEastAsia" w:hAnsiTheme="majorHAnsi" w:cstheme="majorBidi"/>
      <w:i/>
      <w:iCs/>
      <w:color w:val="00525A" w:themeColor="accent1" w:themeShade="7F"/>
    </w:rPr>
  </w:style>
  <w:style w:type="paragraph" w:styleId="Heading8">
    <w:name w:val="heading 8"/>
    <w:aliases w:val="ade_Überschrift 8"/>
    <w:basedOn w:val="Normal"/>
    <w:next w:val="Normal"/>
    <w:link w:val="Heading8Char"/>
    <w:uiPriority w:val="49"/>
    <w:semiHidden/>
    <w:unhideWhenUsed/>
    <w:qFormat/>
    <w:rsid w:val="005F5673"/>
    <w:pPr>
      <w:keepNext/>
      <w:keepLines/>
      <w:numPr>
        <w:ilvl w:val="7"/>
        <w:numId w:val="12"/>
      </w:numPr>
      <w:spacing w:before="40" w:after="0"/>
      <w:outlineLvl w:val="7"/>
    </w:pPr>
    <w:rPr>
      <w:rFonts w:asciiTheme="majorHAnsi" w:eastAsiaTheme="majorEastAsia" w:hAnsiTheme="majorHAnsi" w:cstheme="majorBidi"/>
      <w:color w:val="434A4A" w:themeColor="text1" w:themeTint="D8"/>
      <w:sz w:val="21"/>
      <w:szCs w:val="21"/>
    </w:rPr>
  </w:style>
  <w:style w:type="paragraph" w:styleId="Heading9">
    <w:name w:val="heading 9"/>
    <w:aliases w:val="ade_Überschrift 9"/>
    <w:basedOn w:val="Normal"/>
    <w:next w:val="Normal"/>
    <w:link w:val="Heading9Char"/>
    <w:uiPriority w:val="49"/>
    <w:semiHidden/>
    <w:unhideWhenUsed/>
    <w:qFormat/>
    <w:rsid w:val="005F5673"/>
    <w:pPr>
      <w:keepNext/>
      <w:keepLines/>
      <w:numPr>
        <w:ilvl w:val="8"/>
        <w:numId w:val="12"/>
      </w:numPr>
      <w:spacing w:before="40" w:after="0"/>
      <w:outlineLvl w:val="8"/>
    </w:pPr>
    <w:rPr>
      <w:rFonts w:asciiTheme="majorHAnsi" w:eastAsiaTheme="majorEastAsia" w:hAnsiTheme="majorHAnsi" w:cstheme="majorBidi"/>
      <w:i/>
      <w:iCs/>
      <w:color w:val="434A4A"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RBaseHeadings">
    <w:name w:val="RR Base Headings"/>
    <w:link w:val="RRBaseHeadingsChar"/>
    <w:semiHidden/>
    <w:rsid w:val="00DC38F2"/>
    <w:pPr>
      <w:keepNext/>
      <w:keepLines/>
      <w:spacing w:line="271" w:lineRule="auto"/>
    </w:pPr>
    <w:rPr>
      <w:rFonts w:asciiTheme="majorHAnsi" w:eastAsiaTheme="minorEastAsia" w:hAnsiTheme="majorHAnsi" w:cs="Arial"/>
      <w:color w:val="003CA7" w:themeColor="text2"/>
      <w:lang w:eastAsia="en-GB"/>
    </w:rPr>
  </w:style>
  <w:style w:type="character" w:customStyle="1" w:styleId="RRBaseHeadingsChar">
    <w:name w:val="RR Base Headings Char"/>
    <w:basedOn w:val="DefaultParagraphFont"/>
    <w:link w:val="RRBaseHeadings"/>
    <w:semiHidden/>
    <w:rsid w:val="00DC38F2"/>
    <w:rPr>
      <w:rFonts w:asciiTheme="majorHAnsi" w:eastAsiaTheme="minorEastAsia" w:hAnsiTheme="majorHAnsi" w:cs="Arial"/>
      <w:color w:val="003CA7" w:themeColor="text2"/>
      <w:sz w:val="20"/>
      <w:szCs w:val="20"/>
      <w:lang w:eastAsia="en-GB"/>
    </w:rPr>
  </w:style>
  <w:style w:type="paragraph" w:customStyle="1" w:styleId="TableText">
    <w:name w:val="Table Text"/>
    <w:basedOn w:val="Normal"/>
    <w:link w:val="TableTextChar"/>
    <w:uiPriority w:val="1"/>
    <w:semiHidden/>
    <w:unhideWhenUsed/>
    <w:rsid w:val="00DC38F2"/>
    <w:pPr>
      <w:spacing w:before="60" w:after="60"/>
    </w:pPr>
    <w:rPr>
      <w:rFonts w:cs="Arial"/>
    </w:rPr>
  </w:style>
  <w:style w:type="character" w:customStyle="1" w:styleId="TableTextChar">
    <w:name w:val="Table Text Char"/>
    <w:basedOn w:val="DefaultParagraphFont"/>
    <w:link w:val="TableText"/>
    <w:uiPriority w:val="1"/>
    <w:semiHidden/>
    <w:rsid w:val="0047250D"/>
    <w:rPr>
      <w:rFonts w:cs="Arial"/>
    </w:rPr>
  </w:style>
  <w:style w:type="paragraph" w:customStyle="1" w:styleId="TableTextDecimal">
    <w:name w:val="Table Text Decimal"/>
    <w:basedOn w:val="TableText"/>
    <w:link w:val="TableTextDecimalChar"/>
    <w:semiHidden/>
    <w:unhideWhenUsed/>
    <w:rsid w:val="00DC38F2"/>
    <w:pPr>
      <w:tabs>
        <w:tab w:val="decimal" w:pos="1134"/>
      </w:tabs>
    </w:pPr>
  </w:style>
  <w:style w:type="character" w:customStyle="1" w:styleId="TableTextDecimalChar">
    <w:name w:val="Table Text Decimal Char"/>
    <w:basedOn w:val="DefaultParagraphFont"/>
    <w:link w:val="TableTextDecimal"/>
    <w:semiHidden/>
    <w:rsid w:val="0047250D"/>
    <w:rPr>
      <w:rFonts w:cs="Arial"/>
    </w:rPr>
  </w:style>
  <w:style w:type="paragraph" w:styleId="BodyText">
    <w:name w:val="Body Text"/>
    <w:basedOn w:val="Normal"/>
    <w:link w:val="BodyTextChar"/>
    <w:uiPriority w:val="1"/>
    <w:unhideWhenUsed/>
    <w:qFormat/>
    <w:rsid w:val="00783F9F"/>
    <w:pPr>
      <w:spacing w:line="276" w:lineRule="auto"/>
    </w:pPr>
    <w:rPr>
      <w:rFonts w:cs="Arial"/>
    </w:rPr>
  </w:style>
  <w:style w:type="character" w:customStyle="1" w:styleId="BodyTextChar">
    <w:name w:val="Body Text Char"/>
    <w:basedOn w:val="DefaultParagraphFont"/>
    <w:link w:val="BodyText"/>
    <w:uiPriority w:val="1"/>
    <w:rsid w:val="0047250D"/>
    <w:rPr>
      <w:rFonts w:cs="Arial"/>
    </w:rPr>
  </w:style>
  <w:style w:type="paragraph" w:customStyle="1" w:styleId="Appendix1">
    <w:name w:val="Appendix 1"/>
    <w:basedOn w:val="AppendTitle"/>
    <w:next w:val="BodyText"/>
    <w:uiPriority w:val="2"/>
    <w:semiHidden/>
    <w:rsid w:val="00BE03D4"/>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RRBaseHeadings"/>
    <w:next w:val="BodyText"/>
    <w:link w:val="CaptionChar1"/>
    <w:qFormat/>
    <w:rsid w:val="001C5AA5"/>
    <w:pPr>
      <w:pBdr>
        <w:top w:val="single" w:sz="4" w:space="3" w:color="A3AAAE" w:themeColor="background2"/>
        <w:bottom w:val="single" w:sz="4" w:space="3" w:color="A3AAAE" w:themeColor="background2"/>
      </w:pBdr>
      <w:spacing w:before="60" w:after="240" w:line="240" w:lineRule="auto"/>
    </w:pPr>
    <w:rPr>
      <w:rFonts w:ascii="Times New Roman" w:hAnsi="Times New Roman" w:cs="Times New Roman"/>
      <w:bCs/>
      <w:color w:val="1A4596"/>
      <w:sz w:val="24"/>
      <w:szCs w:val="24"/>
    </w:rPr>
  </w:style>
  <w:style w:type="paragraph" w:styleId="Header">
    <w:name w:val="header"/>
    <w:basedOn w:val="Normal"/>
    <w:link w:val="HeaderChar"/>
    <w:uiPriority w:val="99"/>
    <w:unhideWhenUsed/>
    <w:rsid w:val="00FE431C"/>
    <w:pPr>
      <w:spacing w:line="262" w:lineRule="auto"/>
    </w:pPr>
    <w:rPr>
      <w:color w:val="A3AAAE" w:themeColor="background2"/>
      <w:sz w:val="16"/>
    </w:rPr>
  </w:style>
  <w:style w:type="character" w:customStyle="1" w:styleId="HeaderChar">
    <w:name w:val="Header Char"/>
    <w:basedOn w:val="DefaultParagraphFont"/>
    <w:link w:val="Header"/>
    <w:uiPriority w:val="99"/>
    <w:rsid w:val="0047250D"/>
    <w:rPr>
      <w:color w:val="A3AAAE" w:themeColor="background2"/>
      <w:sz w:val="16"/>
    </w:rPr>
  </w:style>
  <w:style w:type="paragraph" w:styleId="Footer">
    <w:name w:val="footer"/>
    <w:basedOn w:val="Normal"/>
    <w:link w:val="FooterChar"/>
    <w:uiPriority w:val="99"/>
    <w:unhideWhenUsed/>
    <w:rsid w:val="00DC38F2"/>
    <w:pPr>
      <w:spacing w:line="262" w:lineRule="auto"/>
      <w:jc w:val="center"/>
    </w:pPr>
    <w:rPr>
      <w:sz w:val="16"/>
    </w:rPr>
  </w:style>
  <w:style w:type="character" w:customStyle="1" w:styleId="FooterChar">
    <w:name w:val="Footer Char"/>
    <w:basedOn w:val="DefaultParagraphFont"/>
    <w:link w:val="Footer"/>
    <w:uiPriority w:val="99"/>
    <w:rsid w:val="0047250D"/>
    <w:rPr>
      <w:sz w:val="16"/>
    </w:rPr>
  </w:style>
  <w:style w:type="paragraph" w:customStyle="1" w:styleId="FooterRight">
    <w:name w:val="Footer Right"/>
    <w:basedOn w:val="Footer"/>
    <w:unhideWhenUsed/>
    <w:rsid w:val="00DC38F2"/>
    <w:pPr>
      <w:jc w:val="right"/>
    </w:pPr>
  </w:style>
  <w:style w:type="paragraph" w:customStyle="1" w:styleId="FrontCoverDate">
    <w:name w:val="Front Cover Date"/>
    <w:basedOn w:val="RRBaseHeadings"/>
    <w:semiHidden/>
    <w:rsid w:val="00DC38F2"/>
    <w:pPr>
      <w:spacing w:before="260"/>
    </w:pPr>
    <w:rPr>
      <w:color w:val="FFFFFF" w:themeColor="background1"/>
    </w:rPr>
  </w:style>
  <w:style w:type="paragraph" w:customStyle="1" w:styleId="FrontCoverClient">
    <w:name w:val="Front Cover Client"/>
    <w:basedOn w:val="FrontCoverDate"/>
    <w:unhideWhenUsed/>
    <w:rsid w:val="00DC38F2"/>
    <w:rPr>
      <w:sz w:val="28"/>
    </w:rPr>
  </w:style>
  <w:style w:type="paragraph" w:customStyle="1" w:styleId="FrontCoverReference">
    <w:name w:val="Front Cover Reference"/>
    <w:basedOn w:val="FrontCoverDate"/>
    <w:semiHidden/>
    <w:rsid w:val="00DC38F2"/>
    <w:pPr>
      <w:spacing w:before="120"/>
    </w:pPr>
  </w:style>
  <w:style w:type="paragraph" w:customStyle="1" w:styleId="Appendix2">
    <w:name w:val="Appendix 2"/>
    <w:basedOn w:val="AppendTitle"/>
    <w:next w:val="BodyText"/>
    <w:uiPriority w:val="2"/>
    <w:semiHidden/>
    <w:rsid w:val="00BE03D4"/>
  </w:style>
  <w:style w:type="paragraph" w:customStyle="1" w:styleId="Appendix3">
    <w:name w:val="Appendix 3"/>
    <w:basedOn w:val="RRBaseHeadings"/>
    <w:next w:val="BodyText"/>
    <w:uiPriority w:val="2"/>
    <w:semiHidden/>
    <w:rsid w:val="00DC38F2"/>
    <w:pPr>
      <w:numPr>
        <w:ilvl w:val="3"/>
        <w:numId w:val="3"/>
      </w:numPr>
      <w:tabs>
        <w:tab w:val="num" w:pos="360"/>
      </w:tabs>
      <w:ind w:left="0" w:firstLine="0"/>
      <w:outlineLvl w:val="3"/>
    </w:pPr>
    <w:rPr>
      <w:b/>
    </w:rPr>
  </w:style>
  <w:style w:type="paragraph" w:customStyle="1" w:styleId="AppendixSeparator">
    <w:name w:val="Appendix Separator"/>
    <w:basedOn w:val="RRBaseHeadings"/>
    <w:uiPriority w:val="2"/>
    <w:semiHidden/>
    <w:rsid w:val="00DC38F2"/>
    <w:pPr>
      <w:pageBreakBefore/>
      <w:pBdr>
        <w:bottom w:val="single" w:sz="4" w:space="1" w:color="003CA7" w:themeColor="text2"/>
      </w:pBdr>
      <w:spacing w:before="1200" w:line="240" w:lineRule="auto"/>
    </w:pPr>
    <w:rPr>
      <w:caps/>
      <w:sz w:val="48"/>
    </w:rPr>
  </w:style>
  <w:style w:type="paragraph" w:customStyle="1" w:styleId="AppendixTitle">
    <w:name w:val="Appendix Title"/>
    <w:basedOn w:val="RRBaseHeadings"/>
    <w:next w:val="Appendix1"/>
    <w:link w:val="AppendixTitleChar"/>
    <w:uiPriority w:val="1"/>
    <w:semiHidden/>
    <w:rsid w:val="00DC38F2"/>
    <w:pPr>
      <w:pageBreakBefore/>
      <w:numPr>
        <w:numId w:val="3"/>
      </w:numPr>
      <w:spacing w:after="130" w:line="257" w:lineRule="auto"/>
      <w:outlineLvl w:val="0"/>
    </w:pPr>
    <w:rPr>
      <w:b/>
      <w:sz w:val="26"/>
    </w:rPr>
  </w:style>
  <w:style w:type="paragraph" w:customStyle="1" w:styleId="FrontCoverImage">
    <w:name w:val="Front Cover Image"/>
    <w:semiHidden/>
    <w:unhideWhenUsed/>
    <w:rsid w:val="00DC38F2"/>
    <w:rPr>
      <w:rFonts w:eastAsiaTheme="minorEastAsia" w:cs="Arial"/>
      <w:color w:val="003CA7" w:themeColor="text2"/>
      <w:lang w:eastAsia="en-GB"/>
    </w:rPr>
  </w:style>
  <w:style w:type="paragraph" w:customStyle="1" w:styleId="Heading1Numbered">
    <w:name w:val="Heading 1 Numbered"/>
    <w:basedOn w:val="Normal"/>
    <w:next w:val="Normal"/>
    <w:semiHidden/>
    <w:rsid w:val="005F5673"/>
    <w:pPr>
      <w:pageBreakBefore/>
      <w:widowControl w:val="0"/>
      <w:pBdr>
        <w:bottom w:val="single" w:sz="4" w:space="1" w:color="auto"/>
      </w:pBdr>
      <w:spacing w:after="240"/>
      <w:ind w:left="737" w:hanging="737"/>
    </w:pPr>
    <w:rPr>
      <w:rFonts w:cs="Times New Roman (Headings CS)"/>
      <w:bCs/>
      <w:caps/>
      <w:color w:val="1A4596"/>
      <w:sz w:val="32"/>
      <w:szCs w:val="28"/>
    </w:rPr>
  </w:style>
  <w:style w:type="paragraph" w:customStyle="1" w:styleId="Heading1NumberedNewPage">
    <w:name w:val="Heading 1 Numbered New Page"/>
    <w:basedOn w:val="Heading1Numbered"/>
    <w:next w:val="BodyText"/>
    <w:semiHidden/>
    <w:rsid w:val="003534F4"/>
  </w:style>
  <w:style w:type="paragraph" w:customStyle="1" w:styleId="Heading2Numbered">
    <w:name w:val="Heading 2 Numbered"/>
    <w:basedOn w:val="Heading2"/>
    <w:next w:val="Normal"/>
    <w:semiHidden/>
    <w:rsid w:val="00E370FA"/>
    <w:pPr>
      <w:numPr>
        <w:ilvl w:val="0"/>
        <w:numId w:val="0"/>
      </w:numPr>
      <w:spacing w:before="260" w:after="130" w:line="257" w:lineRule="auto"/>
      <w:ind w:left="737" w:hanging="737"/>
    </w:pPr>
    <w:rPr>
      <w:rFonts w:cs="Times New Roman (Headings CS)"/>
      <w:bCs/>
      <w:caps w:val="0"/>
    </w:rPr>
  </w:style>
  <w:style w:type="paragraph" w:customStyle="1" w:styleId="Heading3Numbered">
    <w:name w:val="Heading 3 Numbered"/>
    <w:basedOn w:val="Heading3"/>
    <w:next w:val="Normal"/>
    <w:semiHidden/>
    <w:rsid w:val="00E370FA"/>
    <w:pPr>
      <w:numPr>
        <w:ilvl w:val="0"/>
        <w:numId w:val="0"/>
      </w:numPr>
      <w:spacing w:before="260"/>
      <w:ind w:left="1474" w:hanging="737"/>
    </w:pPr>
    <w:rPr>
      <w:b w:val="0"/>
      <w:bCs/>
      <w:szCs w:val="20"/>
    </w:rPr>
  </w:style>
  <w:style w:type="paragraph" w:customStyle="1" w:styleId="Heading4Numbered">
    <w:name w:val="Heading 4 Numbered"/>
    <w:basedOn w:val="Heading4"/>
    <w:next w:val="BodyText"/>
    <w:semiHidden/>
    <w:rsid w:val="00E370FA"/>
    <w:pPr>
      <w:spacing w:before="260"/>
      <w:ind w:left="737" w:hanging="737"/>
    </w:pPr>
    <w:rPr>
      <w:b/>
      <w:bCs/>
      <w:i w:val="0"/>
      <w:color w:val="242828" w:themeColor="text1"/>
    </w:rPr>
  </w:style>
  <w:style w:type="paragraph" w:customStyle="1" w:styleId="SectionHeading">
    <w:name w:val="Section Heading"/>
    <w:basedOn w:val="RRBaseHeadings"/>
    <w:next w:val="BodyText"/>
    <w:unhideWhenUsed/>
    <w:rsid w:val="00A404F1"/>
    <w:pPr>
      <w:pBdr>
        <w:bottom w:val="single" w:sz="4" w:space="1" w:color="auto"/>
      </w:pBdr>
      <w:spacing w:after="260" w:line="254" w:lineRule="auto"/>
    </w:pPr>
    <w:rPr>
      <w:caps/>
      <w:color w:val="1A4596"/>
      <w:sz w:val="32"/>
    </w:rPr>
  </w:style>
  <w:style w:type="paragraph" w:customStyle="1" w:styleId="SignatureLine">
    <w:name w:val="Signature Line"/>
    <w:basedOn w:val="Normal"/>
    <w:semiHidden/>
    <w:rsid w:val="00DC38F2"/>
    <w:pPr>
      <w:tabs>
        <w:tab w:val="left" w:pos="1021"/>
        <w:tab w:val="left" w:leader="dot" w:pos="5670"/>
        <w:tab w:val="left" w:pos="6237"/>
        <w:tab w:val="left" w:leader="dot" w:pos="8505"/>
      </w:tabs>
    </w:pPr>
    <w:rPr>
      <w:rFonts w:cs="Arial"/>
    </w:rPr>
  </w:style>
  <w:style w:type="paragraph" w:customStyle="1" w:styleId="SmallPrint">
    <w:name w:val="Small Print"/>
    <w:basedOn w:val="Normal"/>
    <w:semiHidden/>
    <w:rsid w:val="00DC38F2"/>
    <w:pPr>
      <w:spacing w:after="130"/>
    </w:pPr>
    <w:rPr>
      <w:rFonts w:cs="Arial"/>
      <w:color w:val="003CA7" w:themeColor="text2"/>
      <w:sz w:val="16"/>
    </w:rPr>
  </w:style>
  <w:style w:type="paragraph" w:customStyle="1" w:styleId="SmallPrintGrey">
    <w:name w:val="Small Print Grey"/>
    <w:basedOn w:val="SmallPrint"/>
    <w:semiHidden/>
    <w:rsid w:val="00DC38F2"/>
    <w:rPr>
      <w:color w:val="717275"/>
    </w:rPr>
  </w:style>
  <w:style w:type="paragraph" w:customStyle="1" w:styleId="SubsectionHeading">
    <w:name w:val="Subsection Heading"/>
    <w:basedOn w:val="RRBaseHeadings"/>
    <w:next w:val="BodyText"/>
    <w:unhideWhenUsed/>
    <w:rsid w:val="00A404F1"/>
    <w:pPr>
      <w:spacing w:after="260"/>
    </w:pPr>
    <w:rPr>
      <w:b/>
      <w:color w:val="1A4596"/>
    </w:rPr>
  </w:style>
  <w:style w:type="paragraph" w:styleId="Subtitle">
    <w:name w:val="Subtitle"/>
    <w:aliases w:val="ade_Untertitel"/>
    <w:basedOn w:val="RRBaseHeadings"/>
    <w:next w:val="BodyText"/>
    <w:link w:val="SubtitleChar"/>
    <w:uiPriority w:val="99"/>
    <w:unhideWhenUsed/>
    <w:qFormat/>
    <w:rsid w:val="00DC38F2"/>
    <w:pPr>
      <w:numPr>
        <w:ilvl w:val="1"/>
      </w:numPr>
      <w:spacing w:line="240" w:lineRule="auto"/>
      <w:ind w:left="57" w:right="57"/>
    </w:pPr>
    <w:rPr>
      <w:rFonts w:eastAsiaTheme="majorEastAsia" w:cstheme="majorBidi"/>
      <w:iCs/>
      <w:color w:val="FFFFFF" w:themeColor="background1"/>
      <w:spacing w:val="15"/>
      <w:sz w:val="40"/>
      <w:szCs w:val="24"/>
    </w:rPr>
  </w:style>
  <w:style w:type="character" w:customStyle="1" w:styleId="SubtitleChar">
    <w:name w:val="Subtitle Char"/>
    <w:aliases w:val="ade_Untertitel Char"/>
    <w:basedOn w:val="DefaultParagraphFont"/>
    <w:link w:val="Subtitle"/>
    <w:uiPriority w:val="99"/>
    <w:rsid w:val="0047250D"/>
    <w:rPr>
      <w:rFonts w:asciiTheme="majorHAnsi" w:eastAsiaTheme="majorEastAsia" w:hAnsiTheme="majorHAnsi" w:cstheme="majorBidi"/>
      <w:iCs/>
      <w:color w:val="FFFFFF" w:themeColor="background1"/>
      <w:spacing w:val="15"/>
      <w:sz w:val="40"/>
      <w:szCs w:val="24"/>
      <w:lang w:eastAsia="en-GB"/>
    </w:rPr>
  </w:style>
  <w:style w:type="paragraph" w:styleId="TableofFigures">
    <w:name w:val="table of figures"/>
    <w:basedOn w:val="Normal"/>
    <w:next w:val="Normal"/>
    <w:uiPriority w:val="99"/>
    <w:unhideWhenUsed/>
    <w:qFormat/>
    <w:rsid w:val="002B6CC8"/>
  </w:style>
  <w:style w:type="paragraph" w:styleId="Title">
    <w:name w:val="Title"/>
    <w:aliases w:val="ade_Titel"/>
    <w:basedOn w:val="RRBaseHeadings"/>
    <w:next w:val="Subtitle"/>
    <w:link w:val="TitleChar"/>
    <w:uiPriority w:val="10"/>
    <w:unhideWhenUsed/>
    <w:qFormat/>
    <w:rsid w:val="00DC38F2"/>
    <w:pPr>
      <w:pBdr>
        <w:bottom w:val="single" w:sz="4" w:space="1" w:color="003CA7" w:themeColor="text2"/>
      </w:pBdr>
      <w:spacing w:after="260" w:line="240" w:lineRule="auto"/>
      <w:ind w:left="57" w:right="57"/>
      <w:contextualSpacing/>
    </w:pPr>
    <w:rPr>
      <w:rFonts w:eastAsiaTheme="majorEastAsia" w:cs="Times New Roman (Headings CS)"/>
      <w:caps/>
      <w:color w:val="FFFFFF" w:themeColor="background1"/>
      <w:spacing w:val="5"/>
      <w:kern w:val="28"/>
      <w:sz w:val="60"/>
      <w:szCs w:val="52"/>
    </w:rPr>
  </w:style>
  <w:style w:type="character" w:customStyle="1" w:styleId="TitleChar">
    <w:name w:val="Title Char"/>
    <w:aliases w:val="ade_Titel Char"/>
    <w:basedOn w:val="DefaultParagraphFont"/>
    <w:link w:val="Title"/>
    <w:uiPriority w:val="10"/>
    <w:rsid w:val="0047250D"/>
    <w:rPr>
      <w:rFonts w:asciiTheme="majorHAnsi" w:eastAsiaTheme="majorEastAsia" w:hAnsiTheme="majorHAnsi" w:cs="Times New Roman (Headings CS)"/>
      <w:caps/>
      <w:color w:val="FFFFFF" w:themeColor="background1"/>
      <w:spacing w:val="5"/>
      <w:kern w:val="28"/>
      <w:sz w:val="60"/>
      <w:szCs w:val="52"/>
      <w:lang w:eastAsia="en-GB"/>
    </w:rPr>
  </w:style>
  <w:style w:type="paragraph" w:styleId="TOC1">
    <w:name w:val="toc 1"/>
    <w:basedOn w:val="RRBaseHeadings"/>
    <w:next w:val="BodyText"/>
    <w:uiPriority w:val="39"/>
    <w:qFormat/>
    <w:rsid w:val="00680433"/>
    <w:pPr>
      <w:keepNext w:val="0"/>
      <w:keepLines w:val="0"/>
      <w:spacing w:before="120" w:line="240" w:lineRule="auto"/>
      <w:jc w:val="left"/>
    </w:pPr>
    <w:rPr>
      <w:rFonts w:asciiTheme="minorHAnsi" w:eastAsiaTheme="minorHAnsi" w:hAnsiTheme="minorHAnsi" w:cstheme="minorHAnsi"/>
      <w:b/>
      <w:bCs/>
      <w:caps/>
      <w:color w:val="242828" w:themeColor="text1"/>
      <w:lang w:eastAsia="en-US"/>
    </w:rPr>
  </w:style>
  <w:style w:type="paragraph" w:styleId="TOC2">
    <w:name w:val="toc 2"/>
    <w:basedOn w:val="TOC1"/>
    <w:next w:val="BodyText"/>
    <w:uiPriority w:val="39"/>
    <w:qFormat/>
    <w:rsid w:val="008F2E90"/>
    <w:pPr>
      <w:spacing w:before="0" w:after="0"/>
      <w:ind w:left="240"/>
    </w:pPr>
    <w:rPr>
      <w:b w:val="0"/>
      <w:bCs w:val="0"/>
      <w:caps w:val="0"/>
      <w:smallCaps/>
    </w:rPr>
  </w:style>
  <w:style w:type="paragraph" w:styleId="TOC4">
    <w:name w:val="toc 4"/>
    <w:basedOn w:val="TOC3"/>
    <w:next w:val="Normal"/>
    <w:autoRedefine/>
    <w:uiPriority w:val="39"/>
    <w:qFormat/>
    <w:rsid w:val="00DC38F2"/>
    <w:pPr>
      <w:ind w:left="720"/>
    </w:pPr>
    <w:rPr>
      <w:i w:val="0"/>
      <w:iCs w:val="0"/>
      <w:sz w:val="18"/>
      <w:szCs w:val="18"/>
    </w:rPr>
  </w:style>
  <w:style w:type="paragraph" w:customStyle="1" w:styleId="VCHeading">
    <w:name w:val="VC Heading"/>
    <w:basedOn w:val="RRBaseHeadings"/>
    <w:uiPriority w:val="1"/>
    <w:semiHidden/>
    <w:rsid w:val="00DC38F2"/>
    <w:pPr>
      <w:spacing w:before="130" w:after="260" w:line="257" w:lineRule="auto"/>
    </w:pPr>
    <w:rPr>
      <w:sz w:val="26"/>
    </w:rPr>
  </w:style>
  <w:style w:type="character" w:customStyle="1" w:styleId="Heading1Char">
    <w:name w:val="Heading 1 Char"/>
    <w:aliases w:val="ade_Überschrift 1 Char"/>
    <w:basedOn w:val="DefaultParagraphFont"/>
    <w:link w:val="Heading1"/>
    <w:uiPriority w:val="9"/>
    <w:rsid w:val="0047250D"/>
    <w:rPr>
      <w:rFonts w:asciiTheme="majorHAnsi" w:eastAsiaTheme="majorEastAsia" w:hAnsiTheme="majorHAnsi" w:cstheme="majorBidi"/>
      <w:caps/>
      <w:color w:val="1A4596"/>
      <w:sz w:val="32"/>
      <w:szCs w:val="32"/>
    </w:rPr>
  </w:style>
  <w:style w:type="paragraph" w:styleId="TOCHeading">
    <w:name w:val="TOC Heading"/>
    <w:basedOn w:val="RRBaseHeadings"/>
    <w:next w:val="BodyText"/>
    <w:uiPriority w:val="39"/>
    <w:unhideWhenUsed/>
    <w:qFormat/>
    <w:rsid w:val="00DB1DD0"/>
    <w:pPr>
      <w:spacing w:after="260" w:line="254" w:lineRule="auto"/>
    </w:pPr>
    <w:rPr>
      <w:b/>
      <w:color w:val="1A4596"/>
      <w:sz w:val="32"/>
    </w:rPr>
  </w:style>
  <w:style w:type="numbering" w:customStyle="1" w:styleId="LRRAppendices">
    <w:name w:val="LRR Appendices"/>
    <w:uiPriority w:val="99"/>
    <w:rsid w:val="00DC38F2"/>
    <w:pPr>
      <w:numPr>
        <w:numId w:val="1"/>
      </w:numPr>
    </w:pPr>
  </w:style>
  <w:style w:type="numbering" w:customStyle="1" w:styleId="LRRHeadings">
    <w:name w:val="LRR Headings"/>
    <w:uiPriority w:val="99"/>
    <w:rsid w:val="00DC38F2"/>
    <w:pPr>
      <w:numPr>
        <w:numId w:val="2"/>
      </w:numPr>
    </w:pPr>
  </w:style>
  <w:style w:type="table" w:customStyle="1" w:styleId="RicardoTable">
    <w:name w:val="Ricardo Table"/>
    <w:basedOn w:val="TableNormal"/>
    <w:uiPriority w:val="99"/>
    <w:unhideWhenUsed/>
    <w:rsid w:val="00F62EEF"/>
    <w:pPr>
      <w:spacing w:before="60" w:after="60"/>
    </w:pPr>
    <w:rPr>
      <w:rFonts w:eastAsiaTheme="minorEastAsia"/>
      <w:lang w:eastAsia="en-GB"/>
    </w:rPr>
    <w:tblPr/>
    <w:tblStylePr w:type="firstRow">
      <w:pPr>
        <w:keepNext/>
        <w:wordWrap/>
        <w:jc w:val="left"/>
      </w:pPr>
      <w:rPr>
        <w:rFonts w:ascii="Arial" w:hAnsi="Arial"/>
        <w:b/>
        <w:color w:val="FFFFFF" w:themeColor="background1"/>
        <w:sz w:val="20"/>
      </w:rPr>
    </w:tblStylePr>
  </w:style>
  <w:style w:type="paragraph" w:customStyle="1" w:styleId="TableTitle0">
    <w:name w:val="Table Title"/>
    <w:basedOn w:val="TableText"/>
    <w:semiHidden/>
    <w:unhideWhenUsed/>
    <w:rsid w:val="00DC38F2"/>
    <w:rPr>
      <w:b/>
      <w:color w:val="FFFFFF"/>
    </w:rPr>
  </w:style>
  <w:style w:type="character" w:styleId="Hyperlink">
    <w:name w:val="Hyperlink"/>
    <w:aliases w:val="toc 2,TOC 21"/>
    <w:basedOn w:val="DefaultParagraphFont"/>
    <w:uiPriority w:val="99"/>
    <w:unhideWhenUsed/>
    <w:qFormat/>
    <w:rsid w:val="00182126"/>
    <w:rPr>
      <w:rFonts w:ascii="Times New Roman" w:hAnsi="Times New Roman"/>
      <w:color w:val="auto"/>
      <w:sz w:val="20"/>
      <w:u w:val="single"/>
    </w:rPr>
  </w:style>
  <w:style w:type="character" w:styleId="PlaceholderText">
    <w:name w:val="Placeholder Text"/>
    <w:basedOn w:val="DefaultParagraphFont"/>
    <w:uiPriority w:val="99"/>
    <w:rsid w:val="00DC38F2"/>
    <w:rPr>
      <w:color w:val="808080"/>
    </w:rPr>
  </w:style>
  <w:style w:type="character" w:styleId="Strong">
    <w:name w:val="Strong"/>
    <w:basedOn w:val="DefaultParagraphFont"/>
    <w:uiPriority w:val="22"/>
    <w:qFormat/>
    <w:rsid w:val="00DC38F2"/>
    <w:rPr>
      <w:b/>
      <w:bCs/>
    </w:rPr>
  </w:style>
  <w:style w:type="character" w:customStyle="1" w:styleId="HiddenText">
    <w:name w:val="Hidden Text"/>
    <w:basedOn w:val="DefaultParagraphFont"/>
    <w:uiPriority w:val="1"/>
    <w:semiHidden/>
    <w:unhideWhenUsed/>
    <w:rsid w:val="00DC38F2"/>
    <w:rPr>
      <w:vanish/>
    </w:rPr>
  </w:style>
  <w:style w:type="paragraph" w:customStyle="1" w:styleId="HeaderLogo">
    <w:name w:val="Header Logo"/>
    <w:basedOn w:val="Header"/>
    <w:semiHidden/>
    <w:rsid w:val="00DC38F2"/>
    <w:pPr>
      <w:jc w:val="right"/>
    </w:pPr>
  </w:style>
  <w:style w:type="paragraph" w:customStyle="1" w:styleId="LogoFrontCover">
    <w:name w:val="Logo Front Cover"/>
    <w:semiHidden/>
    <w:rsid w:val="00DC38F2"/>
    <w:pPr>
      <w:ind w:left="-57"/>
      <w:jc w:val="right"/>
    </w:pPr>
    <w:rPr>
      <w:rFonts w:eastAsiaTheme="minorEastAsia" w:cs="Arial"/>
      <w:noProof/>
      <w:lang w:eastAsia="en-GB"/>
    </w:rPr>
  </w:style>
  <w:style w:type="table" w:styleId="PlainTable2">
    <w:name w:val="Plain Table 2"/>
    <w:basedOn w:val="TableNormal"/>
    <w:uiPriority w:val="42"/>
    <w:rsid w:val="00EC6972"/>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Heading2Char">
    <w:name w:val="Heading 2 Char"/>
    <w:aliases w:val="ade_Überschrift 2 Char"/>
    <w:basedOn w:val="DefaultParagraphFont"/>
    <w:link w:val="Heading2"/>
    <w:uiPriority w:val="9"/>
    <w:rsid w:val="00F2644E"/>
    <w:rPr>
      <w:rFonts w:asciiTheme="majorHAnsi" w:eastAsiaTheme="majorEastAsia" w:hAnsiTheme="majorHAnsi" w:cstheme="majorBidi"/>
      <w:caps/>
      <w:color w:val="1A4596"/>
      <w:sz w:val="26"/>
      <w:szCs w:val="26"/>
    </w:rPr>
  </w:style>
  <w:style w:type="character" w:customStyle="1" w:styleId="Heading3Char">
    <w:name w:val="Heading 3 Char"/>
    <w:aliases w:val="ade_Überschrift 3 Char"/>
    <w:basedOn w:val="DefaultParagraphFont"/>
    <w:link w:val="Heading3"/>
    <w:uiPriority w:val="9"/>
    <w:rsid w:val="0047250D"/>
    <w:rPr>
      <w:rFonts w:asciiTheme="majorHAnsi" w:eastAsiaTheme="majorEastAsia" w:hAnsiTheme="majorHAnsi" w:cstheme="majorBidi"/>
      <w:b/>
      <w:sz w:val="24"/>
      <w:szCs w:val="24"/>
    </w:rPr>
  </w:style>
  <w:style w:type="character" w:customStyle="1" w:styleId="Heading4Char">
    <w:name w:val="Heading 4 Char"/>
    <w:aliases w:val="ade_Überschrift 4 Char"/>
    <w:basedOn w:val="DefaultParagraphFont"/>
    <w:link w:val="Heading4"/>
    <w:uiPriority w:val="9"/>
    <w:rsid w:val="002B23FD"/>
    <w:rPr>
      <w:rFonts w:asciiTheme="majorHAnsi" w:eastAsiaTheme="majorEastAsia" w:hAnsiTheme="majorHAnsi" w:cstheme="majorBidi"/>
      <w:i/>
      <w:iCs/>
      <w:color w:val="auto"/>
      <w:sz w:val="24"/>
      <w:szCs w:val="24"/>
      <w:lang w:val="en-US"/>
    </w:rPr>
  </w:style>
  <w:style w:type="paragraph" w:styleId="TOC3">
    <w:name w:val="toc 3"/>
    <w:basedOn w:val="TOC2"/>
    <w:next w:val="Normal"/>
    <w:autoRedefine/>
    <w:uiPriority w:val="39"/>
    <w:qFormat/>
    <w:rsid w:val="000773C6"/>
    <w:pPr>
      <w:ind w:left="480"/>
    </w:pPr>
    <w:rPr>
      <w:i/>
      <w:iCs/>
      <w:smallCaps w:val="0"/>
    </w:rPr>
  </w:style>
  <w:style w:type="table" w:styleId="TableGrid">
    <w:name w:val="Table Grid"/>
    <w:aliases w:val="Document Table,Gena,Tabellengitternetz,Table Format 1,Table_FPB,CV1,CV table,EY Table,none,TabelEcorys,IT Park_Citation,san defined,chiffres,Tableau D,Table Finalité,Table EY,Volet,HTG,Tabela Renova,Deloitte,Simple table,simple table"/>
    <w:basedOn w:val="TableNormal"/>
    <w:uiPriority w:val="39"/>
    <w:rsid w:val="00DC38F2"/>
    <w:pPr>
      <w:spacing w:after="0" w:line="240" w:lineRule="auto"/>
    </w:pPr>
    <w:tblPr/>
  </w:style>
  <w:style w:type="paragraph" w:customStyle="1" w:styleId="BasicParagraph">
    <w:name w:val="[Basic Paragraph]"/>
    <w:basedOn w:val="Normal"/>
    <w:uiPriority w:val="99"/>
    <w:unhideWhenUsed/>
    <w:rsid w:val="009B58FC"/>
    <w:pPr>
      <w:autoSpaceDE w:val="0"/>
      <w:autoSpaceDN w:val="0"/>
      <w:adjustRightInd w:val="0"/>
      <w:spacing w:after="0" w:line="288" w:lineRule="auto"/>
      <w:textAlignment w:val="center"/>
    </w:pPr>
    <w:rPr>
      <w:rFonts w:ascii="MinionPro-Regular" w:hAnsi="MinionPro-Regular" w:cs="MinionPro-Regular"/>
      <w:color w:val="000000"/>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Ha,Lettre d'introduction"/>
    <w:basedOn w:val="Normal"/>
    <w:link w:val="ListParagraphChar"/>
    <w:uiPriority w:val="34"/>
    <w:qFormat/>
    <w:rsid w:val="00F308EB"/>
    <w:pPr>
      <w:spacing w:after="60"/>
      <w:ind w:left="720" w:hanging="360"/>
    </w:pPr>
    <w:rPr>
      <w:rFonts w:cs="Arial"/>
      <w:szCs w:val="22"/>
    </w:rPr>
  </w:style>
  <w:style w:type="paragraph" w:customStyle="1" w:styleId="SecondaryColourPaletteText1">
    <w:name w:val="Secondary Colour Palette Text 1"/>
    <w:basedOn w:val="BodyText"/>
    <w:next w:val="Normal"/>
    <w:link w:val="SecondaryColourPaletteText1Char"/>
    <w:uiPriority w:val="2"/>
    <w:unhideWhenUsed/>
    <w:rsid w:val="00166A5A"/>
    <w:rPr>
      <w:color w:val="97124B"/>
    </w:rPr>
  </w:style>
  <w:style w:type="paragraph" w:customStyle="1" w:styleId="SecondaryColourPalette2">
    <w:name w:val="Secondary Colour Palette 2"/>
    <w:basedOn w:val="SecondaryColourPaletteText1"/>
    <w:next w:val="Normal"/>
    <w:link w:val="SecondaryColourPalette2Char"/>
    <w:uiPriority w:val="2"/>
    <w:unhideWhenUsed/>
    <w:rsid w:val="00166A5A"/>
    <w:pPr>
      <w:spacing w:line="240" w:lineRule="auto"/>
    </w:pPr>
    <w:rPr>
      <w:color w:val="004C46"/>
    </w:rPr>
  </w:style>
  <w:style w:type="character" w:customStyle="1" w:styleId="SecondaryColourPaletteText1Char">
    <w:name w:val="Secondary Colour Palette Text 1 Char"/>
    <w:basedOn w:val="BodyTextChar"/>
    <w:link w:val="SecondaryColourPaletteText1"/>
    <w:uiPriority w:val="2"/>
    <w:rsid w:val="0047250D"/>
    <w:rPr>
      <w:rFonts w:cs="Arial"/>
      <w:color w:val="97124B"/>
    </w:rPr>
  </w:style>
  <w:style w:type="paragraph" w:customStyle="1" w:styleId="SecondaryColourPalette3">
    <w:name w:val="Secondary Colour Palette 3"/>
    <w:basedOn w:val="SecondaryColourPalette2"/>
    <w:next w:val="Normal"/>
    <w:link w:val="SecondaryColourPalette3Char"/>
    <w:uiPriority w:val="2"/>
    <w:unhideWhenUsed/>
    <w:rsid w:val="00166A5A"/>
    <w:rPr>
      <w:color w:val="FECC16"/>
    </w:rPr>
  </w:style>
  <w:style w:type="character" w:customStyle="1" w:styleId="SecondaryColourPalette2Char">
    <w:name w:val="Secondary Colour Palette 2 Char"/>
    <w:basedOn w:val="SecondaryColourPaletteText1Char"/>
    <w:link w:val="SecondaryColourPalette2"/>
    <w:uiPriority w:val="2"/>
    <w:rsid w:val="0047250D"/>
    <w:rPr>
      <w:rFonts w:cs="Arial"/>
      <w:color w:val="004C46"/>
    </w:rPr>
  </w:style>
  <w:style w:type="character" w:customStyle="1" w:styleId="UnresolvedMention1">
    <w:name w:val="Unresolved Mention1"/>
    <w:basedOn w:val="DefaultParagraphFont"/>
    <w:uiPriority w:val="99"/>
    <w:semiHidden/>
    <w:unhideWhenUsed/>
    <w:rsid w:val="00491253"/>
    <w:rPr>
      <w:color w:val="605E5C"/>
      <w:shd w:val="clear" w:color="auto" w:fill="E1DFDD"/>
    </w:rPr>
  </w:style>
  <w:style w:type="character" w:customStyle="1" w:styleId="SecondaryColourPalette3Char">
    <w:name w:val="Secondary Colour Palette 3 Char"/>
    <w:basedOn w:val="SecondaryColourPalette2Char"/>
    <w:link w:val="SecondaryColourPalette3"/>
    <w:uiPriority w:val="2"/>
    <w:rsid w:val="0047250D"/>
    <w:rPr>
      <w:rFonts w:cs="Arial"/>
      <w:color w:val="FECC16"/>
    </w:rPr>
  </w:style>
  <w:style w:type="numbering" w:customStyle="1" w:styleId="BulletList">
    <w:name w:val="Bullet List"/>
    <w:basedOn w:val="LRRHeadings"/>
    <w:uiPriority w:val="99"/>
    <w:rsid w:val="00DB1DD0"/>
    <w:pPr>
      <w:numPr>
        <w:numId w:val="9"/>
      </w:numPr>
    </w:pPr>
  </w:style>
  <w:style w:type="paragraph" w:customStyle="1" w:styleId="AppendixHead">
    <w:name w:val="Appendix Head"/>
    <w:basedOn w:val="Heading1"/>
    <w:link w:val="AppendixHeadChar"/>
    <w:uiPriority w:val="2"/>
    <w:qFormat/>
    <w:rsid w:val="00E77E9B"/>
    <w:pPr>
      <w:numPr>
        <w:numId w:val="0"/>
      </w:numPr>
      <w:spacing w:before="120"/>
    </w:pPr>
  </w:style>
  <w:style w:type="character" w:customStyle="1" w:styleId="AppendixTitleChar">
    <w:name w:val="Appendix Title Char"/>
    <w:basedOn w:val="RRBaseHeadingsChar"/>
    <w:link w:val="AppendixTitle"/>
    <w:uiPriority w:val="1"/>
    <w:semiHidden/>
    <w:rsid w:val="00B40323"/>
    <w:rPr>
      <w:rFonts w:asciiTheme="majorHAnsi" w:eastAsiaTheme="minorEastAsia" w:hAnsiTheme="majorHAnsi" w:cs="Arial"/>
      <w:b/>
      <w:color w:val="003CA7" w:themeColor="text2"/>
      <w:sz w:val="26"/>
      <w:szCs w:val="20"/>
      <w:lang w:eastAsia="en-GB"/>
    </w:rPr>
  </w:style>
  <w:style w:type="character" w:customStyle="1" w:styleId="AppendixHeadChar">
    <w:name w:val="Appendix Head Char"/>
    <w:basedOn w:val="AppendixTitleChar"/>
    <w:link w:val="AppendixHead"/>
    <w:uiPriority w:val="2"/>
    <w:rsid w:val="00F74673"/>
    <w:rPr>
      <w:rFonts w:asciiTheme="majorHAnsi" w:eastAsiaTheme="majorEastAsia" w:hAnsiTheme="majorHAnsi" w:cstheme="majorBidi"/>
      <w:b w:val="0"/>
      <w:caps/>
      <w:color w:val="1A4596"/>
      <w:sz w:val="32"/>
      <w:szCs w:val="32"/>
      <w:lang w:eastAsia="en-GB"/>
    </w:rPr>
  </w:style>
  <w:style w:type="table" w:customStyle="1" w:styleId="Highlightbox">
    <w:name w:val="Highlight box"/>
    <w:basedOn w:val="TableNormal"/>
    <w:uiPriority w:val="99"/>
    <w:rsid w:val="00D6086B"/>
    <w:pPr>
      <w:spacing w:before="60" w:after="60" w:line="240" w:lineRule="auto"/>
    </w:pPr>
    <w:tblPr/>
  </w:style>
  <w:style w:type="paragraph" w:styleId="FootnoteText">
    <w:name w:val="footnote text"/>
    <w:aliases w:val="Fußnotentext Char1,Fußnotentext Char Char,Fußnotentext Char1 Char Char,Fußnotentext Char Char Char Char,Fußnotentext Char1 Char Char Char Char,Fußnotentext Char Char Char Char Char Char,Fußnotentext Char Char1 Char Char,Fußnotentextf,RSK-F"/>
    <w:basedOn w:val="Normal"/>
    <w:link w:val="FootnoteTextChar"/>
    <w:uiPriority w:val="99"/>
    <w:qFormat/>
    <w:rsid w:val="00E477D0"/>
    <w:pPr>
      <w:spacing w:after="40"/>
    </w:pPr>
    <w:rPr>
      <w:rFonts w:cs="Arial"/>
      <w:sz w:val="16"/>
    </w:rPr>
  </w:style>
  <w:style w:type="character" w:customStyle="1" w:styleId="FootnoteTextChar">
    <w:name w:val="Footnote Text Char"/>
    <w:aliases w:val="Fußnotentext Char1 Char,Fußnotentext Char Char Char,Fußnotentext Char1 Char Char Char,Fußnotentext Char Char Char Char Char,Fußnotentext Char1 Char Char Char Char Char,Fußnotentext Char Char Char Char Char Char Char,Fußnotentextf Char"/>
    <w:basedOn w:val="DefaultParagraphFont"/>
    <w:link w:val="FootnoteText"/>
    <w:uiPriority w:val="99"/>
    <w:qFormat/>
    <w:rsid w:val="00662852"/>
    <w:rPr>
      <w:rFonts w:ascii="Times New Roman" w:hAnsi="Times New Roman" w:cs="Arial"/>
      <w:sz w:val="16"/>
      <w:szCs w:val="24"/>
    </w:rPr>
  </w:style>
  <w:style w:type="character" w:styleId="FootnoteReference">
    <w:name w:val="footnote reference"/>
    <w:aliases w:val="number,SUPERS,Footnote Reference Superscript,-E Fuﬂnotenzeichen,-E Fuûnotenzeichen,-E Fußnotenzeichen,EN Footnote Reference,Footnote number,stylish,Footnote symbol,(Footnote Reference),Footnote reference number,note TESI,Ref,R,BVI fnr"/>
    <w:basedOn w:val="DefaultParagraphFont"/>
    <w:link w:val="SUPERSCharCharCharCharCharCharCharChar"/>
    <w:uiPriority w:val="99"/>
    <w:unhideWhenUsed/>
    <w:qFormat/>
    <w:rsid w:val="00964648"/>
    <w:rPr>
      <w:vertAlign w:val="superscript"/>
    </w:rPr>
  </w:style>
  <w:style w:type="paragraph" w:customStyle="1" w:styleId="TableFigureFootnote">
    <w:name w:val="TableFigure Footnote"/>
    <w:next w:val="Normal"/>
    <w:link w:val="TableFigureFootnoteChar"/>
    <w:uiPriority w:val="1"/>
    <w:qFormat/>
    <w:rsid w:val="003D2570"/>
    <w:pPr>
      <w:spacing w:before="120"/>
    </w:pPr>
    <w:rPr>
      <w:rFonts w:cs="Arial"/>
      <w:i/>
      <w:sz w:val="18"/>
      <w:szCs w:val="22"/>
    </w:rPr>
  </w:style>
  <w:style w:type="character" w:customStyle="1" w:styleId="TableFigureFootnoteChar">
    <w:name w:val="TableFigure Footnote Char"/>
    <w:basedOn w:val="DefaultParagraphFont"/>
    <w:link w:val="TableFigureFootnote"/>
    <w:uiPriority w:val="1"/>
    <w:rsid w:val="0047250D"/>
    <w:rPr>
      <w:rFonts w:cs="Arial"/>
      <w:i/>
      <w:sz w:val="18"/>
      <w:szCs w:val="22"/>
    </w:rPr>
  </w:style>
  <w:style w:type="table" w:styleId="TableGrid1">
    <w:name w:val="Table Grid 1"/>
    <w:basedOn w:val="TableNormal"/>
    <w:semiHidden/>
    <w:unhideWhenUsed/>
    <w:rsid w:val="00964648"/>
    <w:pPr>
      <w:ind w:left="737"/>
    </w:pPr>
    <w:tblPr/>
    <w:tblStylePr w:type="lastRow">
      <w:rPr>
        <w:i/>
        <w:iCs/>
      </w:rPr>
    </w:tblStylePr>
    <w:tblStylePr w:type="lastCol">
      <w:rPr>
        <w:i/>
        <w:iCs/>
      </w:rPr>
    </w:tblStylePr>
  </w:style>
  <w:style w:type="paragraph" w:styleId="Bibliography">
    <w:name w:val="Bibliography"/>
    <w:basedOn w:val="Normal"/>
    <w:next w:val="Normal"/>
    <w:uiPriority w:val="37"/>
    <w:unhideWhenUsed/>
    <w:rsid w:val="00964648"/>
    <w:rPr>
      <w:rFonts w:cs="Arial"/>
      <w:szCs w:val="22"/>
    </w:rPr>
  </w:style>
  <w:style w:type="paragraph" w:customStyle="1" w:styleId="Signsheetheader">
    <w:name w:val="Sign sheet header"/>
    <w:link w:val="SignsheetheaderChar"/>
    <w:unhideWhenUsed/>
    <w:rsid w:val="002D148F"/>
    <w:pPr>
      <w:framePr w:hSpace="180" w:wrap="around" w:vAnchor="page" w:hAnchor="margin" w:y="2726"/>
      <w:spacing w:after="0" w:line="240" w:lineRule="auto"/>
    </w:pPr>
    <w:rPr>
      <w:color w:val="1A4596"/>
    </w:rPr>
  </w:style>
  <w:style w:type="paragraph" w:customStyle="1" w:styleId="AppendixTOC">
    <w:name w:val="Appendix TOC"/>
    <w:basedOn w:val="TOC1"/>
    <w:autoRedefine/>
    <w:uiPriority w:val="2"/>
    <w:unhideWhenUsed/>
    <w:rsid w:val="00C632B6"/>
  </w:style>
  <w:style w:type="character" w:customStyle="1" w:styleId="SignsheetheaderChar">
    <w:name w:val="Sign sheet header Char"/>
    <w:basedOn w:val="DefaultParagraphFont"/>
    <w:link w:val="Signsheetheader"/>
    <w:rsid w:val="0047250D"/>
    <w:rPr>
      <w:color w:val="1A4596"/>
    </w:rPr>
  </w:style>
  <w:style w:type="paragraph" w:customStyle="1" w:styleId="Insidecovertext">
    <w:name w:val="Inside cover text"/>
    <w:semiHidden/>
    <w:unhideWhenUsed/>
    <w:rsid w:val="002D148F"/>
    <w:pPr>
      <w:framePr w:hSpace="180" w:wrap="around" w:vAnchor="page" w:hAnchor="margin" w:y="2726"/>
      <w:spacing w:after="0" w:line="240" w:lineRule="auto"/>
    </w:pPr>
  </w:style>
  <w:style w:type="paragraph" w:customStyle="1" w:styleId="Backcoverwhitetext">
    <w:name w:val="Back cover white text"/>
    <w:link w:val="BackcoverwhitetextChar"/>
    <w:semiHidden/>
    <w:unhideWhenUsed/>
    <w:rsid w:val="00794284"/>
    <w:rPr>
      <w:color w:val="FFFFFF" w:themeColor="background1"/>
    </w:rPr>
  </w:style>
  <w:style w:type="character" w:customStyle="1" w:styleId="BackcoverwhitetextChar">
    <w:name w:val="Back cover white text Char"/>
    <w:basedOn w:val="DefaultParagraphFont"/>
    <w:link w:val="Backcoverwhitetext"/>
    <w:semiHidden/>
    <w:rsid w:val="0047250D"/>
    <w:rPr>
      <w:color w:val="FFFFFF" w:themeColor="background1"/>
    </w:rPr>
  </w:style>
  <w:style w:type="paragraph" w:customStyle="1" w:styleId="AppendTitle">
    <w:name w:val="Append Title"/>
    <w:basedOn w:val="Normal"/>
    <w:next w:val="Normal"/>
    <w:uiPriority w:val="2"/>
    <w:rsid w:val="00F74673"/>
    <w:pPr>
      <w:keepNext/>
      <w:keepLines/>
      <w:pageBreakBefore/>
      <w:pBdr>
        <w:bottom w:val="single" w:sz="4" w:space="1" w:color="003CA7" w:themeColor="text2"/>
      </w:pBdr>
    </w:pPr>
    <w:rPr>
      <w:rFonts w:asciiTheme="majorHAnsi" w:eastAsiaTheme="minorEastAsia" w:hAnsiTheme="majorHAnsi" w:cs="Arial"/>
      <w:caps/>
      <w:color w:val="1A4596"/>
      <w:sz w:val="36"/>
      <w:lang w:eastAsia="en-GB"/>
    </w:rPr>
  </w:style>
  <w:style w:type="character" w:customStyle="1" w:styleId="Heading5Char">
    <w:name w:val="Heading 5 Char"/>
    <w:aliases w:val="ade_Überschrift 5 Char"/>
    <w:basedOn w:val="DefaultParagraphFont"/>
    <w:link w:val="Heading5"/>
    <w:uiPriority w:val="49"/>
    <w:rsid w:val="00A0284A"/>
    <w:rPr>
      <w:rFonts w:asciiTheme="majorHAnsi" w:eastAsiaTheme="majorEastAsia" w:hAnsiTheme="majorHAnsi" w:cstheme="majorBidi"/>
      <w:color w:val="auto"/>
      <w:sz w:val="24"/>
      <w:szCs w:val="24"/>
    </w:rPr>
  </w:style>
  <w:style w:type="character" w:customStyle="1" w:styleId="Heading6Char">
    <w:name w:val="Heading 6 Char"/>
    <w:aliases w:val="ade_Überschrift 6 Char"/>
    <w:basedOn w:val="DefaultParagraphFont"/>
    <w:link w:val="Heading6"/>
    <w:uiPriority w:val="49"/>
    <w:rsid w:val="005F5673"/>
    <w:rPr>
      <w:rFonts w:asciiTheme="majorHAnsi" w:eastAsiaTheme="majorEastAsia" w:hAnsiTheme="majorHAnsi" w:cstheme="majorBidi"/>
      <w:color w:val="00525A" w:themeColor="accent1" w:themeShade="7F"/>
      <w:sz w:val="24"/>
      <w:szCs w:val="24"/>
    </w:rPr>
  </w:style>
  <w:style w:type="character" w:customStyle="1" w:styleId="Heading7Char">
    <w:name w:val="Heading 7 Char"/>
    <w:aliases w:val="ade_Überschrift 7 Char"/>
    <w:basedOn w:val="DefaultParagraphFont"/>
    <w:link w:val="Heading7"/>
    <w:uiPriority w:val="49"/>
    <w:rsid w:val="005F5673"/>
    <w:rPr>
      <w:rFonts w:asciiTheme="majorHAnsi" w:eastAsiaTheme="majorEastAsia" w:hAnsiTheme="majorHAnsi" w:cstheme="majorBidi"/>
      <w:i/>
      <w:iCs/>
      <w:color w:val="00525A" w:themeColor="accent1" w:themeShade="7F"/>
      <w:sz w:val="24"/>
      <w:szCs w:val="24"/>
    </w:rPr>
  </w:style>
  <w:style w:type="character" w:customStyle="1" w:styleId="Heading8Char">
    <w:name w:val="Heading 8 Char"/>
    <w:aliases w:val="ade_Überschrift 8 Char"/>
    <w:basedOn w:val="DefaultParagraphFont"/>
    <w:link w:val="Heading8"/>
    <w:uiPriority w:val="49"/>
    <w:semiHidden/>
    <w:rsid w:val="005F5673"/>
    <w:rPr>
      <w:rFonts w:asciiTheme="majorHAnsi" w:eastAsiaTheme="majorEastAsia" w:hAnsiTheme="majorHAnsi" w:cstheme="majorBidi"/>
      <w:color w:val="434A4A" w:themeColor="text1" w:themeTint="D8"/>
      <w:sz w:val="21"/>
      <w:szCs w:val="21"/>
    </w:rPr>
  </w:style>
  <w:style w:type="character" w:customStyle="1" w:styleId="Heading9Char">
    <w:name w:val="Heading 9 Char"/>
    <w:aliases w:val="ade_Überschrift 9 Char"/>
    <w:basedOn w:val="DefaultParagraphFont"/>
    <w:link w:val="Heading9"/>
    <w:uiPriority w:val="49"/>
    <w:semiHidden/>
    <w:rsid w:val="005F5673"/>
    <w:rPr>
      <w:rFonts w:asciiTheme="majorHAnsi" w:eastAsiaTheme="majorEastAsia" w:hAnsiTheme="majorHAnsi" w:cstheme="majorBidi"/>
      <w:i/>
      <w:iCs/>
      <w:color w:val="434A4A" w:themeColor="text1" w:themeTint="D8"/>
      <w:sz w:val="21"/>
      <w:szCs w:val="21"/>
    </w:rPr>
  </w:style>
  <w:style w:type="paragraph" w:styleId="TOC5">
    <w:name w:val="toc 5"/>
    <w:basedOn w:val="Normal"/>
    <w:next w:val="Normal"/>
    <w:autoRedefine/>
    <w:uiPriority w:val="39"/>
    <w:unhideWhenUsed/>
    <w:qFormat/>
    <w:rsid w:val="00BE03D4"/>
    <w:pPr>
      <w:spacing w:before="0" w:after="0"/>
      <w:ind w:left="960"/>
      <w:jc w:val="left"/>
    </w:pPr>
    <w:rPr>
      <w:rFonts w:asciiTheme="minorHAnsi" w:hAnsiTheme="minorHAnsi" w:cstheme="minorHAnsi"/>
      <w:sz w:val="18"/>
      <w:szCs w:val="18"/>
    </w:rPr>
  </w:style>
  <w:style w:type="paragraph" w:customStyle="1" w:styleId="StyleAppendixHeadLeft0cmFirstline0cm">
    <w:name w:val="Style Appendix Head + Left:  0 cm First line:  0 cm"/>
    <w:basedOn w:val="AppendixHead"/>
    <w:rsid w:val="00E77E9B"/>
    <w:rPr>
      <w:rFonts w:eastAsia="Times New Roman" w:cs="Times New Roman"/>
      <w:szCs w:val="20"/>
    </w:rPr>
  </w:style>
  <w:style w:type="character" w:styleId="CommentReference">
    <w:name w:val="annotation reference"/>
    <w:basedOn w:val="DefaultParagraphFont"/>
    <w:uiPriority w:val="99"/>
    <w:unhideWhenUsed/>
    <w:rsid w:val="00C43FB6"/>
    <w:rPr>
      <w:sz w:val="16"/>
      <w:szCs w:val="16"/>
    </w:rPr>
  </w:style>
  <w:style w:type="paragraph" w:styleId="CommentText">
    <w:name w:val="annotation text"/>
    <w:aliases w:val="Text poznámky"/>
    <w:basedOn w:val="Normal"/>
    <w:link w:val="CommentTextChar"/>
    <w:uiPriority w:val="2"/>
    <w:unhideWhenUsed/>
    <w:qFormat/>
    <w:rsid w:val="00C43FB6"/>
  </w:style>
  <w:style w:type="character" w:customStyle="1" w:styleId="CommentTextChar">
    <w:name w:val="Comment Text Char"/>
    <w:aliases w:val="Text poznámky Char"/>
    <w:basedOn w:val="DefaultParagraphFont"/>
    <w:link w:val="CommentText"/>
    <w:uiPriority w:val="2"/>
    <w:qFormat/>
    <w:rsid w:val="00C43FB6"/>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43FB6"/>
    <w:rPr>
      <w:b/>
      <w:bCs/>
    </w:rPr>
  </w:style>
  <w:style w:type="character" w:customStyle="1" w:styleId="CommentSubjectChar">
    <w:name w:val="Comment Subject Char"/>
    <w:basedOn w:val="CommentTextChar"/>
    <w:link w:val="CommentSubject"/>
    <w:uiPriority w:val="99"/>
    <w:semiHidden/>
    <w:rsid w:val="00C43FB6"/>
    <w:rPr>
      <w:rFonts w:ascii="Times New Roman" w:hAnsi="Times New Roman" w:cs="Times New Roman"/>
      <w:b/>
      <w:bCs/>
      <w:sz w:val="24"/>
      <w:szCs w:val="24"/>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Ha Char"/>
    <w:basedOn w:val="DefaultParagraphFont"/>
    <w:link w:val="ListParagraph"/>
    <w:uiPriority w:val="34"/>
    <w:qFormat/>
    <w:rsid w:val="00B066C0"/>
    <w:rPr>
      <w:rFonts w:cs="Arial"/>
      <w:szCs w:val="22"/>
    </w:r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qFormat/>
    <w:locked/>
    <w:rsid w:val="001C5AA5"/>
    <w:rPr>
      <w:rFonts w:ascii="Times New Roman" w:eastAsiaTheme="minorEastAsia" w:hAnsi="Times New Roman" w:cs="Times New Roman"/>
      <w:bCs/>
      <w:color w:val="1A4596"/>
      <w:sz w:val="24"/>
      <w:szCs w:val="24"/>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B066C0"/>
    <w:pPr>
      <w:spacing w:after="160" w:line="240" w:lineRule="exact"/>
      <w:jc w:val="left"/>
    </w:pPr>
    <w:rPr>
      <w:vertAlign w:val="superscript"/>
    </w:rPr>
  </w:style>
  <w:style w:type="character" w:customStyle="1" w:styleId="Mention1">
    <w:name w:val="Mention1"/>
    <w:basedOn w:val="DefaultParagraphFont"/>
    <w:uiPriority w:val="99"/>
    <w:unhideWhenUsed/>
    <w:rsid w:val="007B2C90"/>
    <w:rPr>
      <w:color w:val="2B579A"/>
      <w:shd w:val="clear" w:color="auto" w:fill="E1DFDD"/>
    </w:rPr>
  </w:style>
  <w:style w:type="paragraph" w:customStyle="1" w:styleId="paragraph">
    <w:name w:val="paragraph"/>
    <w:basedOn w:val="Normal"/>
    <w:rsid w:val="002D6A3D"/>
    <w:pPr>
      <w:spacing w:before="100" w:beforeAutospacing="1" w:after="100" w:afterAutospacing="1"/>
      <w:jc w:val="left"/>
    </w:pPr>
    <w:rPr>
      <w:rFonts w:eastAsia="Times New Roman"/>
      <w:color w:val="auto"/>
      <w:lang w:eastAsia="en-GB"/>
    </w:rPr>
  </w:style>
  <w:style w:type="character" w:customStyle="1" w:styleId="normaltextrun">
    <w:name w:val="normaltextrun"/>
    <w:basedOn w:val="DefaultParagraphFont"/>
    <w:rsid w:val="002D6A3D"/>
  </w:style>
  <w:style w:type="character" w:customStyle="1" w:styleId="eop">
    <w:name w:val="eop"/>
    <w:basedOn w:val="DefaultParagraphFont"/>
    <w:rsid w:val="002D6A3D"/>
  </w:style>
  <w:style w:type="character" w:customStyle="1" w:styleId="contextualspellingandgrammarerrorzoomed">
    <w:name w:val="contextualspellingandgrammarerrorzoomed"/>
    <w:basedOn w:val="DefaultParagraphFont"/>
    <w:rsid w:val="002D6A3D"/>
  </w:style>
  <w:style w:type="character" w:customStyle="1" w:styleId="scxp88408214">
    <w:name w:val="scxp88408214"/>
    <w:basedOn w:val="DefaultParagraphFont"/>
    <w:rsid w:val="002D6A3D"/>
  </w:style>
  <w:style w:type="paragraph" w:customStyle="1" w:styleId="Default">
    <w:name w:val="Default"/>
    <w:rsid w:val="002D6A3D"/>
    <w:pPr>
      <w:autoSpaceDE w:val="0"/>
      <w:autoSpaceDN w:val="0"/>
      <w:adjustRightInd w:val="0"/>
      <w:spacing w:after="0" w:line="240" w:lineRule="auto"/>
      <w:jc w:val="left"/>
    </w:pPr>
    <w:rPr>
      <w:rFonts w:cs="Arial"/>
      <w:color w:val="000000"/>
      <w:sz w:val="24"/>
      <w:szCs w:val="24"/>
    </w:rPr>
  </w:style>
  <w:style w:type="paragraph" w:styleId="Revision">
    <w:name w:val="Revision"/>
    <w:hidden/>
    <w:uiPriority w:val="99"/>
    <w:semiHidden/>
    <w:rsid w:val="000643C5"/>
    <w:pPr>
      <w:spacing w:after="0" w:line="240" w:lineRule="auto"/>
      <w:jc w:val="left"/>
    </w:pPr>
  </w:style>
  <w:style w:type="paragraph" w:customStyle="1" w:styleId="TableParagraph">
    <w:name w:val="Table Paragraph"/>
    <w:basedOn w:val="Normal"/>
    <w:uiPriority w:val="1"/>
    <w:qFormat/>
    <w:rsid w:val="008831D0"/>
    <w:pPr>
      <w:widowControl w:val="0"/>
      <w:autoSpaceDE w:val="0"/>
      <w:autoSpaceDN w:val="0"/>
      <w:spacing w:after="0"/>
      <w:jc w:val="center"/>
    </w:pPr>
    <w:rPr>
      <w:rFonts w:eastAsia="Times New Roman"/>
      <w:color w:val="auto"/>
      <w:sz w:val="22"/>
      <w:szCs w:val="22"/>
      <w:lang w:val="en-US"/>
    </w:rPr>
  </w:style>
  <w:style w:type="paragraph" w:customStyle="1" w:styleId="Location">
    <w:name w:val="Location"/>
    <w:basedOn w:val="Normal"/>
    <w:uiPriority w:val="11"/>
    <w:qFormat/>
    <w:rsid w:val="005A793B"/>
    <w:pPr>
      <w:spacing w:before="60" w:after="60" w:line="276" w:lineRule="auto"/>
      <w:jc w:val="right"/>
    </w:pPr>
    <w:rPr>
      <w:rFonts w:eastAsia="Times New Roman" w:cs="Arial"/>
      <w:color w:val="auto"/>
      <w:sz w:val="22"/>
      <w:szCs w:val="22"/>
      <w:lang w:val="en-US"/>
    </w:rPr>
  </w:style>
  <w:style w:type="paragraph" w:styleId="BalloonText">
    <w:name w:val="Balloon Text"/>
    <w:basedOn w:val="Normal"/>
    <w:link w:val="BalloonTextChar"/>
    <w:uiPriority w:val="99"/>
    <w:semiHidden/>
    <w:unhideWhenUsed/>
    <w:rsid w:val="005A793B"/>
    <w:pPr>
      <w:spacing w:after="0"/>
      <w:jc w:val="left"/>
    </w:pPr>
    <w:rPr>
      <w:rFonts w:ascii="Tahoma" w:eastAsia="Times New Roman" w:hAnsi="Tahoma" w:cs="Tahoma"/>
      <w:color w:val="auto"/>
      <w:sz w:val="22"/>
      <w:szCs w:val="16"/>
      <w:lang w:val="en-US"/>
    </w:rPr>
  </w:style>
  <w:style w:type="character" w:customStyle="1" w:styleId="BalloonTextChar">
    <w:name w:val="Balloon Text Char"/>
    <w:basedOn w:val="DefaultParagraphFont"/>
    <w:link w:val="BalloonText"/>
    <w:uiPriority w:val="99"/>
    <w:semiHidden/>
    <w:rsid w:val="005A793B"/>
    <w:rPr>
      <w:rFonts w:ascii="Tahoma" w:eastAsia="Times New Roman" w:hAnsi="Tahoma" w:cs="Tahoma"/>
      <w:color w:val="auto"/>
      <w:sz w:val="22"/>
      <w:szCs w:val="16"/>
      <w:lang w:val="en-US"/>
    </w:rPr>
  </w:style>
  <w:style w:type="paragraph" w:styleId="BlockText">
    <w:name w:val="Block Text"/>
    <w:basedOn w:val="Normal"/>
    <w:uiPriority w:val="99"/>
    <w:semiHidden/>
    <w:unhideWhenUsed/>
    <w:rsid w:val="005A793B"/>
    <w:pPr>
      <w:pBdr>
        <w:top w:val="single" w:sz="2" w:space="10" w:color="007B88" w:themeColor="accent1" w:themeShade="BF"/>
        <w:left w:val="single" w:sz="2" w:space="10" w:color="007B88" w:themeColor="accent1" w:themeShade="BF"/>
        <w:bottom w:val="single" w:sz="2" w:space="10" w:color="007B88" w:themeColor="accent1" w:themeShade="BF"/>
        <w:right w:val="single" w:sz="2" w:space="10" w:color="007B88" w:themeColor="accent1" w:themeShade="BF"/>
      </w:pBdr>
      <w:spacing w:before="60" w:after="60" w:line="276" w:lineRule="auto"/>
      <w:ind w:left="1152" w:right="1152"/>
      <w:jc w:val="left"/>
    </w:pPr>
    <w:rPr>
      <w:rFonts w:eastAsiaTheme="minorEastAsia" w:cs="Arial"/>
      <w:i/>
      <w:iCs/>
      <w:color w:val="007B88" w:themeColor="accent1" w:themeShade="BF"/>
      <w:sz w:val="22"/>
      <w:szCs w:val="22"/>
      <w:lang w:val="en-US"/>
    </w:rPr>
  </w:style>
  <w:style w:type="paragraph" w:styleId="BodyText3">
    <w:name w:val="Body Text 3"/>
    <w:basedOn w:val="Normal"/>
    <w:link w:val="BodyText3Char"/>
    <w:uiPriority w:val="99"/>
    <w:semiHidden/>
    <w:unhideWhenUsed/>
    <w:rsid w:val="005A793B"/>
    <w:pPr>
      <w:spacing w:before="60" w:line="276" w:lineRule="auto"/>
      <w:jc w:val="left"/>
    </w:pPr>
    <w:rPr>
      <w:rFonts w:eastAsia="Times New Roman" w:cs="Arial"/>
      <w:color w:val="auto"/>
      <w:sz w:val="22"/>
      <w:szCs w:val="16"/>
      <w:lang w:val="en-US"/>
    </w:rPr>
  </w:style>
  <w:style w:type="character" w:customStyle="1" w:styleId="BodyText3Char">
    <w:name w:val="Body Text 3 Char"/>
    <w:basedOn w:val="DefaultParagraphFont"/>
    <w:link w:val="BodyText3"/>
    <w:uiPriority w:val="99"/>
    <w:semiHidden/>
    <w:rsid w:val="005A793B"/>
    <w:rPr>
      <w:rFonts w:eastAsia="Times New Roman" w:cs="Arial"/>
      <w:color w:val="auto"/>
      <w:sz w:val="22"/>
      <w:szCs w:val="16"/>
      <w:lang w:val="en-US"/>
    </w:rPr>
  </w:style>
  <w:style w:type="paragraph" w:styleId="BodyTextIndent">
    <w:name w:val="Body Text Indent"/>
    <w:basedOn w:val="Normal"/>
    <w:link w:val="BodyTextIndentChar"/>
    <w:uiPriority w:val="99"/>
    <w:semiHidden/>
    <w:unhideWhenUsed/>
    <w:rsid w:val="005A793B"/>
    <w:pPr>
      <w:spacing w:before="60" w:line="276" w:lineRule="auto"/>
      <w:ind w:left="283"/>
      <w:jc w:val="left"/>
    </w:pPr>
    <w:rPr>
      <w:rFonts w:eastAsia="Times New Roman" w:cs="Arial"/>
      <w:color w:val="auto"/>
      <w:sz w:val="22"/>
      <w:szCs w:val="22"/>
      <w:lang w:val="en-US"/>
    </w:rPr>
  </w:style>
  <w:style w:type="character" w:customStyle="1" w:styleId="BodyTextIndentChar">
    <w:name w:val="Body Text Indent Char"/>
    <w:basedOn w:val="DefaultParagraphFont"/>
    <w:link w:val="BodyTextIndent"/>
    <w:uiPriority w:val="99"/>
    <w:semiHidden/>
    <w:rsid w:val="005A793B"/>
    <w:rPr>
      <w:rFonts w:eastAsia="Times New Roman" w:cs="Arial"/>
      <w:color w:val="auto"/>
      <w:sz w:val="22"/>
      <w:szCs w:val="22"/>
      <w:lang w:val="en-US"/>
    </w:rPr>
  </w:style>
  <w:style w:type="paragraph" w:styleId="BodyTextIndent3">
    <w:name w:val="Body Text Indent 3"/>
    <w:basedOn w:val="Normal"/>
    <w:link w:val="BodyTextIndent3Char"/>
    <w:uiPriority w:val="99"/>
    <w:semiHidden/>
    <w:unhideWhenUsed/>
    <w:rsid w:val="005A793B"/>
    <w:pPr>
      <w:spacing w:before="60" w:line="276" w:lineRule="auto"/>
      <w:ind w:left="283"/>
      <w:jc w:val="left"/>
    </w:pPr>
    <w:rPr>
      <w:rFonts w:eastAsia="Times New Roman" w:cs="Arial"/>
      <w:color w:val="auto"/>
      <w:sz w:val="22"/>
      <w:szCs w:val="16"/>
      <w:lang w:val="en-US"/>
    </w:rPr>
  </w:style>
  <w:style w:type="character" w:customStyle="1" w:styleId="BodyTextIndent3Char">
    <w:name w:val="Body Text Indent 3 Char"/>
    <w:basedOn w:val="DefaultParagraphFont"/>
    <w:link w:val="BodyTextIndent3"/>
    <w:uiPriority w:val="99"/>
    <w:semiHidden/>
    <w:rsid w:val="005A793B"/>
    <w:rPr>
      <w:rFonts w:eastAsia="Times New Roman" w:cs="Arial"/>
      <w:color w:val="auto"/>
      <w:sz w:val="22"/>
      <w:szCs w:val="16"/>
      <w:lang w:val="en-US"/>
    </w:rPr>
  </w:style>
  <w:style w:type="paragraph" w:styleId="DocumentMap">
    <w:name w:val="Document Map"/>
    <w:basedOn w:val="Normal"/>
    <w:link w:val="DocumentMapChar"/>
    <w:uiPriority w:val="99"/>
    <w:semiHidden/>
    <w:unhideWhenUsed/>
    <w:rsid w:val="005A793B"/>
    <w:pPr>
      <w:spacing w:after="0"/>
      <w:jc w:val="left"/>
    </w:pPr>
    <w:rPr>
      <w:rFonts w:ascii="Segoe UI" w:eastAsia="Times New Roman" w:hAnsi="Segoe UI" w:cs="Segoe UI"/>
      <w:color w:val="auto"/>
      <w:sz w:val="22"/>
      <w:szCs w:val="16"/>
      <w:lang w:val="en-US"/>
    </w:rPr>
  </w:style>
  <w:style w:type="character" w:customStyle="1" w:styleId="DocumentMapChar">
    <w:name w:val="Document Map Char"/>
    <w:basedOn w:val="DefaultParagraphFont"/>
    <w:link w:val="DocumentMap"/>
    <w:uiPriority w:val="99"/>
    <w:semiHidden/>
    <w:rsid w:val="005A793B"/>
    <w:rPr>
      <w:rFonts w:ascii="Segoe UI" w:eastAsia="Times New Roman" w:hAnsi="Segoe UI" w:cs="Segoe UI"/>
      <w:color w:val="auto"/>
      <w:sz w:val="22"/>
      <w:szCs w:val="16"/>
      <w:lang w:val="en-US"/>
    </w:rPr>
  </w:style>
  <w:style w:type="paragraph" w:styleId="EndnoteText">
    <w:name w:val="endnote text"/>
    <w:basedOn w:val="Normal"/>
    <w:link w:val="EndnoteTextChar"/>
    <w:uiPriority w:val="99"/>
    <w:semiHidden/>
    <w:unhideWhenUsed/>
    <w:rsid w:val="005A793B"/>
    <w:pPr>
      <w:spacing w:after="0"/>
      <w:jc w:val="left"/>
    </w:pPr>
    <w:rPr>
      <w:rFonts w:eastAsia="Times New Roman" w:cs="Arial"/>
      <w:color w:val="auto"/>
      <w:sz w:val="22"/>
      <w:lang w:val="en-US"/>
    </w:rPr>
  </w:style>
  <w:style w:type="character" w:customStyle="1" w:styleId="EndnoteTextChar">
    <w:name w:val="Endnote Text Char"/>
    <w:basedOn w:val="DefaultParagraphFont"/>
    <w:link w:val="EndnoteText"/>
    <w:uiPriority w:val="99"/>
    <w:semiHidden/>
    <w:rsid w:val="005A793B"/>
    <w:rPr>
      <w:rFonts w:ascii="Times New Roman" w:eastAsia="Times New Roman" w:hAnsi="Times New Roman" w:cs="Arial"/>
      <w:color w:val="auto"/>
      <w:sz w:val="22"/>
      <w:szCs w:val="24"/>
      <w:lang w:val="en-US"/>
    </w:rPr>
  </w:style>
  <w:style w:type="paragraph" w:styleId="EnvelopeReturn">
    <w:name w:val="envelope return"/>
    <w:basedOn w:val="Normal"/>
    <w:uiPriority w:val="99"/>
    <w:semiHidden/>
    <w:unhideWhenUsed/>
    <w:rsid w:val="005A793B"/>
    <w:pPr>
      <w:spacing w:after="0"/>
      <w:jc w:val="left"/>
    </w:pPr>
    <w:rPr>
      <w:rFonts w:eastAsiaTheme="majorEastAsia" w:cs="Arial"/>
      <w:color w:val="auto"/>
      <w:sz w:val="22"/>
      <w:lang w:val="en-US"/>
    </w:rPr>
  </w:style>
  <w:style w:type="character" w:styleId="HTMLCode">
    <w:name w:val="HTML Code"/>
    <w:basedOn w:val="DefaultParagraphFont"/>
    <w:uiPriority w:val="99"/>
    <w:semiHidden/>
    <w:unhideWhenUsed/>
    <w:rsid w:val="005A793B"/>
    <w:rPr>
      <w:rFonts w:ascii="Consolas" w:hAnsi="Consolas" w:cs="Arial"/>
      <w:szCs w:val="20"/>
    </w:rPr>
  </w:style>
  <w:style w:type="character" w:styleId="HTMLDefinition">
    <w:name w:val="HTML Definition"/>
    <w:basedOn w:val="DefaultParagraphFont"/>
    <w:uiPriority w:val="99"/>
    <w:semiHidden/>
    <w:unhideWhenUsed/>
    <w:rsid w:val="005A793B"/>
    <w:rPr>
      <w:rFonts w:ascii="Arial" w:hAnsi="Arial" w:cs="Arial"/>
      <w:i/>
      <w:iCs/>
    </w:rPr>
  </w:style>
  <w:style w:type="character" w:styleId="HTMLKeyboard">
    <w:name w:val="HTML Keyboard"/>
    <w:basedOn w:val="DefaultParagraphFont"/>
    <w:uiPriority w:val="99"/>
    <w:semiHidden/>
    <w:unhideWhenUsed/>
    <w:rsid w:val="005A793B"/>
    <w:rPr>
      <w:rFonts w:ascii="Consolas" w:hAnsi="Consolas" w:cs="Arial"/>
      <w:szCs w:val="20"/>
    </w:rPr>
  </w:style>
  <w:style w:type="paragraph" w:styleId="HTMLPreformatted">
    <w:name w:val="HTML Preformatted"/>
    <w:basedOn w:val="Normal"/>
    <w:link w:val="HTMLPreformattedChar"/>
    <w:uiPriority w:val="99"/>
    <w:semiHidden/>
    <w:unhideWhenUsed/>
    <w:rsid w:val="005A793B"/>
    <w:pPr>
      <w:spacing w:after="0"/>
      <w:jc w:val="left"/>
    </w:pPr>
    <w:rPr>
      <w:rFonts w:ascii="Consolas" w:eastAsia="Times New Roman" w:hAnsi="Consolas" w:cs="Arial"/>
      <w:color w:val="auto"/>
      <w:sz w:val="22"/>
      <w:lang w:val="en-US"/>
    </w:rPr>
  </w:style>
  <w:style w:type="character" w:customStyle="1" w:styleId="HTMLPreformattedChar">
    <w:name w:val="HTML Preformatted Char"/>
    <w:basedOn w:val="DefaultParagraphFont"/>
    <w:link w:val="HTMLPreformatted"/>
    <w:uiPriority w:val="99"/>
    <w:semiHidden/>
    <w:rsid w:val="005A793B"/>
    <w:rPr>
      <w:rFonts w:ascii="Consolas" w:eastAsia="Times New Roman" w:hAnsi="Consolas" w:cs="Arial"/>
      <w:color w:val="auto"/>
      <w:sz w:val="22"/>
      <w:szCs w:val="24"/>
      <w:lang w:val="en-US"/>
    </w:rPr>
  </w:style>
  <w:style w:type="character" w:styleId="HTMLSample">
    <w:name w:val="HTML Sample"/>
    <w:basedOn w:val="DefaultParagraphFont"/>
    <w:uiPriority w:val="99"/>
    <w:semiHidden/>
    <w:unhideWhenUsed/>
    <w:rsid w:val="005A793B"/>
    <w:rPr>
      <w:rFonts w:ascii="Consolas" w:hAnsi="Consolas" w:cs="Arial"/>
      <w:szCs w:val="24"/>
    </w:rPr>
  </w:style>
  <w:style w:type="character" w:styleId="HTMLTypewriter">
    <w:name w:val="HTML Typewriter"/>
    <w:basedOn w:val="DefaultParagraphFont"/>
    <w:uiPriority w:val="99"/>
    <w:semiHidden/>
    <w:unhideWhenUsed/>
    <w:rsid w:val="005A793B"/>
    <w:rPr>
      <w:rFonts w:ascii="Consolas" w:hAnsi="Consolas" w:cs="Arial"/>
      <w:szCs w:val="20"/>
    </w:rPr>
  </w:style>
  <w:style w:type="character" w:styleId="HTMLVariable">
    <w:name w:val="HTML Variable"/>
    <w:basedOn w:val="DefaultParagraphFont"/>
    <w:uiPriority w:val="99"/>
    <w:semiHidden/>
    <w:unhideWhenUsed/>
    <w:rsid w:val="005A793B"/>
    <w:rPr>
      <w:rFonts w:ascii="Arial" w:hAnsi="Arial" w:cs="Arial"/>
      <w:i/>
      <w:iCs/>
    </w:rPr>
  </w:style>
  <w:style w:type="paragraph" w:styleId="Index1">
    <w:name w:val="index 1"/>
    <w:basedOn w:val="Normal"/>
    <w:next w:val="Normal"/>
    <w:autoRedefine/>
    <w:uiPriority w:val="99"/>
    <w:semiHidden/>
    <w:unhideWhenUsed/>
    <w:rsid w:val="005A793B"/>
    <w:pPr>
      <w:spacing w:after="0"/>
      <w:ind w:left="220" w:hanging="220"/>
      <w:jc w:val="left"/>
    </w:pPr>
    <w:rPr>
      <w:rFonts w:eastAsia="Times New Roman" w:cs="Arial"/>
      <w:color w:val="auto"/>
      <w:sz w:val="22"/>
      <w:szCs w:val="22"/>
      <w:lang w:val="en-US"/>
    </w:rPr>
  </w:style>
  <w:style w:type="paragraph" w:styleId="Index9">
    <w:name w:val="index 9"/>
    <w:basedOn w:val="Normal"/>
    <w:next w:val="Normal"/>
    <w:autoRedefine/>
    <w:uiPriority w:val="99"/>
    <w:semiHidden/>
    <w:unhideWhenUsed/>
    <w:rsid w:val="005A793B"/>
    <w:pPr>
      <w:spacing w:after="0"/>
      <w:ind w:left="1980" w:hanging="220"/>
      <w:jc w:val="left"/>
    </w:pPr>
    <w:rPr>
      <w:rFonts w:eastAsia="Times New Roman" w:cs="Arial"/>
      <w:color w:val="auto"/>
      <w:sz w:val="22"/>
      <w:szCs w:val="22"/>
      <w:lang w:val="en-US"/>
    </w:rPr>
  </w:style>
  <w:style w:type="character" w:styleId="LineNumber">
    <w:name w:val="line number"/>
    <w:basedOn w:val="DefaultParagraphFont"/>
    <w:uiPriority w:val="99"/>
    <w:semiHidden/>
    <w:unhideWhenUsed/>
    <w:rsid w:val="005A793B"/>
    <w:rPr>
      <w:rFonts w:ascii="Arial" w:hAnsi="Arial" w:cs="Arial"/>
    </w:rPr>
  </w:style>
  <w:style w:type="paragraph" w:styleId="List">
    <w:name w:val="List"/>
    <w:basedOn w:val="Normal"/>
    <w:uiPriority w:val="99"/>
    <w:semiHidden/>
    <w:unhideWhenUsed/>
    <w:rsid w:val="005A793B"/>
    <w:pPr>
      <w:spacing w:before="60" w:after="60" w:line="276" w:lineRule="auto"/>
      <w:ind w:left="283" w:hanging="283"/>
      <w:contextualSpacing/>
      <w:jc w:val="left"/>
    </w:pPr>
    <w:rPr>
      <w:rFonts w:eastAsia="Times New Roman" w:cs="Arial"/>
      <w:color w:val="auto"/>
      <w:sz w:val="22"/>
      <w:szCs w:val="22"/>
      <w:lang w:val="en-US"/>
    </w:rPr>
  </w:style>
  <w:style w:type="paragraph" w:styleId="ListBullet">
    <w:name w:val="List Bullet"/>
    <w:basedOn w:val="Normal"/>
    <w:uiPriority w:val="99"/>
    <w:unhideWhenUsed/>
    <w:rsid w:val="005A793B"/>
    <w:pPr>
      <w:tabs>
        <w:tab w:val="num" w:pos="360"/>
      </w:tabs>
      <w:spacing w:before="60" w:after="60" w:line="276" w:lineRule="auto"/>
      <w:ind w:left="360" w:hanging="360"/>
      <w:contextualSpacing/>
      <w:jc w:val="left"/>
    </w:pPr>
    <w:rPr>
      <w:rFonts w:eastAsia="Times New Roman" w:cs="Arial"/>
      <w:color w:val="auto"/>
      <w:sz w:val="22"/>
      <w:szCs w:val="22"/>
      <w:lang w:val="en-US"/>
    </w:rPr>
  </w:style>
  <w:style w:type="paragraph" w:styleId="ListContinue">
    <w:name w:val="List Continue"/>
    <w:basedOn w:val="Normal"/>
    <w:uiPriority w:val="99"/>
    <w:semiHidden/>
    <w:unhideWhenUsed/>
    <w:rsid w:val="005A793B"/>
    <w:pPr>
      <w:spacing w:before="60" w:line="276" w:lineRule="auto"/>
      <w:ind w:left="283"/>
      <w:contextualSpacing/>
      <w:jc w:val="left"/>
    </w:pPr>
    <w:rPr>
      <w:rFonts w:eastAsia="Times New Roman" w:cs="Arial"/>
      <w:color w:val="auto"/>
      <w:sz w:val="22"/>
      <w:szCs w:val="22"/>
      <w:lang w:val="en-US"/>
    </w:rPr>
  </w:style>
  <w:style w:type="paragraph" w:styleId="MacroText">
    <w:name w:val="macro"/>
    <w:link w:val="MacroTextChar"/>
    <w:uiPriority w:val="99"/>
    <w:semiHidden/>
    <w:unhideWhenUsed/>
    <w:rsid w:val="005A793B"/>
    <w:pPr>
      <w:tabs>
        <w:tab w:val="left" w:pos="480"/>
        <w:tab w:val="left" w:pos="960"/>
        <w:tab w:val="left" w:pos="1440"/>
        <w:tab w:val="left" w:pos="1920"/>
        <w:tab w:val="left" w:pos="2400"/>
        <w:tab w:val="left" w:pos="2880"/>
        <w:tab w:val="left" w:pos="3360"/>
        <w:tab w:val="left" w:pos="3840"/>
        <w:tab w:val="left" w:pos="4320"/>
      </w:tabs>
      <w:spacing w:before="60" w:after="0" w:line="276" w:lineRule="auto"/>
      <w:jc w:val="left"/>
    </w:pPr>
    <w:rPr>
      <w:rFonts w:ascii="Consolas" w:eastAsia="Times New Roman" w:hAnsi="Consolas" w:cs="Arial"/>
      <w:color w:val="auto"/>
      <w:sz w:val="22"/>
      <w:lang w:val="en-US"/>
    </w:rPr>
  </w:style>
  <w:style w:type="character" w:customStyle="1" w:styleId="MacroTextChar">
    <w:name w:val="Macro Text Char"/>
    <w:basedOn w:val="DefaultParagraphFont"/>
    <w:link w:val="MacroText"/>
    <w:uiPriority w:val="99"/>
    <w:semiHidden/>
    <w:rsid w:val="005A793B"/>
    <w:rPr>
      <w:rFonts w:ascii="Consolas" w:eastAsia="Times New Roman" w:hAnsi="Consolas" w:cs="Arial"/>
      <w:color w:val="auto"/>
      <w:sz w:val="22"/>
      <w:lang w:val="en-US"/>
    </w:rPr>
  </w:style>
  <w:style w:type="paragraph" w:styleId="MessageHeader">
    <w:name w:val="Message Header"/>
    <w:basedOn w:val="Normal"/>
    <w:link w:val="MessageHeaderChar"/>
    <w:uiPriority w:val="99"/>
    <w:semiHidden/>
    <w:unhideWhenUsed/>
    <w:rsid w:val="005A793B"/>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eastAsiaTheme="majorEastAsia" w:cs="Arial"/>
      <w:color w:val="auto"/>
      <w:lang w:val="en-US"/>
    </w:rPr>
  </w:style>
  <w:style w:type="character" w:customStyle="1" w:styleId="MessageHeaderChar">
    <w:name w:val="Message Header Char"/>
    <w:basedOn w:val="DefaultParagraphFont"/>
    <w:link w:val="MessageHeader"/>
    <w:uiPriority w:val="99"/>
    <w:semiHidden/>
    <w:rsid w:val="005A793B"/>
    <w:rPr>
      <w:rFonts w:ascii="Times New Roman" w:eastAsiaTheme="majorEastAsia" w:hAnsi="Times New Roman" w:cs="Arial"/>
      <w:color w:val="auto"/>
      <w:sz w:val="24"/>
      <w:szCs w:val="24"/>
      <w:shd w:val="pct20" w:color="auto" w:fill="auto"/>
      <w:lang w:val="en-US"/>
    </w:rPr>
  </w:style>
  <w:style w:type="paragraph" w:styleId="PlainText">
    <w:name w:val="Plain Text"/>
    <w:basedOn w:val="Normal"/>
    <w:link w:val="PlainTextChar"/>
    <w:uiPriority w:val="99"/>
    <w:semiHidden/>
    <w:unhideWhenUsed/>
    <w:rsid w:val="005A793B"/>
    <w:pPr>
      <w:spacing w:after="0"/>
      <w:jc w:val="left"/>
    </w:pPr>
    <w:rPr>
      <w:rFonts w:ascii="Consolas" w:eastAsia="Times New Roman" w:hAnsi="Consolas" w:cs="Arial"/>
      <w:color w:val="auto"/>
      <w:sz w:val="22"/>
      <w:szCs w:val="21"/>
      <w:lang w:val="en-US"/>
    </w:rPr>
  </w:style>
  <w:style w:type="character" w:customStyle="1" w:styleId="PlainTextChar">
    <w:name w:val="Plain Text Char"/>
    <w:basedOn w:val="DefaultParagraphFont"/>
    <w:link w:val="PlainText"/>
    <w:uiPriority w:val="99"/>
    <w:semiHidden/>
    <w:rsid w:val="005A793B"/>
    <w:rPr>
      <w:rFonts w:ascii="Consolas" w:eastAsia="Times New Roman" w:hAnsi="Consolas" w:cs="Arial"/>
      <w:color w:val="auto"/>
      <w:sz w:val="22"/>
      <w:szCs w:val="21"/>
      <w:lang w:val="en-US"/>
    </w:rPr>
  </w:style>
  <w:style w:type="paragraph" w:styleId="Salutation">
    <w:name w:val="Salutation"/>
    <w:basedOn w:val="Normal"/>
    <w:next w:val="Normal"/>
    <w:link w:val="SalutationChar"/>
    <w:uiPriority w:val="99"/>
    <w:semiHidden/>
    <w:unhideWhenUsed/>
    <w:rsid w:val="005A793B"/>
    <w:pPr>
      <w:spacing w:before="60" w:after="60" w:line="276" w:lineRule="auto"/>
      <w:jc w:val="left"/>
    </w:pPr>
    <w:rPr>
      <w:rFonts w:eastAsia="Times New Roman" w:cs="Arial"/>
      <w:color w:val="auto"/>
      <w:sz w:val="22"/>
      <w:szCs w:val="22"/>
      <w:lang w:val="en-US"/>
    </w:rPr>
  </w:style>
  <w:style w:type="character" w:customStyle="1" w:styleId="SalutationChar">
    <w:name w:val="Salutation Char"/>
    <w:basedOn w:val="DefaultParagraphFont"/>
    <w:link w:val="Salutation"/>
    <w:uiPriority w:val="99"/>
    <w:semiHidden/>
    <w:rsid w:val="005A793B"/>
    <w:rPr>
      <w:rFonts w:eastAsia="Times New Roman" w:cs="Arial"/>
      <w:color w:val="auto"/>
      <w:sz w:val="22"/>
      <w:szCs w:val="22"/>
      <w:lang w:val="en-US"/>
    </w:rPr>
  </w:style>
  <w:style w:type="paragraph" w:styleId="TableofAuthorities">
    <w:name w:val="table of authorities"/>
    <w:basedOn w:val="Normal"/>
    <w:next w:val="Normal"/>
    <w:uiPriority w:val="99"/>
    <w:semiHidden/>
    <w:unhideWhenUsed/>
    <w:rsid w:val="005A793B"/>
    <w:pPr>
      <w:spacing w:before="60" w:after="0" w:line="276" w:lineRule="auto"/>
      <w:ind w:left="220" w:hanging="220"/>
      <w:jc w:val="left"/>
    </w:pPr>
    <w:rPr>
      <w:rFonts w:eastAsia="Times New Roman" w:cs="Arial"/>
      <w:color w:val="auto"/>
      <w:sz w:val="22"/>
      <w:szCs w:val="22"/>
      <w:lang w:val="en-US"/>
    </w:rPr>
  </w:style>
  <w:style w:type="paragraph" w:styleId="TOAHeading">
    <w:name w:val="toa heading"/>
    <w:basedOn w:val="Normal"/>
    <w:next w:val="Normal"/>
    <w:uiPriority w:val="99"/>
    <w:semiHidden/>
    <w:unhideWhenUsed/>
    <w:rsid w:val="005A793B"/>
    <w:pPr>
      <w:spacing w:after="60" w:line="276" w:lineRule="auto"/>
      <w:jc w:val="left"/>
    </w:pPr>
    <w:rPr>
      <w:rFonts w:eastAsiaTheme="majorEastAsia" w:cs="Arial"/>
      <w:b/>
      <w:bCs/>
      <w:color w:val="auto"/>
      <w:lang w:val="en-US"/>
    </w:rPr>
  </w:style>
  <w:style w:type="paragraph" w:styleId="Quote">
    <w:name w:val="Quote"/>
    <w:basedOn w:val="Normal"/>
    <w:link w:val="QuoteChar"/>
    <w:uiPriority w:val="29"/>
    <w:unhideWhenUsed/>
    <w:qFormat/>
    <w:rsid w:val="005A793B"/>
    <w:pPr>
      <w:spacing w:before="200" w:after="160" w:line="276" w:lineRule="auto"/>
      <w:jc w:val="center"/>
    </w:pPr>
    <w:rPr>
      <w:rFonts w:eastAsia="Times New Roman" w:cs="Arial"/>
      <w:i/>
      <w:iCs/>
      <w:color w:val="576161" w:themeColor="text1" w:themeTint="BF"/>
      <w:sz w:val="22"/>
      <w:szCs w:val="22"/>
      <w:lang w:val="en-US"/>
    </w:rPr>
  </w:style>
  <w:style w:type="character" w:customStyle="1" w:styleId="QuoteChar">
    <w:name w:val="Quote Char"/>
    <w:basedOn w:val="DefaultParagraphFont"/>
    <w:link w:val="Quote"/>
    <w:uiPriority w:val="29"/>
    <w:rsid w:val="005A793B"/>
    <w:rPr>
      <w:rFonts w:eastAsia="Times New Roman" w:cs="Arial"/>
      <w:i/>
      <w:iCs/>
      <w:color w:val="576161" w:themeColor="text1" w:themeTint="BF"/>
      <w:sz w:val="22"/>
      <w:szCs w:val="22"/>
      <w:lang w:val="en-US"/>
    </w:rPr>
  </w:style>
  <w:style w:type="paragraph" w:styleId="IntenseQuote">
    <w:name w:val="Intense Quote"/>
    <w:basedOn w:val="Normal"/>
    <w:next w:val="Normal"/>
    <w:link w:val="IntenseQuoteChar"/>
    <w:uiPriority w:val="30"/>
    <w:unhideWhenUsed/>
    <w:qFormat/>
    <w:rsid w:val="005A793B"/>
    <w:pPr>
      <w:spacing w:before="360" w:after="360" w:line="276" w:lineRule="auto"/>
      <w:jc w:val="center"/>
    </w:pPr>
    <w:rPr>
      <w:rFonts w:eastAsia="Times New Roman" w:cs="Arial"/>
      <w:i/>
      <w:iCs/>
      <w:color w:val="007B88" w:themeColor="accent1" w:themeShade="BF"/>
      <w:sz w:val="22"/>
      <w:szCs w:val="22"/>
      <w:lang w:val="en-US"/>
    </w:rPr>
  </w:style>
  <w:style w:type="character" w:customStyle="1" w:styleId="IntenseQuoteChar">
    <w:name w:val="Intense Quote Char"/>
    <w:basedOn w:val="DefaultParagraphFont"/>
    <w:link w:val="IntenseQuote"/>
    <w:uiPriority w:val="30"/>
    <w:rsid w:val="005A793B"/>
    <w:rPr>
      <w:rFonts w:eastAsia="Times New Roman" w:cs="Arial"/>
      <w:i/>
      <w:iCs/>
      <w:color w:val="007B88" w:themeColor="accent1" w:themeShade="BF"/>
      <w:sz w:val="22"/>
      <w:szCs w:val="22"/>
      <w:lang w:val="en-US"/>
    </w:rPr>
  </w:style>
  <w:style w:type="character" w:styleId="IntenseEmphasis">
    <w:name w:val="Intense Emphasis"/>
    <w:basedOn w:val="DefaultParagraphFont"/>
    <w:uiPriority w:val="21"/>
    <w:unhideWhenUsed/>
    <w:qFormat/>
    <w:rsid w:val="005A793B"/>
    <w:rPr>
      <w:rFonts w:ascii="Arial" w:hAnsi="Arial" w:cs="Arial"/>
      <w:i/>
      <w:iCs/>
      <w:color w:val="007B88" w:themeColor="accent1" w:themeShade="BF"/>
    </w:rPr>
  </w:style>
  <w:style w:type="character" w:styleId="IntenseReference">
    <w:name w:val="Intense Reference"/>
    <w:basedOn w:val="DefaultParagraphFont"/>
    <w:uiPriority w:val="32"/>
    <w:unhideWhenUsed/>
    <w:qFormat/>
    <w:rsid w:val="005A793B"/>
    <w:rPr>
      <w:rFonts w:ascii="Arial" w:hAnsi="Arial" w:cs="Arial"/>
      <w:b/>
      <w:bCs/>
      <w:caps w:val="0"/>
      <w:smallCaps/>
      <w:color w:val="007B88" w:themeColor="accent1" w:themeShade="BF"/>
      <w:spacing w:val="0"/>
    </w:rPr>
  </w:style>
  <w:style w:type="character" w:styleId="BookTitle">
    <w:name w:val="Book Title"/>
    <w:basedOn w:val="DefaultParagraphFont"/>
    <w:uiPriority w:val="33"/>
    <w:unhideWhenUsed/>
    <w:qFormat/>
    <w:rsid w:val="005A793B"/>
    <w:rPr>
      <w:rFonts w:ascii="Arial" w:hAnsi="Arial" w:cs="Arial"/>
      <w:b/>
      <w:bCs/>
      <w:i/>
      <w:iCs/>
      <w:spacing w:val="0"/>
    </w:rPr>
  </w:style>
  <w:style w:type="table" w:styleId="TableGridLight">
    <w:name w:val="Grid Table Light"/>
    <w:basedOn w:val="TableNormal"/>
    <w:uiPriority w:val="40"/>
    <w:rsid w:val="005A793B"/>
    <w:pPr>
      <w:spacing w:before="60" w:after="0" w:line="240" w:lineRule="auto"/>
      <w:jc w:val="left"/>
    </w:pPr>
    <w:rPr>
      <w:rFonts w:asciiTheme="minorHAnsi" w:eastAsia="Times New Roman" w:hAnsiTheme="minorHAnsi" w:cs="Times New Roman"/>
      <w:color w:val="auto"/>
      <w:sz w:val="22"/>
      <w:szCs w:val="22"/>
      <w:lang w:val="en-US"/>
    </w:rPr>
    <w:tblPr/>
  </w:style>
  <w:style w:type="table" w:styleId="GridTable1Light-Accent4">
    <w:name w:val="Grid Table 1 Light Accent 4"/>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Style1">
    <w:name w:val="Style1"/>
    <w:basedOn w:val="TableNormal"/>
    <w:uiPriority w:val="99"/>
    <w:rsid w:val="005A793B"/>
    <w:pPr>
      <w:spacing w:after="0" w:line="240" w:lineRule="auto"/>
      <w:jc w:val="left"/>
    </w:pPr>
    <w:rPr>
      <w:rFonts w:asciiTheme="minorHAnsi" w:eastAsia="Times New Roman" w:hAnsiTheme="minorHAnsi" w:cs="Times New Roman"/>
      <w:color w:val="auto"/>
      <w:sz w:val="22"/>
      <w:szCs w:val="22"/>
      <w:lang w:val="en-US"/>
    </w:rPr>
    <w:tblPr/>
  </w:style>
  <w:style w:type="paragraph" w:styleId="BodyText2">
    <w:name w:val="Body Text 2"/>
    <w:basedOn w:val="Normal"/>
    <w:link w:val="BodyText2Char"/>
    <w:uiPriority w:val="99"/>
    <w:semiHidden/>
    <w:unhideWhenUsed/>
    <w:rsid w:val="005A793B"/>
    <w:pPr>
      <w:spacing w:before="60" w:line="480" w:lineRule="auto"/>
      <w:jc w:val="left"/>
    </w:pPr>
    <w:rPr>
      <w:rFonts w:eastAsia="Times New Roman" w:cs="Arial"/>
      <w:color w:val="auto"/>
      <w:sz w:val="22"/>
      <w:szCs w:val="22"/>
      <w:lang w:val="en-US"/>
    </w:rPr>
  </w:style>
  <w:style w:type="character" w:customStyle="1" w:styleId="BodyText2Char">
    <w:name w:val="Body Text 2 Char"/>
    <w:basedOn w:val="DefaultParagraphFont"/>
    <w:link w:val="BodyText2"/>
    <w:uiPriority w:val="99"/>
    <w:semiHidden/>
    <w:rsid w:val="005A793B"/>
    <w:rPr>
      <w:rFonts w:eastAsia="Times New Roman" w:cs="Arial"/>
      <w:color w:val="auto"/>
      <w:sz w:val="22"/>
      <w:szCs w:val="22"/>
      <w:lang w:val="en-US"/>
    </w:rPr>
  </w:style>
  <w:style w:type="paragraph" w:styleId="BodyTextFirstIndent">
    <w:name w:val="Body Text First Indent"/>
    <w:basedOn w:val="BodyText"/>
    <w:link w:val="BodyTextFirstIndentChar"/>
    <w:uiPriority w:val="99"/>
    <w:semiHidden/>
    <w:unhideWhenUsed/>
    <w:rsid w:val="005A793B"/>
    <w:pPr>
      <w:spacing w:before="60" w:after="60"/>
      <w:ind w:firstLine="360"/>
      <w:jc w:val="left"/>
    </w:pPr>
    <w:rPr>
      <w:rFonts w:eastAsia="Times New Roman"/>
      <w:color w:val="auto"/>
      <w:sz w:val="22"/>
      <w:szCs w:val="22"/>
      <w:lang w:val="en-US"/>
    </w:rPr>
  </w:style>
  <w:style w:type="character" w:customStyle="1" w:styleId="BodyTextFirstIndentChar">
    <w:name w:val="Body Text First Indent Char"/>
    <w:basedOn w:val="BodyTextChar"/>
    <w:link w:val="BodyTextFirstIndent"/>
    <w:uiPriority w:val="99"/>
    <w:semiHidden/>
    <w:rsid w:val="005A793B"/>
    <w:rPr>
      <w:rFonts w:eastAsia="Times New Roman" w:cs="Arial"/>
      <w:color w:val="auto"/>
      <w:sz w:val="22"/>
      <w:szCs w:val="22"/>
      <w:lang w:val="en-US"/>
    </w:rPr>
  </w:style>
  <w:style w:type="paragraph" w:styleId="BodyTextFirstIndent2">
    <w:name w:val="Body Text First Indent 2"/>
    <w:basedOn w:val="BodyTextIndent"/>
    <w:link w:val="BodyTextFirstIndent2Char"/>
    <w:uiPriority w:val="99"/>
    <w:semiHidden/>
    <w:unhideWhenUsed/>
    <w:rsid w:val="005A793B"/>
    <w:pPr>
      <w:spacing w:after="60"/>
      <w:ind w:left="360" w:firstLine="360"/>
    </w:pPr>
  </w:style>
  <w:style w:type="character" w:customStyle="1" w:styleId="BodyTextFirstIndent2Char">
    <w:name w:val="Body Text First Indent 2 Char"/>
    <w:basedOn w:val="BodyTextIndentChar"/>
    <w:link w:val="BodyTextFirstIndent2"/>
    <w:uiPriority w:val="99"/>
    <w:semiHidden/>
    <w:rsid w:val="005A793B"/>
    <w:rPr>
      <w:rFonts w:eastAsia="Times New Roman" w:cs="Arial"/>
      <w:color w:val="auto"/>
      <w:sz w:val="22"/>
      <w:szCs w:val="22"/>
      <w:lang w:val="en-US"/>
    </w:rPr>
  </w:style>
  <w:style w:type="paragraph" w:styleId="BodyTextIndent2">
    <w:name w:val="Body Text Indent 2"/>
    <w:basedOn w:val="Normal"/>
    <w:link w:val="BodyTextIndent2Char"/>
    <w:uiPriority w:val="99"/>
    <w:semiHidden/>
    <w:unhideWhenUsed/>
    <w:rsid w:val="005A793B"/>
    <w:pPr>
      <w:spacing w:before="60" w:line="480" w:lineRule="auto"/>
      <w:ind w:left="360"/>
      <w:jc w:val="left"/>
    </w:pPr>
    <w:rPr>
      <w:rFonts w:eastAsia="Times New Roman" w:cs="Arial"/>
      <w:color w:val="auto"/>
      <w:sz w:val="22"/>
      <w:szCs w:val="22"/>
      <w:lang w:val="en-US"/>
    </w:rPr>
  </w:style>
  <w:style w:type="character" w:customStyle="1" w:styleId="BodyTextIndent2Char">
    <w:name w:val="Body Text Indent 2 Char"/>
    <w:basedOn w:val="DefaultParagraphFont"/>
    <w:link w:val="BodyTextIndent2"/>
    <w:uiPriority w:val="99"/>
    <w:semiHidden/>
    <w:rsid w:val="005A793B"/>
    <w:rPr>
      <w:rFonts w:eastAsia="Times New Roman" w:cs="Arial"/>
      <w:color w:val="auto"/>
      <w:sz w:val="22"/>
      <w:szCs w:val="22"/>
      <w:lang w:val="en-US"/>
    </w:rPr>
  </w:style>
  <w:style w:type="paragraph" w:styleId="Closing">
    <w:name w:val="Closing"/>
    <w:basedOn w:val="Normal"/>
    <w:link w:val="ClosingChar"/>
    <w:uiPriority w:val="99"/>
    <w:semiHidden/>
    <w:unhideWhenUsed/>
    <w:rsid w:val="005A793B"/>
    <w:pPr>
      <w:spacing w:after="0"/>
      <w:ind w:left="4320"/>
      <w:jc w:val="left"/>
    </w:pPr>
    <w:rPr>
      <w:rFonts w:eastAsia="Times New Roman" w:cs="Arial"/>
      <w:color w:val="auto"/>
      <w:sz w:val="22"/>
      <w:szCs w:val="22"/>
      <w:lang w:val="en-US"/>
    </w:rPr>
  </w:style>
  <w:style w:type="character" w:customStyle="1" w:styleId="ClosingChar">
    <w:name w:val="Closing Char"/>
    <w:basedOn w:val="DefaultParagraphFont"/>
    <w:link w:val="Closing"/>
    <w:uiPriority w:val="99"/>
    <w:semiHidden/>
    <w:rsid w:val="005A793B"/>
    <w:rPr>
      <w:rFonts w:ascii="Times New Roman" w:eastAsia="Times New Roman" w:hAnsi="Times New Roman" w:cs="Arial"/>
      <w:color w:val="auto"/>
      <w:sz w:val="22"/>
      <w:szCs w:val="22"/>
      <w:lang w:val="en-US"/>
    </w:rPr>
  </w:style>
  <w:style w:type="table" w:styleId="ColorfulGrid">
    <w:name w:val="Colorful Grid"/>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1">
    <w:name w:val="Colorful Grid Accent 1"/>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2">
    <w:name w:val="Colorful Grid Accent 2"/>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3">
    <w:name w:val="Colorful Grid Accent 3"/>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4">
    <w:name w:val="Colorful Grid Accent 4"/>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5">
    <w:name w:val="Colorful Grid Accent 5"/>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Grid-Accent6">
    <w:name w:val="Colorful Grid Accent 6"/>
    <w:basedOn w:val="TableNormal"/>
    <w:uiPriority w:val="73"/>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C5EDFF" w:themeFill="accent6" w:themeFillTint="33"/>
    </w:tcPr>
    <w:tblStylePr w:type="firstRow">
      <w:rPr>
        <w:b/>
        <w:bCs/>
      </w:rPr>
    </w:tblStylePr>
    <w:tblStylePr w:type="lastRow">
      <w:rPr>
        <w:b/>
        <w:bCs/>
        <w:color w:val="242828" w:themeColor="text1"/>
      </w:rPr>
    </w:tblStylePr>
    <w:tblStylePr w:type="firstCol">
      <w:rPr>
        <w:color w:val="FFFFFF" w:themeColor="background1"/>
      </w:rPr>
    </w:tblStylePr>
    <w:tblStylePr w:type="lastCol">
      <w:rPr>
        <w:color w:val="FFFFFF" w:themeColor="background1"/>
      </w:rPr>
    </w:tblStylePr>
  </w:style>
  <w:style w:type="table" w:styleId="ColorfulList">
    <w:name w:val="Colorful List"/>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E8EAEA" w:themeFill="text1" w:themeFillTint="19"/>
    </w:tcPr>
    <w:tblStylePr w:type="firstRow">
      <w:rPr>
        <w:b/>
        <w:bCs/>
        <w:color w:val="FFFFFF" w:themeColor="background1"/>
      </w:rPr>
      <w:tblPr/>
      <w:tcPr>
        <w:tcBorders>
          <w:bottom w:val="single" w:sz="12" w:space="0" w:color="FFFFFF" w:themeColor="background1"/>
        </w:tcBorders>
        <w:shd w:val="clear" w:color="auto" w:fill="007757" w:themeFill="accent2" w:themeFillShade="CC"/>
      </w:tcPr>
    </w:tblStylePr>
    <w:tblStylePr w:type="lastRow">
      <w:rPr>
        <w:b/>
        <w:bCs/>
        <w:color w:val="007757" w:themeColor="accent2"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CCCC" w:themeFill="text1" w:themeFillTint="3F"/>
      </w:tcPr>
    </w:tblStylePr>
    <w:tblStylePr w:type="band1Horz">
      <w:tblPr/>
      <w:tcPr>
        <w:shd w:val="clear" w:color="auto" w:fill="D1D5D5" w:themeFill="text1" w:themeFillTint="33"/>
      </w:tcPr>
    </w:tblStylePr>
  </w:style>
  <w:style w:type="table" w:styleId="ColorfulList-Accent1">
    <w:name w:val="Colorful List Accent 1"/>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7757" w:themeFill="accent2" w:themeFillShade="CC"/>
      </w:tcPr>
    </w:tblStylePr>
    <w:tblStylePr w:type="lastRow">
      <w:rPr>
        <w:b/>
        <w:bCs/>
        <w:color w:val="007757" w:themeColor="accent2"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7FF" w:themeFill="accent1" w:themeFillTint="3F"/>
      </w:tcPr>
    </w:tblStylePr>
    <w:tblStylePr w:type="band1Horz">
      <w:tblPr/>
      <w:tcPr>
        <w:shd w:val="clear" w:color="auto" w:fill="BDF9FF" w:themeFill="accent1" w:themeFillTint="33"/>
      </w:tcPr>
    </w:tblStylePr>
  </w:style>
  <w:style w:type="table" w:styleId="ColorfulList-Accent2">
    <w:name w:val="Colorful List Accent 2"/>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DBFFF5" w:themeFill="accent2" w:themeFillTint="19"/>
    </w:tcPr>
    <w:tblStylePr w:type="firstRow">
      <w:rPr>
        <w:b/>
        <w:bCs/>
        <w:color w:val="FFFFFF" w:themeColor="background1"/>
      </w:rPr>
      <w:tblPr/>
      <w:tcPr>
        <w:tcBorders>
          <w:bottom w:val="single" w:sz="12" w:space="0" w:color="FFFFFF" w:themeColor="background1"/>
        </w:tcBorders>
        <w:shd w:val="clear" w:color="auto" w:fill="007757" w:themeFill="accent2" w:themeFillShade="CC"/>
      </w:tcPr>
    </w:tblStylePr>
    <w:tblStylePr w:type="lastRow">
      <w:rPr>
        <w:b/>
        <w:bCs/>
        <w:color w:val="007757" w:themeColor="accent2"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E7" w:themeFill="accent2" w:themeFillTint="3F"/>
      </w:tcPr>
    </w:tblStylePr>
    <w:tblStylePr w:type="band1Horz">
      <w:tblPr/>
      <w:tcPr>
        <w:shd w:val="clear" w:color="auto" w:fill="B6FFEB" w:themeFill="accent2" w:themeFillTint="33"/>
      </w:tcPr>
    </w:tblStylePr>
  </w:style>
  <w:style w:type="table" w:styleId="ColorfulList-Accent3">
    <w:name w:val="Colorful List Accent 3"/>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F7E4F4" w:themeFill="accent3" w:themeFillTint="19"/>
    </w:tcPr>
    <w:tblStylePr w:type="firstRow">
      <w:rPr>
        <w:b/>
        <w:bCs/>
        <w:color w:val="FFFFFF" w:themeColor="background1"/>
      </w:rPr>
      <w:tblPr/>
      <w:tcPr>
        <w:tcBorders>
          <w:bottom w:val="single" w:sz="12" w:space="0" w:color="FFFFFF" w:themeColor="background1"/>
        </w:tcBorders>
        <w:shd w:val="clear" w:color="auto" w:fill="BA5B00" w:themeFill="accent4" w:themeFillShade="CC"/>
      </w:tcPr>
    </w:tblStylePr>
    <w:tblStylePr w:type="lastRow">
      <w:rPr>
        <w:b/>
        <w:bCs/>
        <w:color w:val="BA5B00" w:themeColor="accent4"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BAE5" w:themeFill="accent3" w:themeFillTint="3F"/>
      </w:tcPr>
    </w:tblStylePr>
    <w:tblStylePr w:type="band1Horz">
      <w:tblPr/>
      <w:tcPr>
        <w:shd w:val="clear" w:color="auto" w:fill="EEC7EA" w:themeFill="accent3" w:themeFillTint="33"/>
      </w:tcPr>
    </w:tblStylePr>
  </w:style>
  <w:style w:type="table" w:styleId="ColorfulList-Accent4">
    <w:name w:val="Colorful List Accent 4"/>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FFF1E3" w:themeFill="accent4" w:themeFillTint="19"/>
    </w:tcPr>
    <w:tblStylePr w:type="firstRow">
      <w:rPr>
        <w:b/>
        <w:bCs/>
        <w:color w:val="FFFFFF" w:themeColor="background1"/>
      </w:rPr>
      <w:tblPr/>
      <w:tcPr>
        <w:tcBorders>
          <w:bottom w:val="single" w:sz="12" w:space="0" w:color="FFFFFF" w:themeColor="background1"/>
        </w:tcBorders>
        <w:shd w:val="clear" w:color="auto" w:fill="5E1C57" w:themeFill="accent3" w:themeFillShade="CC"/>
      </w:tcPr>
    </w:tblStylePr>
    <w:tblStylePr w:type="lastRow">
      <w:rPr>
        <w:b/>
        <w:bCs/>
        <w:color w:val="5E1C57" w:themeColor="accent3"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BA" w:themeFill="accent4" w:themeFillTint="3F"/>
      </w:tcPr>
    </w:tblStylePr>
    <w:tblStylePr w:type="band1Horz">
      <w:tblPr/>
      <w:tcPr>
        <w:shd w:val="clear" w:color="auto" w:fill="FFE2C7" w:themeFill="accent4" w:themeFillTint="33"/>
      </w:tcPr>
    </w:tblStylePr>
  </w:style>
  <w:style w:type="table" w:styleId="ColorfulList-Accent5">
    <w:name w:val="Colorful List Accent 5"/>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FAFAFA" w:themeFill="accent5" w:themeFillTint="19"/>
    </w:tcPr>
    <w:tblStylePr w:type="firstRow">
      <w:rPr>
        <w:b/>
        <w:bCs/>
        <w:color w:val="FFFFFF" w:themeColor="background1"/>
      </w:rPr>
      <w:tblPr/>
      <w:tcPr>
        <w:tcBorders>
          <w:bottom w:val="single" w:sz="12" w:space="0" w:color="FFFFFF" w:themeColor="background1"/>
        </w:tcBorders>
        <w:shd w:val="clear" w:color="auto" w:fill="007BB2" w:themeFill="accent6" w:themeFillShade="CC"/>
      </w:tcPr>
    </w:tblStylePr>
    <w:tblStylePr w:type="lastRow">
      <w:rPr>
        <w:b/>
        <w:bCs/>
        <w:color w:val="007BB2" w:themeColor="accent6"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3F3" w:themeFill="accent5" w:themeFillTint="3F"/>
      </w:tcPr>
    </w:tblStylePr>
    <w:tblStylePr w:type="band1Horz">
      <w:tblPr/>
      <w:tcPr>
        <w:shd w:val="clear" w:color="auto" w:fill="F5F6F6" w:themeFill="accent5" w:themeFillTint="33"/>
      </w:tcPr>
    </w:tblStylePr>
  </w:style>
  <w:style w:type="table" w:styleId="ColorfulList-Accent6">
    <w:name w:val="Colorful List Accent 6"/>
    <w:basedOn w:val="TableNormal"/>
    <w:uiPriority w:val="72"/>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shd w:val="clear" w:color="auto" w:fill="E2F6FF" w:themeFill="accent6" w:themeFillTint="19"/>
    </w:tcPr>
    <w:tblStylePr w:type="firstRow">
      <w:rPr>
        <w:b/>
        <w:bCs/>
        <w:color w:val="FFFFFF" w:themeColor="background1"/>
      </w:rPr>
      <w:tblPr/>
      <w:tcPr>
        <w:tcBorders>
          <w:bottom w:val="single" w:sz="12" w:space="0" w:color="FFFFFF" w:themeColor="background1"/>
        </w:tcBorders>
        <w:shd w:val="clear" w:color="auto" w:fill="A5A9A9" w:themeFill="accent5" w:themeFillShade="CC"/>
      </w:tcPr>
    </w:tblStylePr>
    <w:tblStylePr w:type="lastRow">
      <w:rPr>
        <w:b/>
        <w:bCs/>
        <w:color w:val="A5A9A9" w:themeColor="accent5" w:themeShade="CC"/>
      </w:rPr>
      <w:tblPr/>
      <w:tcPr>
        <w:tcBorders>
          <w:top w:val="single" w:sz="12" w:space="0" w:color="24282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E9FF" w:themeFill="accent6" w:themeFillTint="3F"/>
      </w:tcPr>
    </w:tblStylePr>
    <w:tblStylePr w:type="band1Horz">
      <w:tblPr/>
      <w:tcPr>
        <w:shd w:val="clear" w:color="auto" w:fill="C5EDFF" w:themeFill="accent6" w:themeFillTint="33"/>
      </w:tcPr>
    </w:tblStylePr>
  </w:style>
  <w:style w:type="table" w:styleId="ColorfulShading">
    <w:name w:val="Colorful Shading"/>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E8EAEA" w:themeFill="text1" w:themeFillTint="19"/>
    </w:tcPr>
    <w:tblStylePr w:type="firstRow">
      <w:rPr>
        <w:b/>
        <w:bCs/>
      </w:rPr>
      <w:tblPr/>
      <w:tcPr>
        <w:tcBorders>
          <w:top w:val="nil"/>
          <w:left w:val="nil"/>
          <w:bottom w:val="single" w:sz="24" w:space="0" w:color="0095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1717" w:themeFill="text1" w:themeFillShade="99"/>
      </w:tcPr>
    </w:tblStylePr>
    <w:tblStylePr w:type="firstCol">
      <w:rPr>
        <w:color w:val="FFFFFF" w:themeColor="background1"/>
      </w:rPr>
      <w:tblPr/>
      <w:tcPr>
        <w:tcBorders>
          <w:top w:val="nil"/>
          <w:left w:val="nil"/>
          <w:bottom w:val="nil"/>
          <w:right w:val="nil"/>
          <w:insideH w:val="single" w:sz="4" w:space="0" w:color="151717" w:themeColor="text1" w:themeShade="99"/>
          <w:insideV w:val="nil"/>
        </w:tcBorders>
        <w:shd w:val="clear" w:color="auto" w:fill="151717" w:themeFill="text1"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1">
    <w:name w:val="Colorful Shading Accent 1"/>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DEFCFF" w:themeFill="accent1" w:themeFillTint="19"/>
    </w:tcPr>
    <w:tblStylePr w:type="firstRow">
      <w:rPr>
        <w:b/>
        <w:bCs/>
      </w:rPr>
      <w:tblPr/>
      <w:tcPr>
        <w:tcBorders>
          <w:top w:val="nil"/>
          <w:left w:val="nil"/>
          <w:bottom w:val="single" w:sz="24" w:space="0" w:color="0095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D" w:themeFill="accent1" w:themeFillShade="99"/>
      </w:tcPr>
    </w:tblStylePr>
    <w:tblStylePr w:type="firstCol">
      <w:rPr>
        <w:color w:val="FFFFFF" w:themeColor="background1"/>
      </w:rPr>
      <w:tblPr/>
      <w:tcPr>
        <w:tcBorders>
          <w:top w:val="nil"/>
          <w:left w:val="nil"/>
          <w:bottom w:val="nil"/>
          <w:right w:val="nil"/>
          <w:insideH w:val="single" w:sz="4" w:space="0" w:color="00636D" w:themeColor="accent1" w:themeShade="99"/>
          <w:insideV w:val="nil"/>
        </w:tcBorders>
        <w:shd w:val="clear" w:color="auto" w:fill="00636D" w:themeFill="accent1"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2">
    <w:name w:val="Colorful Shading Accent 2"/>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DBFFF5" w:themeFill="accent2" w:themeFillTint="19"/>
    </w:tcPr>
    <w:tblStylePr w:type="firstRow">
      <w:rPr>
        <w:b/>
        <w:bCs/>
      </w:rPr>
      <w:tblPr/>
      <w:tcPr>
        <w:tcBorders>
          <w:top w:val="nil"/>
          <w:left w:val="nil"/>
          <w:bottom w:val="single" w:sz="24" w:space="0" w:color="00956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941" w:themeFill="accent2" w:themeFillShade="99"/>
      </w:tcPr>
    </w:tblStylePr>
    <w:tblStylePr w:type="firstCol">
      <w:rPr>
        <w:color w:val="FFFFFF" w:themeColor="background1"/>
      </w:rPr>
      <w:tblPr/>
      <w:tcPr>
        <w:tcBorders>
          <w:top w:val="nil"/>
          <w:left w:val="nil"/>
          <w:bottom w:val="nil"/>
          <w:right w:val="nil"/>
          <w:insideH w:val="single" w:sz="4" w:space="0" w:color="005941" w:themeColor="accent2" w:themeShade="99"/>
          <w:insideV w:val="nil"/>
        </w:tcBorders>
        <w:shd w:val="clear" w:color="auto" w:fill="005941" w:themeFill="accent2"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3">
    <w:name w:val="Colorful Shading Accent 3"/>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F7E4F4" w:themeFill="accent3" w:themeFillTint="19"/>
    </w:tcPr>
    <w:tblStylePr w:type="firstRow">
      <w:rPr>
        <w:b/>
        <w:bCs/>
      </w:rPr>
      <w:tblPr/>
      <w:tcPr>
        <w:tcBorders>
          <w:top w:val="nil"/>
          <w:left w:val="nil"/>
          <w:bottom w:val="single" w:sz="24" w:space="0" w:color="E973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61541" w:themeFill="accent3" w:themeFillShade="99"/>
      </w:tcPr>
    </w:tblStylePr>
    <w:tblStylePr w:type="firstCol">
      <w:rPr>
        <w:color w:val="FFFFFF" w:themeColor="background1"/>
      </w:rPr>
      <w:tblPr/>
      <w:tcPr>
        <w:tcBorders>
          <w:top w:val="nil"/>
          <w:left w:val="nil"/>
          <w:bottom w:val="nil"/>
          <w:right w:val="nil"/>
          <w:insideH w:val="single" w:sz="4" w:space="0" w:color="461541" w:themeColor="accent3" w:themeShade="99"/>
          <w:insideV w:val="nil"/>
        </w:tcBorders>
        <w:shd w:val="clear" w:color="auto" w:fill="461541" w:themeFill="accent3" w:themeFillShade="99"/>
      </w:tcPr>
    </w:tblStylePr>
    <w:tblStylePr w:type="lastCol">
      <w:rPr>
        <w:color w:val="FFFFFF" w:themeColor="background1"/>
      </w:rPr>
    </w:tblStylePr>
  </w:style>
  <w:style w:type="table" w:styleId="ColorfulShading-Accent4">
    <w:name w:val="Colorful Shading Accent 4"/>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FFF1E3" w:themeFill="accent4" w:themeFillTint="19"/>
    </w:tcPr>
    <w:tblStylePr w:type="firstRow">
      <w:rPr>
        <w:b/>
        <w:bCs/>
      </w:rPr>
      <w:tblPr/>
      <w:tcPr>
        <w:tcBorders>
          <w:top w:val="nil"/>
          <w:left w:val="nil"/>
          <w:bottom w:val="single" w:sz="24" w:space="0" w:color="76236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4400" w:themeFill="accent4" w:themeFillShade="99"/>
      </w:tcPr>
    </w:tblStylePr>
    <w:tblStylePr w:type="firstCol">
      <w:rPr>
        <w:color w:val="FFFFFF" w:themeColor="background1"/>
      </w:rPr>
      <w:tblPr/>
      <w:tcPr>
        <w:tcBorders>
          <w:top w:val="nil"/>
          <w:left w:val="nil"/>
          <w:bottom w:val="nil"/>
          <w:right w:val="nil"/>
          <w:insideH w:val="single" w:sz="4" w:space="0" w:color="8B4400" w:themeColor="accent4" w:themeShade="99"/>
          <w:insideV w:val="nil"/>
        </w:tcBorders>
        <w:shd w:val="clear" w:color="auto" w:fill="8B4400" w:themeFill="accent4"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5">
    <w:name w:val="Colorful Shading Accent 5"/>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FAFAFA" w:themeFill="accent5" w:themeFillTint="19"/>
    </w:tcPr>
    <w:tblStylePr w:type="firstRow">
      <w:rPr>
        <w:b/>
        <w:bCs/>
      </w:rPr>
      <w:tblPr/>
      <w:tcPr>
        <w:tcBorders>
          <w:top w:val="nil"/>
          <w:left w:val="nil"/>
          <w:bottom w:val="single" w:sz="24" w:space="0" w:color="009BD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8080" w:themeFill="accent5" w:themeFillShade="99"/>
      </w:tcPr>
    </w:tblStylePr>
    <w:tblStylePr w:type="firstCol">
      <w:rPr>
        <w:color w:val="FFFFFF" w:themeColor="background1"/>
      </w:rPr>
      <w:tblPr/>
      <w:tcPr>
        <w:tcBorders>
          <w:top w:val="nil"/>
          <w:left w:val="nil"/>
          <w:bottom w:val="nil"/>
          <w:right w:val="nil"/>
          <w:insideH w:val="single" w:sz="4" w:space="0" w:color="7A8080" w:themeColor="accent5" w:themeShade="99"/>
          <w:insideV w:val="nil"/>
        </w:tcBorders>
        <w:shd w:val="clear" w:color="auto" w:fill="7A8080" w:themeFill="accent5"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ColorfulShading-Accent6">
    <w:name w:val="Colorful Shading Accent 6"/>
    <w:basedOn w:val="TableNormal"/>
    <w:uiPriority w:val="71"/>
    <w:semiHidden/>
    <w:unhideWhenUsed/>
    <w:rsid w:val="005A793B"/>
    <w:pPr>
      <w:spacing w:after="0" w:line="240" w:lineRule="auto"/>
      <w:jc w:val="left"/>
    </w:pPr>
    <w:rPr>
      <w:rFonts w:asciiTheme="minorHAnsi" w:eastAsia="Times New Roman" w:hAnsiTheme="minorHAnsi" w:cs="Times New Roman"/>
      <w:sz w:val="22"/>
      <w:szCs w:val="22"/>
      <w:lang w:val="en-US"/>
    </w:rPr>
    <w:tblPr>
      <w:tblStyleRowBandSize w:val="1"/>
      <w:tblStyleColBandSize w:val="1"/>
    </w:tblPr>
    <w:tcPr>
      <w:tcBorders>
        <w:top w:val="nil"/>
        <w:left w:val="nil"/>
        <w:bottom w:val="nil"/>
        <w:right w:val="nil"/>
      </w:tcBorders>
      <w:shd w:val="clear" w:color="auto" w:fill="E2F6FF" w:themeFill="accent6" w:themeFillTint="19"/>
    </w:tcPr>
    <w:tblStylePr w:type="firstRow">
      <w:rPr>
        <w:b/>
        <w:bCs/>
      </w:rPr>
      <w:tblPr/>
      <w:tcPr>
        <w:tcBorders>
          <w:top w:val="nil"/>
          <w:left w:val="nil"/>
          <w:bottom w:val="single" w:sz="24" w:space="0" w:color="D0D2D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85" w:themeFill="accent6" w:themeFillShade="99"/>
      </w:tcPr>
    </w:tblStylePr>
    <w:tblStylePr w:type="firstCol">
      <w:rPr>
        <w:color w:val="FFFFFF" w:themeColor="background1"/>
      </w:rPr>
      <w:tblPr/>
      <w:tcPr>
        <w:tcBorders>
          <w:top w:val="nil"/>
          <w:left w:val="nil"/>
          <w:bottom w:val="nil"/>
          <w:right w:val="nil"/>
          <w:insideH w:val="single" w:sz="4" w:space="0" w:color="005C85" w:themeColor="accent6" w:themeShade="99"/>
          <w:insideV w:val="nil"/>
        </w:tcBorders>
        <w:shd w:val="clear" w:color="auto" w:fill="005C85" w:themeFill="accent6" w:themeFillShade="99"/>
      </w:tcPr>
    </w:tblStylePr>
    <w:tblStylePr w:type="lastCol">
      <w:rPr>
        <w:color w:val="FFFFFF" w:themeColor="background1"/>
      </w:rPr>
    </w:tblStylePr>
    <w:tblStylePr w:type="neCell">
      <w:rPr>
        <w:color w:val="242828" w:themeColor="text1"/>
      </w:rPr>
    </w:tblStylePr>
    <w:tblStylePr w:type="nwCell">
      <w:rPr>
        <w:color w:val="242828" w:themeColor="text1"/>
      </w:rPr>
    </w:tblStylePr>
  </w:style>
  <w:style w:type="table" w:styleId="DarkList">
    <w:name w:val="Dark List"/>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1">
    <w:name w:val="Dark List Accent 1"/>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2">
    <w:name w:val="Dark List Accent 2"/>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3">
    <w:name w:val="Dark List Accent 3"/>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4">
    <w:name w:val="Dark List Accent 4"/>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5">
    <w:name w:val="Dark List Accent 5"/>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table" w:styleId="DarkList-Accent6">
    <w:name w:val="Dark List Accent 6"/>
    <w:basedOn w:val="TableNormal"/>
    <w:uiPriority w:val="70"/>
    <w:semiHidden/>
    <w:unhideWhenUsed/>
    <w:rsid w:val="005A793B"/>
    <w:pPr>
      <w:spacing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style>
  <w:style w:type="paragraph" w:styleId="Date">
    <w:name w:val="Date"/>
    <w:basedOn w:val="Normal"/>
    <w:next w:val="Normal"/>
    <w:link w:val="DateChar"/>
    <w:uiPriority w:val="99"/>
    <w:semiHidden/>
    <w:unhideWhenUsed/>
    <w:rsid w:val="005A793B"/>
    <w:pPr>
      <w:spacing w:before="60" w:after="60" w:line="276" w:lineRule="auto"/>
      <w:jc w:val="left"/>
    </w:pPr>
    <w:rPr>
      <w:rFonts w:eastAsia="Times New Roman" w:cs="Arial"/>
      <w:color w:val="auto"/>
      <w:sz w:val="22"/>
      <w:szCs w:val="22"/>
      <w:lang w:val="en-US"/>
    </w:rPr>
  </w:style>
  <w:style w:type="character" w:customStyle="1" w:styleId="DateChar">
    <w:name w:val="Date Char"/>
    <w:basedOn w:val="DefaultParagraphFont"/>
    <w:link w:val="Date"/>
    <w:uiPriority w:val="99"/>
    <w:semiHidden/>
    <w:rsid w:val="005A793B"/>
    <w:rPr>
      <w:rFonts w:eastAsia="Times New Roman" w:cs="Arial"/>
      <w:color w:val="auto"/>
      <w:sz w:val="22"/>
      <w:szCs w:val="22"/>
      <w:lang w:val="en-US"/>
    </w:rPr>
  </w:style>
  <w:style w:type="paragraph" w:styleId="E-mailSignature">
    <w:name w:val="E-mail Signature"/>
    <w:basedOn w:val="Normal"/>
    <w:link w:val="E-mailSignatureChar"/>
    <w:uiPriority w:val="99"/>
    <w:semiHidden/>
    <w:unhideWhenUsed/>
    <w:rsid w:val="005A793B"/>
    <w:pPr>
      <w:spacing w:after="0"/>
      <w:jc w:val="left"/>
    </w:pPr>
    <w:rPr>
      <w:rFonts w:eastAsia="Times New Roman" w:cs="Arial"/>
      <w:color w:val="auto"/>
      <w:sz w:val="22"/>
      <w:szCs w:val="22"/>
      <w:lang w:val="en-US"/>
    </w:rPr>
  </w:style>
  <w:style w:type="character" w:customStyle="1" w:styleId="E-mailSignatureChar">
    <w:name w:val="E-mail Signature Char"/>
    <w:basedOn w:val="DefaultParagraphFont"/>
    <w:link w:val="E-mailSignature"/>
    <w:uiPriority w:val="99"/>
    <w:semiHidden/>
    <w:rsid w:val="005A793B"/>
    <w:rPr>
      <w:rFonts w:ascii="Times New Roman" w:eastAsia="Times New Roman" w:hAnsi="Times New Roman" w:cs="Arial"/>
      <w:color w:val="auto"/>
      <w:sz w:val="22"/>
      <w:szCs w:val="22"/>
      <w:lang w:val="en-US"/>
    </w:rPr>
  </w:style>
  <w:style w:type="character" w:styleId="Emphasis">
    <w:name w:val="Emphasis"/>
    <w:basedOn w:val="DefaultParagraphFont"/>
    <w:uiPriority w:val="99"/>
    <w:unhideWhenUsed/>
    <w:qFormat/>
    <w:rsid w:val="005A793B"/>
    <w:rPr>
      <w:rFonts w:ascii="Arial" w:hAnsi="Arial" w:cs="Arial"/>
      <w:i/>
      <w:iCs/>
    </w:rPr>
  </w:style>
  <w:style w:type="character" w:styleId="EndnoteReference">
    <w:name w:val="endnote reference"/>
    <w:basedOn w:val="DefaultParagraphFont"/>
    <w:uiPriority w:val="99"/>
    <w:semiHidden/>
    <w:unhideWhenUsed/>
    <w:rsid w:val="005A793B"/>
    <w:rPr>
      <w:rFonts w:ascii="Arial" w:hAnsi="Arial" w:cs="Arial"/>
      <w:vertAlign w:val="superscript"/>
    </w:rPr>
  </w:style>
  <w:style w:type="paragraph" w:styleId="EnvelopeAddress">
    <w:name w:val="envelope address"/>
    <w:basedOn w:val="Normal"/>
    <w:uiPriority w:val="99"/>
    <w:semiHidden/>
    <w:unhideWhenUsed/>
    <w:rsid w:val="00A43A5F"/>
    <w:pPr>
      <w:framePr w:w="7920" w:h="1980" w:hRule="exact" w:hSpace="180" w:wrap="auto" w:hAnchor="page" w:xAlign="center" w:yAlign="bottom"/>
      <w:spacing w:after="0"/>
      <w:ind w:left="2880"/>
      <w:jc w:val="left"/>
    </w:pPr>
    <w:rPr>
      <w:rFonts w:eastAsiaTheme="majorEastAsia" w:cs="Arial"/>
      <w:color w:val="auto"/>
      <w:lang w:val="en-US"/>
    </w:rPr>
  </w:style>
  <w:style w:type="character" w:styleId="FollowedHyperlink">
    <w:name w:val="FollowedHyperlink"/>
    <w:basedOn w:val="DefaultParagraphFont"/>
    <w:uiPriority w:val="99"/>
    <w:semiHidden/>
    <w:unhideWhenUsed/>
    <w:rsid w:val="005A793B"/>
    <w:rPr>
      <w:rFonts w:ascii="Arial" w:hAnsi="Arial" w:cs="Arial"/>
      <w:color w:val="A3AAAE" w:themeColor="followedHyperlink"/>
      <w:u w:val="single"/>
    </w:rPr>
  </w:style>
  <w:style w:type="table" w:styleId="GridTable1Light">
    <w:name w:val="Grid Table 1 Light"/>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A3ACAC" w:themeColor="text1" w:themeTint="66"/>
        <w:left w:val="single" w:sz="4" w:space="0" w:color="A3ACAC" w:themeColor="text1" w:themeTint="66"/>
        <w:bottom w:val="single" w:sz="4" w:space="0" w:color="A3ACAC" w:themeColor="text1" w:themeTint="66"/>
        <w:right w:val="single" w:sz="4" w:space="0" w:color="A3ACAC" w:themeColor="text1" w:themeTint="66"/>
        <w:insideH w:val="single" w:sz="4" w:space="0" w:color="A3ACAC" w:themeColor="text1" w:themeTint="66"/>
        <w:insideV w:val="single" w:sz="4" w:space="0" w:color="A3ACAC" w:themeColor="text1" w:themeTint="66"/>
      </w:tblBorders>
    </w:tblPr>
    <w:tblStylePr w:type="firstRow">
      <w:rPr>
        <w:b/>
        <w:bCs/>
      </w:rPr>
      <w:tblPr/>
      <w:tcPr>
        <w:tcBorders>
          <w:bottom w:val="single" w:sz="12" w:space="0" w:color="768383" w:themeColor="text1" w:themeTint="99"/>
        </w:tcBorders>
      </w:tcPr>
    </w:tblStylePr>
    <w:tblStylePr w:type="lastRow">
      <w:rPr>
        <w:b/>
        <w:bCs/>
      </w:rPr>
      <w:tblPr/>
      <w:tcPr>
        <w:tcBorders>
          <w:top w:val="double" w:sz="2" w:space="0" w:color="7683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BF3FF" w:themeColor="accent1" w:themeTint="66"/>
        <w:left w:val="single" w:sz="4" w:space="0" w:color="7BF3FF" w:themeColor="accent1" w:themeTint="66"/>
        <w:bottom w:val="single" w:sz="4" w:space="0" w:color="7BF3FF" w:themeColor="accent1" w:themeTint="66"/>
        <w:right w:val="single" w:sz="4" w:space="0" w:color="7BF3FF" w:themeColor="accent1" w:themeTint="66"/>
        <w:insideH w:val="single" w:sz="4" w:space="0" w:color="7BF3FF" w:themeColor="accent1" w:themeTint="66"/>
        <w:insideV w:val="single" w:sz="4" w:space="0" w:color="7BF3FF" w:themeColor="accent1" w:themeTint="66"/>
      </w:tblBorders>
    </w:tblPr>
    <w:tblStylePr w:type="firstRow">
      <w:rPr>
        <w:b/>
        <w:bCs/>
      </w:rPr>
      <w:tblPr/>
      <w:tcPr>
        <w:tcBorders>
          <w:bottom w:val="single" w:sz="12" w:space="0" w:color="3AEDFF" w:themeColor="accent1" w:themeTint="99"/>
        </w:tcBorders>
      </w:tcPr>
    </w:tblStylePr>
    <w:tblStylePr w:type="lastRow">
      <w:rPr>
        <w:b/>
        <w:bCs/>
      </w:rPr>
      <w:tblPr/>
      <w:tcPr>
        <w:tcBorders>
          <w:top w:val="double" w:sz="2" w:space="0" w:color="3AE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12" w:space="0" w:color="26FFC6" w:themeColor="accent2" w:themeTint="99"/>
        </w:tcBorders>
      </w:tcPr>
    </w:tblStylePr>
    <w:tblStylePr w:type="lastRow">
      <w:rPr>
        <w:b/>
        <w:bCs/>
      </w:rPr>
      <w:tblPr/>
      <w:tcPr>
        <w:tcBorders>
          <w:top w:val="double" w:sz="2" w:space="0" w:color="26FFC6"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12" w:space="0" w:color="CE59C1" w:themeColor="accent3" w:themeTint="99"/>
        </w:tcBorders>
      </w:tcPr>
    </w:tblStylePr>
    <w:tblStylePr w:type="lastRow">
      <w:rPr>
        <w:b/>
        <w:bCs/>
      </w:rPr>
      <w:tblPr/>
      <w:tcPr>
        <w:tcBorders>
          <w:top w:val="double" w:sz="2" w:space="0" w:color="CE59C1"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12" w:space="0" w:color="E2E4E4" w:themeColor="accent5" w:themeTint="99"/>
        </w:tcBorders>
      </w:tcPr>
    </w:tblStylePr>
    <w:tblStylePr w:type="lastRow">
      <w:rPr>
        <w:b/>
        <w:bCs/>
      </w:rPr>
      <w:tblPr/>
      <w:tcPr>
        <w:tcBorders>
          <w:top w:val="double" w:sz="2" w:space="0" w:color="E2E4E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12" w:space="0" w:color="52CAFF" w:themeColor="accent6" w:themeTint="99"/>
        </w:tcBorders>
      </w:tcPr>
    </w:tblStylePr>
    <w:tblStylePr w:type="lastRow">
      <w:rPr>
        <w:b/>
        <w:bCs/>
      </w:rPr>
      <w:tblPr/>
      <w:tcPr>
        <w:tcBorders>
          <w:top w:val="double" w:sz="2" w:space="0" w:color="52CA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hemeFill="text1" w:themeFillTint="33"/>
    </w:tcPr>
    <w:tblStylePr w:type="firstRow">
      <w:rPr>
        <w:b/>
        <w:bCs/>
      </w:rPr>
      <w:tblPr/>
      <w:tcPr>
        <w:tcBorders>
          <w:top w:val="nil"/>
          <w:bottom w:val="single" w:sz="12" w:space="0" w:color="768383" w:themeColor="text1" w:themeTint="99"/>
          <w:insideH w:val="nil"/>
          <w:insideV w:val="nil"/>
        </w:tcBorders>
        <w:shd w:val="clear" w:color="auto" w:fill="FFFFFF" w:themeFill="background1"/>
      </w:tcPr>
    </w:tblStylePr>
    <w:tblStylePr w:type="lastRow">
      <w:rPr>
        <w:b/>
        <w:bCs/>
      </w:rPr>
      <w:tblPr/>
      <w:tcPr>
        <w:tcBorders>
          <w:top w:val="double" w:sz="2" w:space="0" w:color="7683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5D5" w:themeFill="text1" w:themeFillTint="33"/>
      </w:tcPr>
    </w:tblStylePr>
  </w:style>
  <w:style w:type="table" w:styleId="GridTable2-Accent1">
    <w:name w:val="Grid Table 2 Accent 1"/>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DF9FF" w:themeFill="accent1" w:themeFillTint="33"/>
    </w:tcPr>
    <w:tblStylePr w:type="firstRow">
      <w:rPr>
        <w:b/>
        <w:bCs/>
      </w:rPr>
      <w:tblPr/>
      <w:tcPr>
        <w:tcBorders>
          <w:top w:val="nil"/>
          <w:bottom w:val="single" w:sz="12" w:space="0" w:color="3AEDFF" w:themeColor="accent1" w:themeTint="99"/>
          <w:insideH w:val="nil"/>
          <w:insideV w:val="nil"/>
        </w:tcBorders>
        <w:shd w:val="clear" w:color="auto" w:fill="FFFFFF" w:themeFill="background1"/>
      </w:tcPr>
    </w:tblStylePr>
    <w:tblStylePr w:type="lastRow">
      <w:rPr>
        <w:b/>
        <w:bCs/>
      </w:rPr>
      <w:tblPr/>
      <w:tcPr>
        <w:tcBorders>
          <w:top w:val="double" w:sz="2" w:space="0" w:color="3AE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DF9FF" w:themeFill="accent1" w:themeFillTint="33"/>
      </w:tcPr>
    </w:tblStylePr>
  </w:style>
  <w:style w:type="table" w:styleId="GridTable2-Accent2">
    <w:name w:val="Grid Table 2 Accent 2"/>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6FFEB" w:themeFill="accent2" w:themeFillTint="33"/>
    </w:tcPr>
    <w:tblStylePr w:type="firstRow">
      <w:rPr>
        <w:b/>
        <w:bCs/>
      </w:rPr>
      <w:tblPr/>
      <w:tcPr>
        <w:tcBorders>
          <w:top w:val="nil"/>
          <w:bottom w:val="single" w:sz="12" w:space="0" w:color="26FFC6" w:themeColor="accent2" w:themeTint="99"/>
          <w:insideH w:val="nil"/>
          <w:insideV w:val="nil"/>
        </w:tcBorders>
        <w:shd w:val="clear" w:color="auto" w:fill="FFFFFF" w:themeFill="background1"/>
      </w:tcPr>
    </w:tblStylePr>
    <w:tblStylePr w:type="lastRow">
      <w:rPr>
        <w:b/>
        <w:bCs/>
      </w:rPr>
      <w:tblPr/>
      <w:tcPr>
        <w:tcBorders>
          <w:top w:val="double" w:sz="2" w:space="0" w:color="26FFC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6FFEB" w:themeFill="accent2" w:themeFillTint="33"/>
      </w:tcPr>
    </w:tblStylePr>
  </w:style>
  <w:style w:type="table" w:styleId="GridTable2-Accent3">
    <w:name w:val="Grid Table 2 Accent 3"/>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EEC7EA" w:themeFill="accent3" w:themeFillTint="33"/>
    </w:tcPr>
    <w:tblStylePr w:type="firstRow">
      <w:rPr>
        <w:b/>
        <w:bCs/>
      </w:rPr>
      <w:tblPr/>
      <w:tcPr>
        <w:tcBorders>
          <w:top w:val="nil"/>
          <w:bottom w:val="single" w:sz="12" w:space="0" w:color="CE59C1" w:themeColor="accent3" w:themeTint="99"/>
          <w:insideH w:val="nil"/>
          <w:insideV w:val="nil"/>
        </w:tcBorders>
        <w:shd w:val="clear" w:color="auto" w:fill="FFFFFF" w:themeFill="background1"/>
      </w:tcPr>
    </w:tblStylePr>
    <w:tblStylePr w:type="lastRow">
      <w:rPr>
        <w:b/>
        <w:bCs/>
      </w:rPr>
      <w:tblPr/>
      <w:tcPr>
        <w:tcBorders>
          <w:top w:val="double" w:sz="2" w:space="0" w:color="CE59C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C7EA" w:themeFill="accent3" w:themeFillTint="33"/>
      </w:tcPr>
    </w:tblStylePr>
  </w:style>
  <w:style w:type="table" w:styleId="GridTable2-Accent4">
    <w:name w:val="Grid Table 2 Accent 4"/>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E2C7" w:themeFill="accent4" w:themeFillTint="33"/>
    </w:tcPr>
    <w:tblStylePr w:type="firstRow">
      <w:rPr>
        <w:b/>
        <w:bCs/>
      </w:rPr>
      <w:tblPr/>
      <w:tcPr>
        <w:tcBorders>
          <w:top w:val="nil"/>
          <w:bottom w:val="single" w:sz="12" w:space="0" w:color="FFAA58" w:themeColor="accent4" w:themeTint="99"/>
          <w:insideH w:val="nil"/>
          <w:insideV w:val="nil"/>
        </w:tcBorders>
        <w:shd w:val="clear" w:color="auto" w:fill="FFFFFF" w:themeFill="background1"/>
      </w:tcPr>
    </w:tblStylePr>
    <w:tblStylePr w:type="lastRow">
      <w:rPr>
        <w:b/>
        <w:bCs/>
      </w:rPr>
      <w:tblPr/>
      <w:tcPr>
        <w:tcBorders>
          <w:top w:val="double" w:sz="2" w:space="0" w:color="FFAA5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2C7" w:themeFill="accent4" w:themeFillTint="33"/>
      </w:tcPr>
    </w:tblStylePr>
  </w:style>
  <w:style w:type="table" w:styleId="GridTable2-Accent5">
    <w:name w:val="Grid Table 2 Accent 5"/>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5F6F6" w:themeFill="accent5" w:themeFillTint="33"/>
    </w:tcPr>
    <w:tblStylePr w:type="firstRow">
      <w:rPr>
        <w:b/>
        <w:bCs/>
      </w:rPr>
      <w:tblPr/>
      <w:tcPr>
        <w:tcBorders>
          <w:top w:val="nil"/>
          <w:bottom w:val="single" w:sz="12" w:space="0" w:color="E2E4E4" w:themeColor="accent5" w:themeTint="99"/>
          <w:insideH w:val="nil"/>
          <w:insideV w:val="nil"/>
        </w:tcBorders>
        <w:shd w:val="clear" w:color="auto" w:fill="FFFFFF" w:themeFill="background1"/>
      </w:tcPr>
    </w:tblStylePr>
    <w:tblStylePr w:type="lastRow">
      <w:rPr>
        <w:b/>
        <w:bCs/>
      </w:rPr>
      <w:tblPr/>
      <w:tcPr>
        <w:tcBorders>
          <w:top w:val="double" w:sz="2" w:space="0" w:color="E2E4E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F6F6" w:themeFill="accent5" w:themeFillTint="33"/>
      </w:tcPr>
    </w:tblStylePr>
  </w:style>
  <w:style w:type="table" w:styleId="GridTable2-Accent6">
    <w:name w:val="Grid Table 2 Accent 6"/>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C5EDFF" w:themeFill="accent6" w:themeFillTint="33"/>
    </w:tcPr>
    <w:tblStylePr w:type="firstRow">
      <w:rPr>
        <w:b/>
        <w:bCs/>
      </w:rPr>
      <w:tblPr/>
      <w:tcPr>
        <w:tcBorders>
          <w:top w:val="nil"/>
          <w:bottom w:val="single" w:sz="12" w:space="0" w:color="52CAFF" w:themeColor="accent6" w:themeTint="99"/>
          <w:insideH w:val="nil"/>
          <w:insideV w:val="nil"/>
        </w:tcBorders>
        <w:shd w:val="clear" w:color="auto" w:fill="FFFFFF" w:themeFill="background1"/>
      </w:tcPr>
    </w:tblStylePr>
    <w:tblStylePr w:type="lastRow">
      <w:rPr>
        <w:b/>
        <w:bCs/>
      </w:rPr>
      <w:tblPr/>
      <w:tcPr>
        <w:tcBorders>
          <w:top w:val="double" w:sz="2" w:space="0" w:color="52CA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EDFF" w:themeFill="accent6" w:themeFillTint="33"/>
      </w:tcPr>
    </w:tblStylePr>
  </w:style>
  <w:style w:type="table" w:styleId="GridTable3">
    <w:name w:val="Grid Table 3"/>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D5D5" w:themeFill="text1" w:themeFillTint="33"/>
      </w:tcPr>
    </w:tblStylePr>
    <w:tblStylePr w:type="band1Horz">
      <w:tblPr/>
      <w:tcPr>
        <w:shd w:val="clear" w:color="auto" w:fill="D1D5D5" w:themeFill="text1" w:themeFillTint="33"/>
      </w:tcPr>
    </w:tblStylePr>
    <w:tblStylePr w:type="neCell">
      <w:tblPr/>
      <w:tcPr>
        <w:tcBorders>
          <w:bottom w:val="single" w:sz="4" w:space="0" w:color="768383" w:themeColor="text1" w:themeTint="99"/>
        </w:tcBorders>
      </w:tcPr>
    </w:tblStylePr>
    <w:tblStylePr w:type="nwCell">
      <w:tblPr/>
      <w:tcPr>
        <w:tcBorders>
          <w:bottom w:val="single" w:sz="4" w:space="0" w:color="768383" w:themeColor="text1" w:themeTint="99"/>
        </w:tcBorders>
      </w:tcPr>
    </w:tblStylePr>
    <w:tblStylePr w:type="seCell">
      <w:tblPr/>
      <w:tcPr>
        <w:tcBorders>
          <w:top w:val="single" w:sz="4" w:space="0" w:color="768383" w:themeColor="text1" w:themeTint="99"/>
        </w:tcBorders>
      </w:tcPr>
    </w:tblStylePr>
    <w:tblStylePr w:type="swCell">
      <w:tblPr/>
      <w:tcPr>
        <w:tcBorders>
          <w:top w:val="single" w:sz="4" w:space="0" w:color="768383" w:themeColor="text1" w:themeTint="99"/>
        </w:tcBorders>
      </w:tcPr>
    </w:tblStylePr>
  </w:style>
  <w:style w:type="table" w:styleId="GridTable3-Accent1">
    <w:name w:val="Grid Table 3 Accent 1"/>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bottom w:val="single" w:sz="4" w:space="0" w:color="3AEDFF" w:themeColor="accent1" w:themeTint="99"/>
        </w:tcBorders>
      </w:tcPr>
    </w:tblStylePr>
    <w:tblStylePr w:type="nwCell">
      <w:tblPr/>
      <w:tcPr>
        <w:tcBorders>
          <w:bottom w:val="single" w:sz="4" w:space="0" w:color="3AEDFF" w:themeColor="accent1" w:themeTint="99"/>
        </w:tcBorders>
      </w:tcPr>
    </w:tblStylePr>
    <w:tblStylePr w:type="seCell">
      <w:tblPr/>
      <w:tcPr>
        <w:tcBorders>
          <w:top w:val="single" w:sz="4" w:space="0" w:color="3AEDFF" w:themeColor="accent1" w:themeTint="99"/>
        </w:tcBorders>
      </w:tcPr>
    </w:tblStylePr>
    <w:tblStylePr w:type="swCell">
      <w:tblPr/>
      <w:tcPr>
        <w:tcBorders>
          <w:top w:val="single" w:sz="4" w:space="0" w:color="3AEDFF" w:themeColor="accent1" w:themeTint="99"/>
        </w:tcBorders>
      </w:tcPr>
    </w:tblStylePr>
  </w:style>
  <w:style w:type="table" w:styleId="GridTable3-Accent2">
    <w:name w:val="Grid Table 3 Accent 2"/>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EB" w:themeFill="accent2" w:themeFillTint="33"/>
      </w:tcPr>
    </w:tblStylePr>
    <w:tblStylePr w:type="band1Horz">
      <w:tblPr/>
      <w:tcPr>
        <w:shd w:val="clear" w:color="auto" w:fill="B6FFEB" w:themeFill="accent2" w:themeFillTint="33"/>
      </w:tcPr>
    </w:tblStylePr>
    <w:tblStylePr w:type="neCell">
      <w:tblPr/>
      <w:tcPr>
        <w:tcBorders>
          <w:bottom w:val="single" w:sz="4" w:space="0" w:color="26FFC6" w:themeColor="accent2" w:themeTint="99"/>
        </w:tcBorders>
      </w:tcPr>
    </w:tblStylePr>
    <w:tblStylePr w:type="nwCell">
      <w:tblPr/>
      <w:tcPr>
        <w:tcBorders>
          <w:bottom w:val="single" w:sz="4" w:space="0" w:color="26FFC6" w:themeColor="accent2" w:themeTint="99"/>
        </w:tcBorders>
      </w:tcPr>
    </w:tblStylePr>
    <w:tblStylePr w:type="seCell">
      <w:tblPr/>
      <w:tcPr>
        <w:tcBorders>
          <w:top w:val="single" w:sz="4" w:space="0" w:color="26FFC6" w:themeColor="accent2" w:themeTint="99"/>
        </w:tcBorders>
      </w:tcPr>
    </w:tblStylePr>
    <w:tblStylePr w:type="swCell">
      <w:tblPr/>
      <w:tcPr>
        <w:tcBorders>
          <w:top w:val="single" w:sz="4" w:space="0" w:color="26FFC6" w:themeColor="accent2" w:themeTint="99"/>
        </w:tcBorders>
      </w:tcPr>
    </w:tblStylePr>
  </w:style>
  <w:style w:type="table" w:styleId="GridTable3-Accent3">
    <w:name w:val="Grid Table 3 Accent 3"/>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C7EA" w:themeFill="accent3" w:themeFillTint="33"/>
      </w:tcPr>
    </w:tblStylePr>
    <w:tblStylePr w:type="band1Horz">
      <w:tblPr/>
      <w:tcPr>
        <w:shd w:val="clear" w:color="auto" w:fill="EEC7EA" w:themeFill="accent3" w:themeFillTint="33"/>
      </w:tcPr>
    </w:tblStylePr>
    <w:tblStylePr w:type="neCell">
      <w:tblPr/>
      <w:tcPr>
        <w:tcBorders>
          <w:bottom w:val="single" w:sz="4" w:space="0" w:color="CE59C1" w:themeColor="accent3" w:themeTint="99"/>
        </w:tcBorders>
      </w:tcPr>
    </w:tblStylePr>
    <w:tblStylePr w:type="nwCell">
      <w:tblPr/>
      <w:tcPr>
        <w:tcBorders>
          <w:bottom w:val="single" w:sz="4" w:space="0" w:color="CE59C1" w:themeColor="accent3" w:themeTint="99"/>
        </w:tcBorders>
      </w:tcPr>
    </w:tblStylePr>
    <w:tblStylePr w:type="seCell">
      <w:tblPr/>
      <w:tcPr>
        <w:tcBorders>
          <w:top w:val="single" w:sz="4" w:space="0" w:color="CE59C1" w:themeColor="accent3" w:themeTint="99"/>
        </w:tcBorders>
      </w:tcPr>
    </w:tblStylePr>
    <w:tblStylePr w:type="swCell">
      <w:tblPr/>
      <w:tcPr>
        <w:tcBorders>
          <w:top w:val="single" w:sz="4" w:space="0" w:color="CE59C1" w:themeColor="accent3" w:themeTint="99"/>
        </w:tcBorders>
      </w:tcPr>
    </w:tblStylePr>
  </w:style>
  <w:style w:type="table" w:styleId="GridTable3-Accent4">
    <w:name w:val="Grid Table 3 Accent 4"/>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C7" w:themeFill="accent4" w:themeFillTint="33"/>
      </w:tcPr>
    </w:tblStylePr>
    <w:tblStylePr w:type="band1Horz">
      <w:tblPr/>
      <w:tcPr>
        <w:shd w:val="clear" w:color="auto" w:fill="FFE2C7" w:themeFill="accent4" w:themeFillTint="33"/>
      </w:tcPr>
    </w:tblStylePr>
    <w:tblStylePr w:type="neCell">
      <w:tblPr/>
      <w:tcPr>
        <w:tcBorders>
          <w:bottom w:val="single" w:sz="4" w:space="0" w:color="FFAA58" w:themeColor="accent4" w:themeTint="99"/>
        </w:tcBorders>
      </w:tcPr>
    </w:tblStylePr>
    <w:tblStylePr w:type="nwCell">
      <w:tblPr/>
      <w:tcPr>
        <w:tcBorders>
          <w:bottom w:val="single" w:sz="4" w:space="0" w:color="FFAA58" w:themeColor="accent4" w:themeTint="99"/>
        </w:tcBorders>
      </w:tcPr>
    </w:tblStylePr>
    <w:tblStylePr w:type="seCell">
      <w:tblPr/>
      <w:tcPr>
        <w:tcBorders>
          <w:top w:val="single" w:sz="4" w:space="0" w:color="FFAA58" w:themeColor="accent4" w:themeTint="99"/>
        </w:tcBorders>
      </w:tcPr>
    </w:tblStylePr>
    <w:tblStylePr w:type="swCell">
      <w:tblPr/>
      <w:tcPr>
        <w:tcBorders>
          <w:top w:val="single" w:sz="4" w:space="0" w:color="FFAA58" w:themeColor="accent4" w:themeTint="99"/>
        </w:tcBorders>
      </w:tcPr>
    </w:tblStylePr>
  </w:style>
  <w:style w:type="table" w:styleId="GridTable3-Accent5">
    <w:name w:val="Grid Table 3 Accent 5"/>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6F6" w:themeFill="accent5" w:themeFillTint="33"/>
      </w:tcPr>
    </w:tblStylePr>
    <w:tblStylePr w:type="band1Horz">
      <w:tblPr/>
      <w:tcPr>
        <w:shd w:val="clear" w:color="auto" w:fill="F5F6F6" w:themeFill="accent5" w:themeFillTint="33"/>
      </w:tcPr>
    </w:tblStylePr>
    <w:tblStylePr w:type="neCell">
      <w:tblPr/>
      <w:tcPr>
        <w:tcBorders>
          <w:bottom w:val="single" w:sz="4" w:space="0" w:color="E2E4E4" w:themeColor="accent5" w:themeTint="99"/>
        </w:tcBorders>
      </w:tcPr>
    </w:tblStylePr>
    <w:tblStylePr w:type="nwCell">
      <w:tblPr/>
      <w:tcPr>
        <w:tcBorders>
          <w:bottom w:val="single" w:sz="4" w:space="0" w:color="E2E4E4" w:themeColor="accent5" w:themeTint="99"/>
        </w:tcBorders>
      </w:tcPr>
    </w:tblStylePr>
    <w:tblStylePr w:type="seCell">
      <w:tblPr/>
      <w:tcPr>
        <w:tcBorders>
          <w:top w:val="single" w:sz="4" w:space="0" w:color="E2E4E4" w:themeColor="accent5" w:themeTint="99"/>
        </w:tcBorders>
      </w:tcPr>
    </w:tblStylePr>
    <w:tblStylePr w:type="swCell">
      <w:tblPr/>
      <w:tcPr>
        <w:tcBorders>
          <w:top w:val="single" w:sz="4" w:space="0" w:color="E2E4E4" w:themeColor="accent5" w:themeTint="99"/>
        </w:tcBorders>
      </w:tcPr>
    </w:tblStylePr>
  </w:style>
  <w:style w:type="table" w:styleId="GridTable3-Accent6">
    <w:name w:val="Grid Table 3 Accent 6"/>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EDFF" w:themeFill="accent6" w:themeFillTint="33"/>
      </w:tcPr>
    </w:tblStylePr>
    <w:tblStylePr w:type="band1Horz">
      <w:tblPr/>
      <w:tcPr>
        <w:shd w:val="clear" w:color="auto" w:fill="C5EDFF" w:themeFill="accent6" w:themeFillTint="33"/>
      </w:tcPr>
    </w:tblStylePr>
    <w:tblStylePr w:type="neCell">
      <w:tblPr/>
      <w:tcPr>
        <w:tcBorders>
          <w:bottom w:val="single" w:sz="4" w:space="0" w:color="52CAFF" w:themeColor="accent6" w:themeTint="99"/>
        </w:tcBorders>
      </w:tcPr>
    </w:tblStylePr>
    <w:tblStylePr w:type="nwCell">
      <w:tblPr/>
      <w:tcPr>
        <w:tcBorders>
          <w:bottom w:val="single" w:sz="4" w:space="0" w:color="52CAFF" w:themeColor="accent6" w:themeTint="99"/>
        </w:tcBorders>
      </w:tcPr>
    </w:tblStylePr>
    <w:tblStylePr w:type="seCell">
      <w:tblPr/>
      <w:tcPr>
        <w:tcBorders>
          <w:top w:val="single" w:sz="4" w:space="0" w:color="52CAFF" w:themeColor="accent6" w:themeTint="99"/>
        </w:tcBorders>
      </w:tcPr>
    </w:tblStylePr>
    <w:tblStylePr w:type="swCell">
      <w:tblPr/>
      <w:tcPr>
        <w:tcBorders>
          <w:top w:val="single" w:sz="4" w:space="0" w:color="52CAFF" w:themeColor="accent6" w:themeTint="99"/>
        </w:tcBorders>
      </w:tcPr>
    </w:tblStylePr>
  </w:style>
  <w:style w:type="table" w:styleId="GridTable4">
    <w:name w:val="Grid Table 4"/>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hemeFill="text1" w:themeFillTint="33"/>
    </w:tcPr>
    <w:tblStylePr w:type="firstRow">
      <w:rPr>
        <w:b/>
        <w:bCs/>
        <w:color w:val="FFFFFF" w:themeColor="background1"/>
      </w:rPr>
      <w:tblPr/>
      <w:tcPr>
        <w:tcBorders>
          <w:top w:val="single" w:sz="4" w:space="0" w:color="242828" w:themeColor="text1"/>
          <w:left w:val="single" w:sz="4" w:space="0" w:color="242828" w:themeColor="text1"/>
          <w:bottom w:val="single" w:sz="4" w:space="0" w:color="242828" w:themeColor="text1"/>
          <w:right w:val="single" w:sz="4" w:space="0" w:color="242828" w:themeColor="text1"/>
          <w:insideH w:val="nil"/>
          <w:insideV w:val="nil"/>
        </w:tcBorders>
        <w:shd w:val="clear" w:color="auto" w:fill="242828" w:themeFill="text1"/>
      </w:tcPr>
    </w:tblStylePr>
    <w:tblStylePr w:type="lastRow">
      <w:rPr>
        <w:b/>
        <w:bCs/>
      </w:rPr>
      <w:tblPr/>
      <w:tcPr>
        <w:tcBorders>
          <w:top w:val="double" w:sz="4" w:space="0" w:color="242828" w:themeColor="text1"/>
        </w:tcBorders>
      </w:tcPr>
    </w:tblStylePr>
    <w:tblStylePr w:type="firstCol">
      <w:rPr>
        <w:b/>
        <w:bCs/>
      </w:rPr>
    </w:tblStylePr>
    <w:tblStylePr w:type="lastCol">
      <w:rPr>
        <w:b/>
        <w:bCs/>
      </w:rPr>
    </w:tblStylePr>
    <w:tblStylePr w:type="band1Vert">
      <w:tblPr/>
      <w:tcPr>
        <w:shd w:val="clear" w:color="auto" w:fill="D1D5D5" w:themeFill="text1" w:themeFillTint="33"/>
      </w:tcPr>
    </w:tblStylePr>
  </w:style>
  <w:style w:type="table" w:styleId="GridTable4-Accent1">
    <w:name w:val="Grid Table 4 Accent 1"/>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DF9FF" w:themeFill="accent1" w:themeFillTint="33"/>
    </w:tcPr>
    <w:tblStylePr w:type="firstRow">
      <w:rPr>
        <w:b/>
        <w:bCs/>
        <w:color w:val="FFFFFF" w:themeColor="background1"/>
      </w:rPr>
      <w:tblPr/>
      <w:tcPr>
        <w:tcBorders>
          <w:top w:val="single" w:sz="4" w:space="0" w:color="00A6B6" w:themeColor="accent1"/>
          <w:left w:val="single" w:sz="4" w:space="0" w:color="00A6B6" w:themeColor="accent1"/>
          <w:bottom w:val="single" w:sz="4" w:space="0" w:color="00A6B6" w:themeColor="accent1"/>
          <w:right w:val="single" w:sz="4" w:space="0" w:color="00A6B6" w:themeColor="accent1"/>
          <w:insideH w:val="nil"/>
          <w:insideV w:val="nil"/>
        </w:tcBorders>
        <w:shd w:val="clear" w:color="auto" w:fill="00A6B6" w:themeFill="accent1"/>
      </w:tcPr>
    </w:tblStylePr>
    <w:tblStylePr w:type="lastRow">
      <w:rPr>
        <w:b/>
        <w:bCs/>
      </w:rPr>
      <w:tblPr/>
      <w:tcPr>
        <w:tcBorders>
          <w:top w:val="double" w:sz="4" w:space="0" w:color="00A6B6" w:themeColor="accent1"/>
        </w:tcBorders>
      </w:tcPr>
    </w:tblStylePr>
    <w:tblStylePr w:type="firstCol">
      <w:rPr>
        <w:b/>
        <w:bCs/>
      </w:rPr>
    </w:tblStylePr>
    <w:tblStylePr w:type="lastCol">
      <w:rPr>
        <w:b/>
        <w:bCs/>
      </w:rPr>
    </w:tblStylePr>
    <w:tblStylePr w:type="band1Vert">
      <w:tblPr/>
      <w:tcPr>
        <w:shd w:val="clear" w:color="auto" w:fill="BDF9FF" w:themeFill="accent1" w:themeFillTint="33"/>
      </w:tcPr>
    </w:tblStylePr>
  </w:style>
  <w:style w:type="table" w:styleId="GridTable4-Accent2">
    <w:name w:val="Grid Table 4 Accent 2"/>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6FFEB" w:themeFill="accent2" w:themeFillTint="33"/>
    </w:tcPr>
    <w:tblStylePr w:type="firstRow">
      <w:rPr>
        <w:b/>
        <w:bCs/>
        <w:color w:val="FFFFFF" w:themeColor="background1"/>
      </w:rPr>
      <w:tblPr/>
      <w:tcPr>
        <w:tcBorders>
          <w:top w:val="single" w:sz="4" w:space="0" w:color="00956E" w:themeColor="accent2"/>
          <w:left w:val="single" w:sz="4" w:space="0" w:color="00956E" w:themeColor="accent2"/>
          <w:bottom w:val="single" w:sz="4" w:space="0" w:color="00956E" w:themeColor="accent2"/>
          <w:right w:val="single" w:sz="4" w:space="0" w:color="00956E" w:themeColor="accent2"/>
          <w:insideH w:val="nil"/>
          <w:insideV w:val="nil"/>
        </w:tcBorders>
        <w:shd w:val="clear" w:color="auto" w:fill="00956E" w:themeFill="accent2"/>
      </w:tcPr>
    </w:tblStylePr>
    <w:tblStylePr w:type="lastRow">
      <w:rPr>
        <w:b/>
        <w:bCs/>
      </w:rPr>
      <w:tblPr/>
      <w:tcPr>
        <w:tcBorders>
          <w:top w:val="double" w:sz="4" w:space="0" w:color="00956E" w:themeColor="accent2"/>
        </w:tcBorders>
      </w:tcPr>
    </w:tblStylePr>
    <w:tblStylePr w:type="firstCol">
      <w:rPr>
        <w:b/>
        <w:bCs/>
      </w:rPr>
    </w:tblStylePr>
    <w:tblStylePr w:type="lastCol">
      <w:rPr>
        <w:b/>
        <w:bCs/>
      </w:rPr>
    </w:tblStylePr>
    <w:tblStylePr w:type="band1Vert">
      <w:tblPr/>
      <w:tcPr>
        <w:shd w:val="clear" w:color="auto" w:fill="B6FFEB" w:themeFill="accent2" w:themeFillTint="33"/>
      </w:tcPr>
    </w:tblStylePr>
  </w:style>
  <w:style w:type="table" w:styleId="GridTable4-Accent3">
    <w:name w:val="Grid Table 4 Accent 3"/>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EEC7EA" w:themeFill="accent3" w:themeFillTint="33"/>
    </w:tcPr>
    <w:tblStylePr w:type="firstRow">
      <w:rPr>
        <w:b/>
        <w:bCs/>
        <w:color w:val="FFFFFF" w:themeColor="background1"/>
      </w:rPr>
      <w:tblPr/>
      <w:tcPr>
        <w:tcBorders>
          <w:top w:val="single" w:sz="4" w:space="0" w:color="76236D" w:themeColor="accent3"/>
          <w:left w:val="single" w:sz="4" w:space="0" w:color="76236D" w:themeColor="accent3"/>
          <w:bottom w:val="single" w:sz="4" w:space="0" w:color="76236D" w:themeColor="accent3"/>
          <w:right w:val="single" w:sz="4" w:space="0" w:color="76236D" w:themeColor="accent3"/>
          <w:insideH w:val="nil"/>
          <w:insideV w:val="nil"/>
        </w:tcBorders>
        <w:shd w:val="clear" w:color="auto" w:fill="76236D" w:themeFill="accent3"/>
      </w:tcPr>
    </w:tblStylePr>
    <w:tblStylePr w:type="lastRow">
      <w:rPr>
        <w:b/>
        <w:bCs/>
      </w:rPr>
      <w:tblPr/>
      <w:tcPr>
        <w:tcBorders>
          <w:top w:val="double" w:sz="4" w:space="0" w:color="76236D" w:themeColor="accent3"/>
        </w:tcBorders>
      </w:tcPr>
    </w:tblStylePr>
    <w:tblStylePr w:type="firstCol">
      <w:rPr>
        <w:b/>
        <w:bCs/>
      </w:rPr>
    </w:tblStylePr>
    <w:tblStylePr w:type="lastCol">
      <w:rPr>
        <w:b/>
        <w:bCs/>
      </w:rPr>
    </w:tblStylePr>
    <w:tblStylePr w:type="band1Vert">
      <w:tblPr/>
      <w:tcPr>
        <w:shd w:val="clear" w:color="auto" w:fill="EEC7EA" w:themeFill="accent3" w:themeFillTint="33"/>
      </w:tcPr>
    </w:tblStylePr>
  </w:style>
  <w:style w:type="table" w:styleId="GridTable4-Accent4">
    <w:name w:val="Grid Table 4 Accent 4"/>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E2C7" w:themeFill="accent4" w:themeFillTint="33"/>
    </w:tcPr>
    <w:tblStylePr w:type="firstRow">
      <w:rPr>
        <w:b/>
        <w:bCs/>
        <w:color w:val="FFFFFF" w:themeColor="background1"/>
      </w:rPr>
      <w:tblPr/>
      <w:tcPr>
        <w:tcBorders>
          <w:top w:val="single" w:sz="4" w:space="0" w:color="E97300" w:themeColor="accent4"/>
          <w:left w:val="single" w:sz="4" w:space="0" w:color="E97300" w:themeColor="accent4"/>
          <w:bottom w:val="single" w:sz="4" w:space="0" w:color="E97300" w:themeColor="accent4"/>
          <w:right w:val="single" w:sz="4" w:space="0" w:color="E97300" w:themeColor="accent4"/>
          <w:insideH w:val="nil"/>
          <w:insideV w:val="nil"/>
        </w:tcBorders>
        <w:shd w:val="clear" w:color="auto" w:fill="E97300" w:themeFill="accent4"/>
      </w:tcPr>
    </w:tblStylePr>
    <w:tblStylePr w:type="lastRow">
      <w:rPr>
        <w:b/>
        <w:bCs/>
      </w:rPr>
      <w:tblPr/>
      <w:tcPr>
        <w:tcBorders>
          <w:top w:val="double" w:sz="4" w:space="0" w:color="E97300" w:themeColor="accent4"/>
        </w:tcBorders>
      </w:tcPr>
    </w:tblStylePr>
    <w:tblStylePr w:type="firstCol">
      <w:rPr>
        <w:b/>
        <w:bCs/>
      </w:rPr>
    </w:tblStylePr>
    <w:tblStylePr w:type="lastCol">
      <w:rPr>
        <w:b/>
        <w:bCs/>
      </w:rPr>
    </w:tblStylePr>
    <w:tblStylePr w:type="band1Vert">
      <w:tblPr/>
      <w:tcPr>
        <w:shd w:val="clear" w:color="auto" w:fill="FFE2C7" w:themeFill="accent4" w:themeFillTint="33"/>
      </w:tcPr>
    </w:tblStylePr>
  </w:style>
  <w:style w:type="table" w:styleId="GridTable4-Accent5">
    <w:name w:val="Grid Table 4 Accent 5"/>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5F6F6" w:themeFill="accent5" w:themeFillTint="33"/>
    </w:tcPr>
    <w:tblStylePr w:type="firstRow">
      <w:rPr>
        <w:b/>
        <w:bCs/>
        <w:color w:val="FFFFFF" w:themeColor="background1"/>
      </w:rPr>
      <w:tblPr/>
      <w:tcPr>
        <w:tcBorders>
          <w:top w:val="single" w:sz="4" w:space="0" w:color="D0D2D2" w:themeColor="accent5"/>
          <w:left w:val="single" w:sz="4" w:space="0" w:color="D0D2D2" w:themeColor="accent5"/>
          <w:bottom w:val="single" w:sz="4" w:space="0" w:color="D0D2D2" w:themeColor="accent5"/>
          <w:right w:val="single" w:sz="4" w:space="0" w:color="D0D2D2" w:themeColor="accent5"/>
          <w:insideH w:val="nil"/>
          <w:insideV w:val="nil"/>
        </w:tcBorders>
        <w:shd w:val="clear" w:color="auto" w:fill="D0D2D2" w:themeFill="accent5"/>
      </w:tcPr>
    </w:tblStylePr>
    <w:tblStylePr w:type="lastRow">
      <w:rPr>
        <w:b/>
        <w:bCs/>
      </w:rPr>
      <w:tblPr/>
      <w:tcPr>
        <w:tcBorders>
          <w:top w:val="double" w:sz="4" w:space="0" w:color="D0D2D2" w:themeColor="accent5"/>
        </w:tcBorders>
      </w:tcPr>
    </w:tblStylePr>
    <w:tblStylePr w:type="firstCol">
      <w:rPr>
        <w:b/>
        <w:bCs/>
      </w:rPr>
    </w:tblStylePr>
    <w:tblStylePr w:type="lastCol">
      <w:rPr>
        <w:b/>
        <w:bCs/>
      </w:rPr>
    </w:tblStylePr>
    <w:tblStylePr w:type="band1Vert">
      <w:tblPr/>
      <w:tcPr>
        <w:shd w:val="clear" w:color="auto" w:fill="F5F6F6" w:themeFill="accent5" w:themeFillTint="33"/>
      </w:tcPr>
    </w:tblStylePr>
  </w:style>
  <w:style w:type="table" w:styleId="GridTable4-Accent6">
    <w:name w:val="Grid Table 4 Accent 6"/>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C5EDFF" w:themeFill="accent6" w:themeFillTint="33"/>
    </w:tcPr>
    <w:tblStylePr w:type="firstRow">
      <w:rPr>
        <w:b/>
        <w:bCs/>
        <w:color w:val="FFFFFF" w:themeColor="background1"/>
      </w:rPr>
      <w:tblPr/>
      <w:tcPr>
        <w:tcBorders>
          <w:top w:val="single" w:sz="4" w:space="0" w:color="009BDF" w:themeColor="accent6"/>
          <w:left w:val="single" w:sz="4" w:space="0" w:color="009BDF" w:themeColor="accent6"/>
          <w:bottom w:val="single" w:sz="4" w:space="0" w:color="009BDF" w:themeColor="accent6"/>
          <w:right w:val="single" w:sz="4" w:space="0" w:color="009BDF" w:themeColor="accent6"/>
          <w:insideH w:val="nil"/>
          <w:insideV w:val="nil"/>
        </w:tcBorders>
        <w:shd w:val="clear" w:color="auto" w:fill="009BDF" w:themeFill="accent6"/>
      </w:tcPr>
    </w:tblStylePr>
    <w:tblStylePr w:type="lastRow">
      <w:rPr>
        <w:b/>
        <w:bCs/>
      </w:rPr>
      <w:tblPr/>
      <w:tcPr>
        <w:tcBorders>
          <w:top w:val="double" w:sz="4" w:space="0" w:color="009BDF" w:themeColor="accent6"/>
        </w:tcBorders>
      </w:tcPr>
    </w:tblStylePr>
    <w:tblStylePr w:type="firstCol">
      <w:rPr>
        <w:b/>
        <w:bCs/>
      </w:rPr>
    </w:tblStylePr>
    <w:tblStylePr w:type="lastCol">
      <w:rPr>
        <w:b/>
        <w:bCs/>
      </w:rPr>
    </w:tblStylePr>
    <w:tblStylePr w:type="band1Vert">
      <w:tblPr/>
      <w:tcPr>
        <w:shd w:val="clear" w:color="auto" w:fill="C5EDFF" w:themeFill="accent6" w:themeFillTint="33"/>
      </w:tcPr>
    </w:tblStylePr>
  </w:style>
  <w:style w:type="table" w:styleId="GridTable5Dark">
    <w:name w:val="Grid Table 5 Dark"/>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D1D5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282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282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2828" w:themeFill="text1"/>
      </w:tcPr>
    </w:tblStylePr>
    <w:tblStylePr w:type="lastCol">
      <w:rPr>
        <w:b/>
        <w:bCs/>
        <w:color w:val="FFFFFF" w:themeColor="background1"/>
      </w:rPr>
    </w:tblStylePr>
  </w:style>
  <w:style w:type="table" w:styleId="GridTable5Dark-Accent1">
    <w:name w:val="Grid Table 5 Dark Accent 1"/>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BDF9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6B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6B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6B6" w:themeFill="accent1"/>
      </w:tcPr>
    </w:tblStylePr>
    <w:tblStylePr w:type="lastCol">
      <w:rPr>
        <w:b/>
        <w:bCs/>
        <w:color w:val="FFFFFF" w:themeColor="background1"/>
      </w:rPr>
    </w:tblStylePr>
  </w:style>
  <w:style w:type="table" w:styleId="GridTable5Dark-Accent2">
    <w:name w:val="Grid Table 5 Dark Accent 2"/>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B6FFE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56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56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56E" w:themeFill="accent2"/>
      </w:tcPr>
    </w:tblStylePr>
    <w:tblStylePr w:type="lastCol">
      <w:rPr>
        <w:b/>
        <w:bCs/>
        <w:color w:val="FFFFFF" w:themeColor="background1"/>
      </w:rPr>
    </w:tblStylePr>
  </w:style>
  <w:style w:type="table" w:styleId="GridTable5Dark-Accent3">
    <w:name w:val="Grid Table 5 Dark Accent 3"/>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EEC7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236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236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236D" w:themeFill="accent3"/>
      </w:tcPr>
    </w:tblStylePr>
    <w:tblStylePr w:type="lastCol">
      <w:rPr>
        <w:b/>
        <w:bCs/>
        <w:color w:val="FFFFFF" w:themeColor="background1"/>
      </w:rPr>
    </w:tblStylePr>
  </w:style>
  <w:style w:type="table" w:styleId="GridTable5Dark-Accent4">
    <w:name w:val="Grid Table 5 Dark Accent 4"/>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FE2C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3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3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300" w:themeFill="accent4"/>
      </w:tcPr>
    </w:tblStylePr>
    <w:tblStylePr w:type="lastCol">
      <w:rPr>
        <w:b/>
        <w:bCs/>
        <w:color w:val="FFFFFF" w:themeColor="background1"/>
      </w:rPr>
    </w:tblStylePr>
  </w:style>
  <w:style w:type="table" w:styleId="GridTable5Dark-Accent5">
    <w:name w:val="Grid Table 5 Dark Accent 5"/>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F5F6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D2D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D2D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D2D2" w:themeFill="accent5"/>
      </w:tcPr>
    </w:tblStylePr>
    <w:tblStylePr w:type="lastCol">
      <w:rPr>
        <w:b/>
        <w:bCs/>
        <w:color w:val="FFFFFF" w:themeColor="background1"/>
      </w:rPr>
    </w:tblStylePr>
  </w:style>
  <w:style w:type="table" w:styleId="GridTable5Dark-Accent6">
    <w:name w:val="Grid Table 5 Dark Accent 6"/>
    <w:basedOn w:val="TableNormal"/>
    <w:uiPriority w:val="50"/>
    <w:rsid w:val="005A793B"/>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FFFFFF" w:themeColor="background1"/>
        <w:bottom w:val="single" w:sz="4" w:space="0" w:color="FFFFFF" w:themeColor="background1"/>
        <w:right w:val="single" w:sz="4" w:space="0" w:color="FFFFFF" w:themeColor="background1"/>
      </w:tcBorders>
      <w:shd w:val="clear" w:color="auto" w:fill="C5ED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BD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BD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BDF" w:themeFill="accent6"/>
      </w:tcPr>
    </w:tblStylePr>
    <w:tblStylePr w:type="lastCol">
      <w:rPr>
        <w:b/>
        <w:bCs/>
        <w:color w:val="FFFFFF" w:themeColor="background1"/>
      </w:rPr>
    </w:tblStylePr>
  </w:style>
  <w:style w:type="table" w:styleId="GridTable6Colorful">
    <w:name w:val="Grid Table 6 Colorful"/>
    <w:basedOn w:val="TableNormal"/>
    <w:uiPriority w:val="51"/>
    <w:rsid w:val="005A793B"/>
    <w:pPr>
      <w:spacing w:before="60" w:after="0" w:line="240" w:lineRule="auto"/>
      <w:jc w:val="left"/>
    </w:pPr>
    <w:rPr>
      <w:rFonts w:asciiTheme="minorHAnsi" w:eastAsia="Times New Roman" w:hAnsiTheme="minorHAnsi" w:cs="Times New Roman"/>
      <w:sz w:val="22"/>
      <w:szCs w:val="22"/>
      <w:lang w:val="en-US"/>
    </w:rPr>
    <w:tblPr>
      <w:tblStyleRowBandSize w:val="1"/>
      <w:tblStyleColBandSize w:val="1"/>
      <w:tblBorders>
        <w:top w:val="single" w:sz="4" w:space="0" w:color="768383" w:themeColor="text1" w:themeTint="99"/>
        <w:left w:val="single" w:sz="4" w:space="0" w:color="768383" w:themeColor="text1" w:themeTint="99"/>
        <w:bottom w:val="single" w:sz="4" w:space="0" w:color="768383" w:themeColor="text1" w:themeTint="99"/>
        <w:right w:val="single" w:sz="4" w:space="0" w:color="768383" w:themeColor="text1" w:themeTint="99"/>
        <w:insideH w:val="single" w:sz="4" w:space="0" w:color="768383" w:themeColor="text1" w:themeTint="99"/>
        <w:insideV w:val="single" w:sz="4" w:space="0" w:color="768383" w:themeColor="text1" w:themeTint="99"/>
      </w:tblBorders>
    </w:tblPr>
    <w:tblStylePr w:type="firstRow">
      <w:rPr>
        <w:b/>
        <w:bCs/>
      </w:rPr>
      <w:tblPr/>
      <w:tcPr>
        <w:tcBorders>
          <w:bottom w:val="single" w:sz="12" w:space="0" w:color="768383" w:themeColor="text1" w:themeTint="99"/>
        </w:tcBorders>
      </w:tcPr>
    </w:tblStylePr>
    <w:tblStylePr w:type="lastRow">
      <w:rPr>
        <w:b/>
        <w:bCs/>
      </w:rPr>
      <w:tblPr/>
      <w:tcPr>
        <w:tcBorders>
          <w:top w:val="double" w:sz="4" w:space="0" w:color="768383" w:themeColor="text1" w:themeTint="99"/>
        </w:tcBorders>
      </w:tcPr>
    </w:tblStylePr>
    <w:tblStylePr w:type="firstCol">
      <w:rPr>
        <w:b/>
        <w:bCs/>
      </w:rPr>
    </w:tblStylePr>
    <w:tblStylePr w:type="lastCol">
      <w:rPr>
        <w:b/>
        <w:bCs/>
      </w:rPr>
    </w:tblStylePr>
    <w:tblStylePr w:type="band1Vert">
      <w:tblPr/>
      <w:tcPr>
        <w:shd w:val="clear" w:color="auto" w:fill="D1D5D5" w:themeFill="text1" w:themeFillTint="33"/>
      </w:tcPr>
    </w:tblStylePr>
    <w:tblStylePr w:type="band1Horz">
      <w:tblPr/>
      <w:tcPr>
        <w:shd w:val="clear" w:color="auto" w:fill="D1D5D5" w:themeFill="text1" w:themeFillTint="33"/>
      </w:tcPr>
    </w:tblStylePr>
  </w:style>
  <w:style w:type="table" w:styleId="GridTable6Colorful-Accent1">
    <w:name w:val="Grid Table 6 Colorful Accent 1"/>
    <w:basedOn w:val="TableNormal"/>
    <w:uiPriority w:val="51"/>
    <w:rsid w:val="005A793B"/>
    <w:pPr>
      <w:spacing w:before="60" w:after="0" w:line="240" w:lineRule="auto"/>
      <w:jc w:val="left"/>
    </w:pPr>
    <w:rPr>
      <w:rFonts w:asciiTheme="minorHAnsi" w:eastAsia="Times New Roman" w:hAnsiTheme="minorHAnsi" w:cs="Times New Roman"/>
      <w:color w:val="007B88" w:themeColor="accent1" w:themeShade="BF"/>
      <w:sz w:val="22"/>
      <w:szCs w:val="22"/>
      <w:lang w:val="en-US"/>
    </w:rPr>
    <w:tblPr>
      <w:tblStyleRowBandSize w:val="1"/>
      <w:tblStyleColBandSize w:val="1"/>
      <w:tblBorders>
        <w:top w:val="single" w:sz="4" w:space="0" w:color="3AEDFF" w:themeColor="accent1" w:themeTint="99"/>
        <w:left w:val="single" w:sz="4" w:space="0" w:color="3AEDFF" w:themeColor="accent1" w:themeTint="99"/>
        <w:bottom w:val="single" w:sz="4" w:space="0" w:color="3AEDFF" w:themeColor="accent1" w:themeTint="99"/>
        <w:right w:val="single" w:sz="4" w:space="0" w:color="3AEDFF" w:themeColor="accent1" w:themeTint="99"/>
        <w:insideH w:val="single" w:sz="4" w:space="0" w:color="3AEDFF" w:themeColor="accent1" w:themeTint="99"/>
        <w:insideV w:val="single" w:sz="4" w:space="0" w:color="3AEDFF" w:themeColor="accent1" w:themeTint="99"/>
      </w:tblBorders>
    </w:tblPr>
    <w:tblStylePr w:type="firstRow">
      <w:rPr>
        <w:b/>
        <w:bCs/>
      </w:rPr>
      <w:tblPr/>
      <w:tcPr>
        <w:tcBorders>
          <w:bottom w:val="single" w:sz="12" w:space="0" w:color="3AEDFF" w:themeColor="accent1" w:themeTint="99"/>
        </w:tcBorders>
      </w:tcPr>
    </w:tblStylePr>
    <w:tblStylePr w:type="lastRow">
      <w:rPr>
        <w:b/>
        <w:bCs/>
      </w:rPr>
      <w:tblPr/>
      <w:tcPr>
        <w:tcBorders>
          <w:top w:val="double" w:sz="4" w:space="0" w:color="3AEDFF" w:themeColor="accent1" w:themeTint="99"/>
        </w:tcBorders>
      </w:tcPr>
    </w:tblStylePr>
    <w:tblStylePr w:type="firstCol">
      <w:rPr>
        <w:b/>
        <w:bCs/>
      </w:rPr>
    </w:tblStylePr>
    <w:tblStylePr w:type="lastCol">
      <w:rPr>
        <w:b/>
        <w:bCs/>
      </w:rPr>
    </w:tblStylePr>
    <w:tblStylePr w:type="band1Vert">
      <w:tblPr/>
      <w:tcPr>
        <w:shd w:val="clear" w:color="auto" w:fill="BDF9FF" w:themeFill="accent1" w:themeFillTint="33"/>
      </w:tcPr>
    </w:tblStylePr>
    <w:tblStylePr w:type="band1Horz">
      <w:tblPr/>
      <w:tcPr>
        <w:shd w:val="clear" w:color="auto" w:fill="BDF9FF" w:themeFill="accent1" w:themeFillTint="33"/>
      </w:tcPr>
    </w:tblStylePr>
  </w:style>
  <w:style w:type="table" w:styleId="GridTable6Colorful-Accent2">
    <w:name w:val="Grid Table 6 Colorful Accent 2"/>
    <w:basedOn w:val="TableNormal"/>
    <w:uiPriority w:val="51"/>
    <w:rsid w:val="005A793B"/>
    <w:pPr>
      <w:spacing w:before="60" w:after="0" w:line="240" w:lineRule="auto"/>
      <w:jc w:val="left"/>
    </w:pPr>
    <w:rPr>
      <w:rFonts w:asciiTheme="minorHAnsi" w:eastAsia="Times New Roman" w:hAnsiTheme="minorHAnsi" w:cs="Times New Roman"/>
      <w:color w:val="006F52" w:themeColor="accent2" w:themeShade="BF"/>
      <w:sz w:val="22"/>
      <w:szCs w:val="22"/>
      <w:lang w:val="en-US"/>
    </w:rPr>
    <w:tblPr>
      <w:tblStyleRowBandSize w:val="1"/>
      <w:tblStyleColBandSize w:val="1"/>
      <w:tblBorders>
        <w:top w:val="single" w:sz="4" w:space="0" w:color="26FFC6" w:themeColor="accent2" w:themeTint="99"/>
        <w:left w:val="single" w:sz="4" w:space="0" w:color="26FFC6" w:themeColor="accent2" w:themeTint="99"/>
        <w:bottom w:val="single" w:sz="4" w:space="0" w:color="26FFC6" w:themeColor="accent2" w:themeTint="99"/>
        <w:right w:val="single" w:sz="4" w:space="0" w:color="26FFC6" w:themeColor="accent2" w:themeTint="99"/>
        <w:insideH w:val="single" w:sz="4" w:space="0" w:color="26FFC6" w:themeColor="accent2" w:themeTint="99"/>
        <w:insideV w:val="single" w:sz="4" w:space="0" w:color="26FFC6" w:themeColor="accent2" w:themeTint="99"/>
      </w:tblBorders>
    </w:tblPr>
    <w:tblStylePr w:type="firstRow">
      <w:rPr>
        <w:b/>
        <w:bCs/>
      </w:rPr>
      <w:tblPr/>
      <w:tcPr>
        <w:tcBorders>
          <w:bottom w:val="single" w:sz="12" w:space="0" w:color="26FFC6" w:themeColor="accent2" w:themeTint="99"/>
        </w:tcBorders>
      </w:tcPr>
    </w:tblStylePr>
    <w:tblStylePr w:type="lastRow">
      <w:rPr>
        <w:b/>
        <w:bCs/>
      </w:rPr>
      <w:tblPr/>
      <w:tcPr>
        <w:tcBorders>
          <w:top w:val="double" w:sz="4" w:space="0" w:color="26FFC6" w:themeColor="accent2" w:themeTint="99"/>
        </w:tcBorders>
      </w:tcPr>
    </w:tblStylePr>
    <w:tblStylePr w:type="firstCol">
      <w:rPr>
        <w:b/>
        <w:bCs/>
      </w:rPr>
    </w:tblStylePr>
    <w:tblStylePr w:type="lastCol">
      <w:rPr>
        <w:b/>
        <w:bCs/>
      </w:rPr>
    </w:tblStylePr>
    <w:tblStylePr w:type="band1Vert">
      <w:tblPr/>
      <w:tcPr>
        <w:shd w:val="clear" w:color="auto" w:fill="B6FFEB" w:themeFill="accent2" w:themeFillTint="33"/>
      </w:tcPr>
    </w:tblStylePr>
    <w:tblStylePr w:type="band1Horz">
      <w:tblPr/>
      <w:tcPr>
        <w:shd w:val="clear" w:color="auto" w:fill="B6FFEB" w:themeFill="accent2" w:themeFillTint="33"/>
      </w:tcPr>
    </w:tblStylePr>
  </w:style>
  <w:style w:type="table" w:styleId="GridTable6Colorful-Accent3">
    <w:name w:val="Grid Table 6 Colorful Accent 3"/>
    <w:basedOn w:val="TableNormal"/>
    <w:uiPriority w:val="51"/>
    <w:rsid w:val="005A793B"/>
    <w:pPr>
      <w:spacing w:before="60" w:after="0" w:line="240" w:lineRule="auto"/>
      <w:jc w:val="left"/>
    </w:pPr>
    <w:rPr>
      <w:rFonts w:asciiTheme="minorHAnsi" w:eastAsia="Times New Roman" w:hAnsiTheme="minorHAnsi" w:cs="Times New Roman"/>
      <w:color w:val="581A51" w:themeColor="accent3" w:themeShade="BF"/>
      <w:sz w:val="22"/>
      <w:szCs w:val="22"/>
      <w:lang w:val="en-US"/>
    </w:rPr>
    <w:tblPr>
      <w:tblStyleRowBandSize w:val="1"/>
      <w:tblStyleColBandSize w:val="1"/>
      <w:tblBorders>
        <w:top w:val="single" w:sz="4" w:space="0" w:color="CE59C1" w:themeColor="accent3" w:themeTint="99"/>
        <w:left w:val="single" w:sz="4" w:space="0" w:color="CE59C1" w:themeColor="accent3" w:themeTint="99"/>
        <w:bottom w:val="single" w:sz="4" w:space="0" w:color="CE59C1" w:themeColor="accent3" w:themeTint="99"/>
        <w:right w:val="single" w:sz="4" w:space="0" w:color="CE59C1" w:themeColor="accent3" w:themeTint="99"/>
        <w:insideH w:val="single" w:sz="4" w:space="0" w:color="CE59C1" w:themeColor="accent3" w:themeTint="99"/>
        <w:insideV w:val="single" w:sz="4" w:space="0" w:color="CE59C1" w:themeColor="accent3" w:themeTint="99"/>
      </w:tblBorders>
    </w:tblPr>
    <w:tblStylePr w:type="firstRow">
      <w:rPr>
        <w:b/>
        <w:bCs/>
      </w:rPr>
      <w:tblPr/>
      <w:tcPr>
        <w:tcBorders>
          <w:bottom w:val="single" w:sz="12" w:space="0" w:color="CE59C1" w:themeColor="accent3" w:themeTint="99"/>
        </w:tcBorders>
      </w:tcPr>
    </w:tblStylePr>
    <w:tblStylePr w:type="lastRow">
      <w:rPr>
        <w:b/>
        <w:bCs/>
      </w:rPr>
      <w:tblPr/>
      <w:tcPr>
        <w:tcBorders>
          <w:top w:val="double" w:sz="4" w:space="0" w:color="CE59C1" w:themeColor="accent3" w:themeTint="99"/>
        </w:tcBorders>
      </w:tcPr>
    </w:tblStylePr>
    <w:tblStylePr w:type="firstCol">
      <w:rPr>
        <w:b/>
        <w:bCs/>
      </w:rPr>
    </w:tblStylePr>
    <w:tblStylePr w:type="lastCol">
      <w:rPr>
        <w:b/>
        <w:bCs/>
      </w:rPr>
    </w:tblStylePr>
    <w:tblStylePr w:type="band1Vert">
      <w:tblPr/>
      <w:tcPr>
        <w:shd w:val="clear" w:color="auto" w:fill="EEC7EA" w:themeFill="accent3" w:themeFillTint="33"/>
      </w:tcPr>
    </w:tblStylePr>
    <w:tblStylePr w:type="band1Horz">
      <w:tblPr/>
      <w:tcPr>
        <w:shd w:val="clear" w:color="auto" w:fill="EEC7EA" w:themeFill="accent3" w:themeFillTint="33"/>
      </w:tcPr>
    </w:tblStylePr>
  </w:style>
  <w:style w:type="table" w:styleId="GridTable6Colorful-Accent4">
    <w:name w:val="Grid Table 6 Colorful Accent 4"/>
    <w:basedOn w:val="TableNormal"/>
    <w:uiPriority w:val="51"/>
    <w:rsid w:val="005A793B"/>
    <w:pPr>
      <w:spacing w:before="60" w:after="0" w:line="240" w:lineRule="auto"/>
      <w:jc w:val="left"/>
    </w:pPr>
    <w:rPr>
      <w:rFonts w:asciiTheme="minorHAnsi" w:eastAsia="Times New Roman" w:hAnsiTheme="minorHAnsi" w:cs="Times New Roman"/>
      <w:color w:val="AE5500" w:themeColor="accent4" w:themeShade="BF"/>
      <w:sz w:val="22"/>
      <w:szCs w:val="22"/>
      <w:lang w:val="en-US"/>
    </w:rPr>
    <w:tblPr>
      <w:tblStyleRowBandSize w:val="1"/>
      <w:tblStyleColBandSize w:val="1"/>
      <w:tblBorders>
        <w:top w:val="single" w:sz="4" w:space="0" w:color="FFAA58" w:themeColor="accent4" w:themeTint="99"/>
        <w:left w:val="single" w:sz="4" w:space="0" w:color="FFAA58" w:themeColor="accent4" w:themeTint="99"/>
        <w:bottom w:val="single" w:sz="4" w:space="0" w:color="FFAA58" w:themeColor="accent4" w:themeTint="99"/>
        <w:right w:val="single" w:sz="4" w:space="0" w:color="FFAA58" w:themeColor="accent4" w:themeTint="99"/>
        <w:insideH w:val="single" w:sz="4" w:space="0" w:color="FFAA58" w:themeColor="accent4" w:themeTint="99"/>
        <w:insideV w:val="single" w:sz="4" w:space="0" w:color="FFAA58" w:themeColor="accent4" w:themeTint="99"/>
      </w:tblBorders>
    </w:tblPr>
    <w:tblStylePr w:type="firstRow">
      <w:rPr>
        <w:b/>
        <w:bCs/>
      </w:rPr>
      <w:tblPr/>
      <w:tcPr>
        <w:tcBorders>
          <w:bottom w:val="single" w:sz="12" w:space="0" w:color="FFAA58" w:themeColor="accent4" w:themeTint="99"/>
        </w:tcBorders>
      </w:tcPr>
    </w:tblStylePr>
    <w:tblStylePr w:type="lastRow">
      <w:rPr>
        <w:b/>
        <w:bCs/>
      </w:rPr>
      <w:tblPr/>
      <w:tcPr>
        <w:tcBorders>
          <w:top w:val="double" w:sz="4" w:space="0" w:color="FFAA58" w:themeColor="accent4" w:themeTint="99"/>
        </w:tcBorders>
      </w:tcPr>
    </w:tblStylePr>
    <w:tblStylePr w:type="firstCol">
      <w:rPr>
        <w:b/>
        <w:bCs/>
      </w:rPr>
    </w:tblStylePr>
    <w:tblStylePr w:type="lastCol">
      <w:rPr>
        <w:b/>
        <w:bCs/>
      </w:rPr>
    </w:tblStylePr>
    <w:tblStylePr w:type="band1Vert">
      <w:tblPr/>
      <w:tcPr>
        <w:shd w:val="clear" w:color="auto" w:fill="FFE2C7" w:themeFill="accent4" w:themeFillTint="33"/>
      </w:tcPr>
    </w:tblStylePr>
    <w:tblStylePr w:type="band1Horz">
      <w:tblPr/>
      <w:tcPr>
        <w:shd w:val="clear" w:color="auto" w:fill="FFE2C7" w:themeFill="accent4" w:themeFillTint="33"/>
      </w:tcPr>
    </w:tblStylePr>
  </w:style>
  <w:style w:type="table" w:styleId="GridTable6Colorful-Accent5">
    <w:name w:val="Grid Table 6 Colorful Accent 5"/>
    <w:basedOn w:val="TableNormal"/>
    <w:uiPriority w:val="51"/>
    <w:rsid w:val="005A793B"/>
    <w:pPr>
      <w:spacing w:before="60" w:after="0" w:line="240" w:lineRule="auto"/>
      <w:jc w:val="left"/>
    </w:pPr>
    <w:rPr>
      <w:rFonts w:asciiTheme="minorHAnsi" w:eastAsia="Times New Roman" w:hAnsiTheme="minorHAnsi" w:cs="Times New Roman"/>
      <w:color w:val="9A9E9E" w:themeColor="accent5" w:themeShade="BF"/>
      <w:sz w:val="22"/>
      <w:szCs w:val="22"/>
      <w:lang w:val="en-US"/>
    </w:rPr>
    <w:tblPr>
      <w:tblStyleRowBandSize w:val="1"/>
      <w:tblStyleColBandSize w:val="1"/>
      <w:tblBorders>
        <w:top w:val="single" w:sz="4" w:space="0" w:color="E2E4E4" w:themeColor="accent5" w:themeTint="99"/>
        <w:left w:val="single" w:sz="4" w:space="0" w:color="E2E4E4" w:themeColor="accent5" w:themeTint="99"/>
        <w:bottom w:val="single" w:sz="4" w:space="0" w:color="E2E4E4" w:themeColor="accent5" w:themeTint="99"/>
        <w:right w:val="single" w:sz="4" w:space="0" w:color="E2E4E4" w:themeColor="accent5" w:themeTint="99"/>
        <w:insideH w:val="single" w:sz="4" w:space="0" w:color="E2E4E4" w:themeColor="accent5" w:themeTint="99"/>
        <w:insideV w:val="single" w:sz="4" w:space="0" w:color="E2E4E4" w:themeColor="accent5" w:themeTint="99"/>
      </w:tblBorders>
    </w:tblPr>
    <w:tblStylePr w:type="firstRow">
      <w:rPr>
        <w:b/>
        <w:bCs/>
      </w:rPr>
      <w:tblPr/>
      <w:tcPr>
        <w:tcBorders>
          <w:bottom w:val="single" w:sz="12" w:space="0" w:color="E2E4E4" w:themeColor="accent5" w:themeTint="99"/>
        </w:tcBorders>
      </w:tcPr>
    </w:tblStylePr>
    <w:tblStylePr w:type="lastRow">
      <w:rPr>
        <w:b/>
        <w:bCs/>
      </w:rPr>
      <w:tblPr/>
      <w:tcPr>
        <w:tcBorders>
          <w:top w:val="double" w:sz="4" w:space="0" w:color="E2E4E4" w:themeColor="accent5" w:themeTint="99"/>
        </w:tcBorders>
      </w:tcPr>
    </w:tblStylePr>
    <w:tblStylePr w:type="firstCol">
      <w:rPr>
        <w:b/>
        <w:bCs/>
      </w:rPr>
    </w:tblStylePr>
    <w:tblStylePr w:type="lastCol">
      <w:rPr>
        <w:b/>
        <w:bCs/>
      </w:rPr>
    </w:tblStylePr>
    <w:tblStylePr w:type="band1Vert">
      <w:tblPr/>
      <w:tcPr>
        <w:shd w:val="clear" w:color="auto" w:fill="F5F6F6" w:themeFill="accent5" w:themeFillTint="33"/>
      </w:tcPr>
    </w:tblStylePr>
    <w:tblStylePr w:type="band1Horz">
      <w:tblPr/>
      <w:tcPr>
        <w:shd w:val="clear" w:color="auto" w:fill="F5F6F6" w:themeFill="accent5" w:themeFillTint="33"/>
      </w:tcPr>
    </w:tblStylePr>
  </w:style>
  <w:style w:type="table" w:styleId="GridTable6Colorful-Accent6">
    <w:name w:val="Grid Table 6 Colorful Accent 6"/>
    <w:basedOn w:val="TableNormal"/>
    <w:uiPriority w:val="51"/>
    <w:rsid w:val="005A793B"/>
    <w:pPr>
      <w:spacing w:before="60" w:after="0" w:line="240" w:lineRule="auto"/>
      <w:jc w:val="left"/>
    </w:pPr>
    <w:rPr>
      <w:rFonts w:asciiTheme="minorHAnsi" w:eastAsia="Times New Roman" w:hAnsiTheme="minorHAnsi" w:cs="Times New Roman"/>
      <w:color w:val="0073A7" w:themeColor="accent6" w:themeShade="BF"/>
      <w:sz w:val="22"/>
      <w:szCs w:val="22"/>
      <w:lang w:val="en-US"/>
    </w:rPr>
    <w:tblPr>
      <w:tblStyleRowBandSize w:val="1"/>
      <w:tblStyleColBandSize w:val="1"/>
      <w:tblBorders>
        <w:top w:val="single" w:sz="4" w:space="0" w:color="52CAFF" w:themeColor="accent6" w:themeTint="99"/>
        <w:left w:val="single" w:sz="4" w:space="0" w:color="52CAFF" w:themeColor="accent6" w:themeTint="99"/>
        <w:bottom w:val="single" w:sz="4" w:space="0" w:color="52CAFF" w:themeColor="accent6" w:themeTint="99"/>
        <w:right w:val="single" w:sz="4" w:space="0" w:color="52CAFF" w:themeColor="accent6" w:themeTint="99"/>
        <w:insideH w:val="single" w:sz="4" w:space="0" w:color="52CAFF" w:themeColor="accent6" w:themeTint="99"/>
        <w:insideV w:val="single" w:sz="4" w:space="0" w:color="52CAFF" w:themeColor="accent6" w:themeTint="99"/>
      </w:tblBorders>
    </w:tblPr>
    <w:tblStylePr w:type="firstRow">
      <w:rPr>
        <w:b/>
        <w:bCs/>
      </w:rPr>
      <w:tblPr/>
      <w:tcPr>
        <w:tcBorders>
          <w:bottom w:val="single" w:sz="12" w:space="0" w:color="52CAFF" w:themeColor="accent6" w:themeTint="99"/>
        </w:tcBorders>
      </w:tcPr>
    </w:tblStylePr>
    <w:tblStylePr w:type="lastRow">
      <w:rPr>
        <w:b/>
        <w:bCs/>
      </w:rPr>
      <w:tblPr/>
      <w:tcPr>
        <w:tcBorders>
          <w:top w:val="double" w:sz="4" w:space="0" w:color="52CAFF" w:themeColor="accent6" w:themeTint="99"/>
        </w:tcBorders>
      </w:tcPr>
    </w:tblStylePr>
    <w:tblStylePr w:type="firstCol">
      <w:rPr>
        <w:b/>
        <w:bCs/>
      </w:rPr>
    </w:tblStylePr>
    <w:tblStylePr w:type="lastCol">
      <w:rPr>
        <w:b/>
        <w:bCs/>
      </w:rPr>
    </w:tblStylePr>
    <w:tblStylePr w:type="band1Vert">
      <w:tblPr/>
      <w:tcPr>
        <w:shd w:val="clear" w:color="auto" w:fill="C5EDFF" w:themeFill="accent6" w:themeFillTint="33"/>
      </w:tcPr>
    </w:tblStylePr>
    <w:tblStylePr w:type="band1Horz">
      <w:tblPr/>
      <w:tcPr>
        <w:shd w:val="clear" w:color="auto" w:fill="C5EDFF" w:themeFill="accent6" w:themeFillTint="33"/>
      </w:tcPr>
    </w:tblStylePr>
  </w:style>
  <w:style w:type="table" w:styleId="GridTable7Colorful">
    <w:name w:val="Grid Table 7 Colorful"/>
    <w:basedOn w:val="TableNormal"/>
    <w:uiPriority w:val="52"/>
    <w:rsid w:val="005A793B"/>
    <w:pPr>
      <w:spacing w:before="60" w:after="0" w:line="240" w:lineRule="auto"/>
      <w:jc w:val="left"/>
    </w:pPr>
    <w:rPr>
      <w:rFonts w:asciiTheme="minorHAnsi" w:eastAsia="Times New Roman" w:hAnsiTheme="minorHAnsi" w:cs="Times New Roman"/>
      <w:sz w:val="22"/>
      <w:szCs w:val="22"/>
      <w:lang w:val="en-US"/>
    </w:rPr>
    <w:tblPr>
      <w:tblStyleRowBandSize w:val="1"/>
      <w:tblStyleColBandSize w:val="1"/>
      <w:tblBorders>
        <w:top w:val="single" w:sz="4" w:space="0" w:color="768383" w:themeColor="text1" w:themeTint="99"/>
        <w:left w:val="single" w:sz="4" w:space="0" w:color="768383" w:themeColor="text1" w:themeTint="99"/>
        <w:bottom w:val="single" w:sz="4" w:space="0" w:color="768383" w:themeColor="text1" w:themeTint="99"/>
        <w:right w:val="single" w:sz="4" w:space="0" w:color="768383" w:themeColor="text1" w:themeTint="99"/>
        <w:insideH w:val="single" w:sz="4" w:space="0" w:color="768383" w:themeColor="text1" w:themeTint="99"/>
        <w:insideV w:val="single" w:sz="4" w:space="0" w:color="7683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D5D5" w:themeFill="text1" w:themeFillTint="33"/>
      </w:tcPr>
    </w:tblStylePr>
    <w:tblStylePr w:type="band1Horz">
      <w:tblPr/>
      <w:tcPr>
        <w:shd w:val="clear" w:color="auto" w:fill="D1D5D5" w:themeFill="text1" w:themeFillTint="33"/>
      </w:tcPr>
    </w:tblStylePr>
    <w:tblStylePr w:type="neCell">
      <w:tblPr/>
      <w:tcPr>
        <w:tcBorders>
          <w:bottom w:val="single" w:sz="4" w:space="0" w:color="768383" w:themeColor="text1" w:themeTint="99"/>
        </w:tcBorders>
      </w:tcPr>
    </w:tblStylePr>
    <w:tblStylePr w:type="nwCell">
      <w:tblPr/>
      <w:tcPr>
        <w:tcBorders>
          <w:bottom w:val="single" w:sz="4" w:space="0" w:color="768383" w:themeColor="text1" w:themeTint="99"/>
        </w:tcBorders>
      </w:tcPr>
    </w:tblStylePr>
    <w:tblStylePr w:type="seCell">
      <w:tblPr/>
      <w:tcPr>
        <w:tcBorders>
          <w:top w:val="single" w:sz="4" w:space="0" w:color="768383" w:themeColor="text1" w:themeTint="99"/>
        </w:tcBorders>
      </w:tcPr>
    </w:tblStylePr>
    <w:tblStylePr w:type="swCell">
      <w:tblPr/>
      <w:tcPr>
        <w:tcBorders>
          <w:top w:val="single" w:sz="4" w:space="0" w:color="768383" w:themeColor="text1" w:themeTint="99"/>
        </w:tcBorders>
      </w:tcPr>
    </w:tblStylePr>
  </w:style>
  <w:style w:type="table" w:styleId="GridTable7Colorful-Accent1">
    <w:name w:val="Grid Table 7 Colorful Accent 1"/>
    <w:basedOn w:val="TableNormal"/>
    <w:uiPriority w:val="52"/>
    <w:rsid w:val="005A793B"/>
    <w:pPr>
      <w:spacing w:before="60" w:after="0" w:line="240" w:lineRule="auto"/>
      <w:jc w:val="left"/>
    </w:pPr>
    <w:rPr>
      <w:rFonts w:asciiTheme="minorHAnsi" w:eastAsia="Times New Roman" w:hAnsiTheme="minorHAnsi" w:cs="Times New Roman"/>
      <w:color w:val="007B88" w:themeColor="accent1" w:themeShade="BF"/>
      <w:sz w:val="22"/>
      <w:szCs w:val="22"/>
      <w:lang w:val="en-US"/>
    </w:rPr>
    <w:tblPr>
      <w:tblStyleRowBandSize w:val="1"/>
      <w:tblStyleColBandSize w:val="1"/>
      <w:tblBorders>
        <w:top w:val="single" w:sz="4" w:space="0" w:color="3AEDFF" w:themeColor="accent1" w:themeTint="99"/>
        <w:left w:val="single" w:sz="4" w:space="0" w:color="3AEDFF" w:themeColor="accent1" w:themeTint="99"/>
        <w:bottom w:val="single" w:sz="4" w:space="0" w:color="3AEDFF" w:themeColor="accent1" w:themeTint="99"/>
        <w:right w:val="single" w:sz="4" w:space="0" w:color="3AEDFF" w:themeColor="accent1" w:themeTint="99"/>
        <w:insideH w:val="single" w:sz="4" w:space="0" w:color="3AEDFF" w:themeColor="accent1" w:themeTint="99"/>
        <w:insideV w:val="single" w:sz="4" w:space="0" w:color="3AE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F9FF" w:themeFill="accent1" w:themeFillTint="33"/>
      </w:tcPr>
    </w:tblStylePr>
    <w:tblStylePr w:type="band1Horz">
      <w:tblPr/>
      <w:tcPr>
        <w:shd w:val="clear" w:color="auto" w:fill="BDF9FF" w:themeFill="accent1" w:themeFillTint="33"/>
      </w:tcPr>
    </w:tblStylePr>
    <w:tblStylePr w:type="neCell">
      <w:tblPr/>
      <w:tcPr>
        <w:tcBorders>
          <w:bottom w:val="single" w:sz="4" w:space="0" w:color="3AEDFF" w:themeColor="accent1" w:themeTint="99"/>
        </w:tcBorders>
      </w:tcPr>
    </w:tblStylePr>
    <w:tblStylePr w:type="nwCell">
      <w:tblPr/>
      <w:tcPr>
        <w:tcBorders>
          <w:bottom w:val="single" w:sz="4" w:space="0" w:color="3AEDFF" w:themeColor="accent1" w:themeTint="99"/>
        </w:tcBorders>
      </w:tcPr>
    </w:tblStylePr>
    <w:tblStylePr w:type="seCell">
      <w:tblPr/>
      <w:tcPr>
        <w:tcBorders>
          <w:top w:val="single" w:sz="4" w:space="0" w:color="3AEDFF" w:themeColor="accent1" w:themeTint="99"/>
        </w:tcBorders>
      </w:tcPr>
    </w:tblStylePr>
    <w:tblStylePr w:type="swCell">
      <w:tblPr/>
      <w:tcPr>
        <w:tcBorders>
          <w:top w:val="single" w:sz="4" w:space="0" w:color="3AEDFF" w:themeColor="accent1" w:themeTint="99"/>
        </w:tcBorders>
      </w:tcPr>
    </w:tblStylePr>
  </w:style>
  <w:style w:type="table" w:styleId="GridTable7Colorful-Accent2">
    <w:name w:val="Grid Table 7 Colorful Accent 2"/>
    <w:basedOn w:val="TableNormal"/>
    <w:uiPriority w:val="52"/>
    <w:rsid w:val="005A793B"/>
    <w:pPr>
      <w:spacing w:before="60" w:after="0" w:line="240" w:lineRule="auto"/>
      <w:jc w:val="left"/>
    </w:pPr>
    <w:rPr>
      <w:rFonts w:asciiTheme="minorHAnsi" w:eastAsia="Times New Roman" w:hAnsiTheme="minorHAnsi" w:cs="Times New Roman"/>
      <w:color w:val="006F52" w:themeColor="accent2" w:themeShade="BF"/>
      <w:sz w:val="22"/>
      <w:szCs w:val="22"/>
      <w:lang w:val="en-US"/>
    </w:rPr>
    <w:tblPr>
      <w:tblStyleRowBandSize w:val="1"/>
      <w:tblStyleColBandSize w:val="1"/>
      <w:tblBorders>
        <w:top w:val="single" w:sz="4" w:space="0" w:color="26FFC6" w:themeColor="accent2" w:themeTint="99"/>
        <w:left w:val="single" w:sz="4" w:space="0" w:color="26FFC6" w:themeColor="accent2" w:themeTint="99"/>
        <w:bottom w:val="single" w:sz="4" w:space="0" w:color="26FFC6" w:themeColor="accent2" w:themeTint="99"/>
        <w:right w:val="single" w:sz="4" w:space="0" w:color="26FFC6" w:themeColor="accent2" w:themeTint="99"/>
        <w:insideH w:val="single" w:sz="4" w:space="0" w:color="26FFC6" w:themeColor="accent2" w:themeTint="99"/>
        <w:insideV w:val="single" w:sz="4" w:space="0" w:color="26FFC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6FFEB" w:themeFill="accent2" w:themeFillTint="33"/>
      </w:tcPr>
    </w:tblStylePr>
    <w:tblStylePr w:type="band1Horz">
      <w:tblPr/>
      <w:tcPr>
        <w:shd w:val="clear" w:color="auto" w:fill="B6FFEB" w:themeFill="accent2" w:themeFillTint="33"/>
      </w:tcPr>
    </w:tblStylePr>
    <w:tblStylePr w:type="neCell">
      <w:tblPr/>
      <w:tcPr>
        <w:tcBorders>
          <w:bottom w:val="single" w:sz="4" w:space="0" w:color="26FFC6" w:themeColor="accent2" w:themeTint="99"/>
        </w:tcBorders>
      </w:tcPr>
    </w:tblStylePr>
    <w:tblStylePr w:type="nwCell">
      <w:tblPr/>
      <w:tcPr>
        <w:tcBorders>
          <w:bottom w:val="single" w:sz="4" w:space="0" w:color="26FFC6" w:themeColor="accent2" w:themeTint="99"/>
        </w:tcBorders>
      </w:tcPr>
    </w:tblStylePr>
    <w:tblStylePr w:type="seCell">
      <w:tblPr/>
      <w:tcPr>
        <w:tcBorders>
          <w:top w:val="single" w:sz="4" w:space="0" w:color="26FFC6" w:themeColor="accent2" w:themeTint="99"/>
        </w:tcBorders>
      </w:tcPr>
    </w:tblStylePr>
    <w:tblStylePr w:type="swCell">
      <w:tblPr/>
      <w:tcPr>
        <w:tcBorders>
          <w:top w:val="single" w:sz="4" w:space="0" w:color="26FFC6" w:themeColor="accent2" w:themeTint="99"/>
        </w:tcBorders>
      </w:tcPr>
    </w:tblStylePr>
  </w:style>
  <w:style w:type="table" w:styleId="GridTable7Colorful-Accent3">
    <w:name w:val="Grid Table 7 Colorful Accent 3"/>
    <w:basedOn w:val="TableNormal"/>
    <w:uiPriority w:val="52"/>
    <w:rsid w:val="005A793B"/>
    <w:pPr>
      <w:spacing w:before="60" w:after="0" w:line="240" w:lineRule="auto"/>
      <w:jc w:val="left"/>
    </w:pPr>
    <w:rPr>
      <w:rFonts w:asciiTheme="minorHAnsi" w:eastAsia="Times New Roman" w:hAnsiTheme="minorHAnsi" w:cs="Times New Roman"/>
      <w:color w:val="581A51" w:themeColor="accent3" w:themeShade="BF"/>
      <w:sz w:val="22"/>
      <w:szCs w:val="22"/>
      <w:lang w:val="en-US"/>
    </w:rPr>
    <w:tblPr>
      <w:tblStyleRowBandSize w:val="1"/>
      <w:tblStyleColBandSize w:val="1"/>
      <w:tblBorders>
        <w:top w:val="single" w:sz="4" w:space="0" w:color="CE59C1" w:themeColor="accent3" w:themeTint="99"/>
        <w:left w:val="single" w:sz="4" w:space="0" w:color="CE59C1" w:themeColor="accent3" w:themeTint="99"/>
        <w:bottom w:val="single" w:sz="4" w:space="0" w:color="CE59C1" w:themeColor="accent3" w:themeTint="99"/>
        <w:right w:val="single" w:sz="4" w:space="0" w:color="CE59C1" w:themeColor="accent3" w:themeTint="99"/>
        <w:insideH w:val="single" w:sz="4" w:space="0" w:color="CE59C1" w:themeColor="accent3" w:themeTint="99"/>
        <w:insideV w:val="single" w:sz="4" w:space="0" w:color="CE59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C7EA" w:themeFill="accent3" w:themeFillTint="33"/>
      </w:tcPr>
    </w:tblStylePr>
    <w:tblStylePr w:type="band1Horz">
      <w:tblPr/>
      <w:tcPr>
        <w:shd w:val="clear" w:color="auto" w:fill="EEC7EA" w:themeFill="accent3" w:themeFillTint="33"/>
      </w:tcPr>
    </w:tblStylePr>
    <w:tblStylePr w:type="neCell">
      <w:tblPr/>
      <w:tcPr>
        <w:tcBorders>
          <w:bottom w:val="single" w:sz="4" w:space="0" w:color="CE59C1" w:themeColor="accent3" w:themeTint="99"/>
        </w:tcBorders>
      </w:tcPr>
    </w:tblStylePr>
    <w:tblStylePr w:type="nwCell">
      <w:tblPr/>
      <w:tcPr>
        <w:tcBorders>
          <w:bottom w:val="single" w:sz="4" w:space="0" w:color="CE59C1" w:themeColor="accent3" w:themeTint="99"/>
        </w:tcBorders>
      </w:tcPr>
    </w:tblStylePr>
    <w:tblStylePr w:type="seCell">
      <w:tblPr/>
      <w:tcPr>
        <w:tcBorders>
          <w:top w:val="single" w:sz="4" w:space="0" w:color="CE59C1" w:themeColor="accent3" w:themeTint="99"/>
        </w:tcBorders>
      </w:tcPr>
    </w:tblStylePr>
    <w:tblStylePr w:type="swCell">
      <w:tblPr/>
      <w:tcPr>
        <w:tcBorders>
          <w:top w:val="single" w:sz="4" w:space="0" w:color="CE59C1" w:themeColor="accent3" w:themeTint="99"/>
        </w:tcBorders>
      </w:tcPr>
    </w:tblStylePr>
  </w:style>
  <w:style w:type="table" w:styleId="GridTable7Colorful-Accent4">
    <w:name w:val="Grid Table 7 Colorful Accent 4"/>
    <w:basedOn w:val="TableNormal"/>
    <w:uiPriority w:val="52"/>
    <w:rsid w:val="005A793B"/>
    <w:pPr>
      <w:spacing w:before="60" w:after="0" w:line="240" w:lineRule="auto"/>
      <w:jc w:val="left"/>
    </w:pPr>
    <w:rPr>
      <w:rFonts w:asciiTheme="minorHAnsi" w:eastAsia="Times New Roman" w:hAnsiTheme="minorHAnsi" w:cs="Times New Roman"/>
      <w:color w:val="AE5500" w:themeColor="accent4" w:themeShade="BF"/>
      <w:sz w:val="22"/>
      <w:szCs w:val="22"/>
      <w:lang w:val="en-US"/>
    </w:rPr>
    <w:tblPr>
      <w:tblStyleRowBandSize w:val="1"/>
      <w:tblStyleColBandSize w:val="1"/>
      <w:tblBorders>
        <w:top w:val="single" w:sz="4" w:space="0" w:color="FFAA58" w:themeColor="accent4" w:themeTint="99"/>
        <w:left w:val="single" w:sz="4" w:space="0" w:color="FFAA58" w:themeColor="accent4" w:themeTint="99"/>
        <w:bottom w:val="single" w:sz="4" w:space="0" w:color="FFAA58" w:themeColor="accent4" w:themeTint="99"/>
        <w:right w:val="single" w:sz="4" w:space="0" w:color="FFAA58" w:themeColor="accent4" w:themeTint="99"/>
        <w:insideH w:val="single" w:sz="4" w:space="0" w:color="FFAA58" w:themeColor="accent4" w:themeTint="99"/>
        <w:insideV w:val="single" w:sz="4" w:space="0" w:color="FFAA5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C7" w:themeFill="accent4" w:themeFillTint="33"/>
      </w:tcPr>
    </w:tblStylePr>
    <w:tblStylePr w:type="band1Horz">
      <w:tblPr/>
      <w:tcPr>
        <w:shd w:val="clear" w:color="auto" w:fill="FFE2C7" w:themeFill="accent4" w:themeFillTint="33"/>
      </w:tcPr>
    </w:tblStylePr>
    <w:tblStylePr w:type="neCell">
      <w:tblPr/>
      <w:tcPr>
        <w:tcBorders>
          <w:bottom w:val="single" w:sz="4" w:space="0" w:color="FFAA58" w:themeColor="accent4" w:themeTint="99"/>
        </w:tcBorders>
      </w:tcPr>
    </w:tblStylePr>
    <w:tblStylePr w:type="nwCell">
      <w:tblPr/>
      <w:tcPr>
        <w:tcBorders>
          <w:bottom w:val="single" w:sz="4" w:space="0" w:color="FFAA58" w:themeColor="accent4" w:themeTint="99"/>
        </w:tcBorders>
      </w:tcPr>
    </w:tblStylePr>
    <w:tblStylePr w:type="seCell">
      <w:tblPr/>
      <w:tcPr>
        <w:tcBorders>
          <w:top w:val="single" w:sz="4" w:space="0" w:color="FFAA58" w:themeColor="accent4" w:themeTint="99"/>
        </w:tcBorders>
      </w:tcPr>
    </w:tblStylePr>
    <w:tblStylePr w:type="swCell">
      <w:tblPr/>
      <w:tcPr>
        <w:tcBorders>
          <w:top w:val="single" w:sz="4" w:space="0" w:color="FFAA58" w:themeColor="accent4" w:themeTint="99"/>
        </w:tcBorders>
      </w:tcPr>
    </w:tblStylePr>
  </w:style>
  <w:style w:type="table" w:styleId="GridTable7Colorful-Accent5">
    <w:name w:val="Grid Table 7 Colorful Accent 5"/>
    <w:basedOn w:val="TableNormal"/>
    <w:uiPriority w:val="52"/>
    <w:rsid w:val="005A793B"/>
    <w:pPr>
      <w:spacing w:before="60" w:after="0" w:line="240" w:lineRule="auto"/>
      <w:jc w:val="left"/>
    </w:pPr>
    <w:rPr>
      <w:rFonts w:asciiTheme="minorHAnsi" w:eastAsia="Times New Roman" w:hAnsiTheme="minorHAnsi" w:cs="Times New Roman"/>
      <w:color w:val="9A9E9E" w:themeColor="accent5" w:themeShade="BF"/>
      <w:sz w:val="22"/>
      <w:szCs w:val="22"/>
      <w:lang w:val="en-US"/>
    </w:rPr>
    <w:tblPr>
      <w:tblStyleRowBandSize w:val="1"/>
      <w:tblStyleColBandSize w:val="1"/>
      <w:tblBorders>
        <w:top w:val="single" w:sz="4" w:space="0" w:color="E2E4E4" w:themeColor="accent5" w:themeTint="99"/>
        <w:left w:val="single" w:sz="4" w:space="0" w:color="E2E4E4" w:themeColor="accent5" w:themeTint="99"/>
        <w:bottom w:val="single" w:sz="4" w:space="0" w:color="E2E4E4" w:themeColor="accent5" w:themeTint="99"/>
        <w:right w:val="single" w:sz="4" w:space="0" w:color="E2E4E4" w:themeColor="accent5" w:themeTint="99"/>
        <w:insideH w:val="single" w:sz="4" w:space="0" w:color="E2E4E4" w:themeColor="accent5" w:themeTint="99"/>
        <w:insideV w:val="single" w:sz="4" w:space="0" w:color="E2E4E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F6F6" w:themeFill="accent5" w:themeFillTint="33"/>
      </w:tcPr>
    </w:tblStylePr>
    <w:tblStylePr w:type="band1Horz">
      <w:tblPr/>
      <w:tcPr>
        <w:shd w:val="clear" w:color="auto" w:fill="F5F6F6" w:themeFill="accent5" w:themeFillTint="33"/>
      </w:tcPr>
    </w:tblStylePr>
    <w:tblStylePr w:type="neCell">
      <w:tblPr/>
      <w:tcPr>
        <w:tcBorders>
          <w:bottom w:val="single" w:sz="4" w:space="0" w:color="E2E4E4" w:themeColor="accent5" w:themeTint="99"/>
        </w:tcBorders>
      </w:tcPr>
    </w:tblStylePr>
    <w:tblStylePr w:type="nwCell">
      <w:tblPr/>
      <w:tcPr>
        <w:tcBorders>
          <w:bottom w:val="single" w:sz="4" w:space="0" w:color="E2E4E4" w:themeColor="accent5" w:themeTint="99"/>
        </w:tcBorders>
      </w:tcPr>
    </w:tblStylePr>
    <w:tblStylePr w:type="seCell">
      <w:tblPr/>
      <w:tcPr>
        <w:tcBorders>
          <w:top w:val="single" w:sz="4" w:space="0" w:color="E2E4E4" w:themeColor="accent5" w:themeTint="99"/>
        </w:tcBorders>
      </w:tcPr>
    </w:tblStylePr>
    <w:tblStylePr w:type="swCell">
      <w:tblPr/>
      <w:tcPr>
        <w:tcBorders>
          <w:top w:val="single" w:sz="4" w:space="0" w:color="E2E4E4" w:themeColor="accent5" w:themeTint="99"/>
        </w:tcBorders>
      </w:tcPr>
    </w:tblStylePr>
  </w:style>
  <w:style w:type="table" w:styleId="GridTable7Colorful-Accent6">
    <w:name w:val="Grid Table 7 Colorful Accent 6"/>
    <w:basedOn w:val="TableNormal"/>
    <w:uiPriority w:val="52"/>
    <w:rsid w:val="005A793B"/>
    <w:pPr>
      <w:spacing w:before="60" w:after="0" w:line="240" w:lineRule="auto"/>
      <w:jc w:val="left"/>
    </w:pPr>
    <w:rPr>
      <w:rFonts w:asciiTheme="minorHAnsi" w:eastAsia="Times New Roman" w:hAnsiTheme="minorHAnsi" w:cs="Times New Roman"/>
      <w:color w:val="0073A7" w:themeColor="accent6" w:themeShade="BF"/>
      <w:sz w:val="22"/>
      <w:szCs w:val="22"/>
      <w:lang w:val="en-US"/>
    </w:rPr>
    <w:tblPr>
      <w:tblStyleRowBandSize w:val="1"/>
      <w:tblStyleColBandSize w:val="1"/>
      <w:tblBorders>
        <w:top w:val="single" w:sz="4" w:space="0" w:color="52CAFF" w:themeColor="accent6" w:themeTint="99"/>
        <w:left w:val="single" w:sz="4" w:space="0" w:color="52CAFF" w:themeColor="accent6" w:themeTint="99"/>
        <w:bottom w:val="single" w:sz="4" w:space="0" w:color="52CAFF" w:themeColor="accent6" w:themeTint="99"/>
        <w:right w:val="single" w:sz="4" w:space="0" w:color="52CAFF" w:themeColor="accent6" w:themeTint="99"/>
        <w:insideH w:val="single" w:sz="4" w:space="0" w:color="52CAFF" w:themeColor="accent6" w:themeTint="99"/>
        <w:insideV w:val="single" w:sz="4" w:space="0" w:color="52CA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EDFF" w:themeFill="accent6" w:themeFillTint="33"/>
      </w:tcPr>
    </w:tblStylePr>
    <w:tblStylePr w:type="band1Horz">
      <w:tblPr/>
      <w:tcPr>
        <w:shd w:val="clear" w:color="auto" w:fill="C5EDFF" w:themeFill="accent6" w:themeFillTint="33"/>
      </w:tcPr>
    </w:tblStylePr>
    <w:tblStylePr w:type="neCell">
      <w:tblPr/>
      <w:tcPr>
        <w:tcBorders>
          <w:bottom w:val="single" w:sz="4" w:space="0" w:color="52CAFF" w:themeColor="accent6" w:themeTint="99"/>
        </w:tcBorders>
      </w:tcPr>
    </w:tblStylePr>
    <w:tblStylePr w:type="nwCell">
      <w:tblPr/>
      <w:tcPr>
        <w:tcBorders>
          <w:bottom w:val="single" w:sz="4" w:space="0" w:color="52CAFF" w:themeColor="accent6" w:themeTint="99"/>
        </w:tcBorders>
      </w:tcPr>
    </w:tblStylePr>
    <w:tblStylePr w:type="seCell">
      <w:tblPr/>
      <w:tcPr>
        <w:tcBorders>
          <w:top w:val="single" w:sz="4" w:space="0" w:color="52CAFF" w:themeColor="accent6" w:themeTint="99"/>
        </w:tcBorders>
      </w:tcPr>
    </w:tblStylePr>
    <w:tblStylePr w:type="swCell">
      <w:tblPr/>
      <w:tcPr>
        <w:tcBorders>
          <w:top w:val="single" w:sz="4" w:space="0" w:color="52CAFF" w:themeColor="accent6" w:themeTint="99"/>
        </w:tcBorders>
      </w:tcPr>
    </w:tblStylePr>
  </w:style>
  <w:style w:type="character" w:customStyle="1" w:styleId="Hashtag1">
    <w:name w:val="Hashtag1"/>
    <w:basedOn w:val="DefaultParagraphFont"/>
    <w:uiPriority w:val="99"/>
    <w:semiHidden/>
    <w:unhideWhenUsed/>
    <w:rsid w:val="005A793B"/>
    <w:rPr>
      <w:rFonts w:ascii="Arial" w:hAnsi="Arial" w:cs="Arial"/>
      <w:color w:val="2B579A"/>
      <w:shd w:val="clear" w:color="auto" w:fill="E6E6E6"/>
    </w:rPr>
  </w:style>
  <w:style w:type="character" w:styleId="HTMLAcronym">
    <w:name w:val="HTML Acronym"/>
    <w:basedOn w:val="DefaultParagraphFont"/>
    <w:uiPriority w:val="99"/>
    <w:semiHidden/>
    <w:unhideWhenUsed/>
    <w:rsid w:val="005A793B"/>
    <w:rPr>
      <w:rFonts w:ascii="Arial" w:hAnsi="Arial" w:cs="Arial"/>
    </w:rPr>
  </w:style>
  <w:style w:type="paragraph" w:styleId="HTMLAddress">
    <w:name w:val="HTML Address"/>
    <w:basedOn w:val="Normal"/>
    <w:link w:val="HTMLAddressChar"/>
    <w:uiPriority w:val="99"/>
    <w:semiHidden/>
    <w:unhideWhenUsed/>
    <w:rsid w:val="005A793B"/>
    <w:pPr>
      <w:spacing w:after="0"/>
      <w:jc w:val="left"/>
    </w:pPr>
    <w:rPr>
      <w:rFonts w:eastAsia="Times New Roman" w:cs="Arial"/>
      <w:i/>
      <w:iCs/>
      <w:color w:val="auto"/>
      <w:sz w:val="22"/>
      <w:szCs w:val="22"/>
      <w:lang w:val="en-US"/>
    </w:rPr>
  </w:style>
  <w:style w:type="character" w:customStyle="1" w:styleId="HTMLAddressChar">
    <w:name w:val="HTML Address Char"/>
    <w:basedOn w:val="DefaultParagraphFont"/>
    <w:link w:val="HTMLAddress"/>
    <w:uiPriority w:val="99"/>
    <w:semiHidden/>
    <w:rsid w:val="005A793B"/>
    <w:rPr>
      <w:rFonts w:ascii="Times New Roman" w:eastAsia="Times New Roman" w:hAnsi="Times New Roman" w:cs="Arial"/>
      <w:i/>
      <w:iCs/>
      <w:color w:val="auto"/>
      <w:sz w:val="22"/>
      <w:szCs w:val="22"/>
      <w:lang w:val="en-US"/>
    </w:rPr>
  </w:style>
  <w:style w:type="character" w:styleId="HTMLCite">
    <w:name w:val="HTML Cite"/>
    <w:basedOn w:val="DefaultParagraphFont"/>
    <w:uiPriority w:val="99"/>
    <w:semiHidden/>
    <w:unhideWhenUsed/>
    <w:rsid w:val="005A793B"/>
    <w:rPr>
      <w:rFonts w:ascii="Arial" w:hAnsi="Arial" w:cs="Arial"/>
      <w:i/>
      <w:iCs/>
    </w:rPr>
  </w:style>
  <w:style w:type="paragraph" w:styleId="Index2">
    <w:name w:val="index 2"/>
    <w:basedOn w:val="Normal"/>
    <w:next w:val="Normal"/>
    <w:autoRedefine/>
    <w:uiPriority w:val="99"/>
    <w:semiHidden/>
    <w:unhideWhenUsed/>
    <w:rsid w:val="005A793B"/>
    <w:pPr>
      <w:spacing w:after="0"/>
      <w:ind w:left="440" w:hanging="220"/>
      <w:jc w:val="left"/>
    </w:pPr>
    <w:rPr>
      <w:rFonts w:eastAsia="Times New Roman" w:cs="Arial"/>
      <w:color w:val="auto"/>
      <w:sz w:val="22"/>
      <w:szCs w:val="22"/>
      <w:lang w:val="en-US"/>
    </w:rPr>
  </w:style>
  <w:style w:type="paragraph" w:styleId="Index3">
    <w:name w:val="index 3"/>
    <w:basedOn w:val="Normal"/>
    <w:next w:val="Normal"/>
    <w:autoRedefine/>
    <w:uiPriority w:val="99"/>
    <w:semiHidden/>
    <w:unhideWhenUsed/>
    <w:rsid w:val="005A793B"/>
    <w:pPr>
      <w:spacing w:after="0"/>
      <w:ind w:left="660" w:hanging="220"/>
      <w:jc w:val="left"/>
    </w:pPr>
    <w:rPr>
      <w:rFonts w:eastAsia="Times New Roman" w:cs="Arial"/>
      <w:color w:val="auto"/>
      <w:sz w:val="22"/>
      <w:szCs w:val="22"/>
      <w:lang w:val="en-US"/>
    </w:rPr>
  </w:style>
  <w:style w:type="paragraph" w:styleId="Index4">
    <w:name w:val="index 4"/>
    <w:basedOn w:val="Normal"/>
    <w:next w:val="Normal"/>
    <w:autoRedefine/>
    <w:uiPriority w:val="99"/>
    <w:semiHidden/>
    <w:unhideWhenUsed/>
    <w:rsid w:val="005A793B"/>
    <w:pPr>
      <w:spacing w:after="0"/>
      <w:ind w:left="880" w:hanging="220"/>
      <w:jc w:val="left"/>
    </w:pPr>
    <w:rPr>
      <w:rFonts w:eastAsia="Times New Roman" w:cs="Arial"/>
      <w:color w:val="auto"/>
      <w:sz w:val="22"/>
      <w:szCs w:val="22"/>
      <w:lang w:val="en-US"/>
    </w:rPr>
  </w:style>
  <w:style w:type="paragraph" w:styleId="Index5">
    <w:name w:val="index 5"/>
    <w:basedOn w:val="Normal"/>
    <w:next w:val="Normal"/>
    <w:autoRedefine/>
    <w:uiPriority w:val="99"/>
    <w:semiHidden/>
    <w:unhideWhenUsed/>
    <w:rsid w:val="005A793B"/>
    <w:pPr>
      <w:spacing w:after="0"/>
      <w:ind w:left="1100" w:hanging="220"/>
      <w:jc w:val="left"/>
    </w:pPr>
    <w:rPr>
      <w:rFonts w:eastAsia="Times New Roman" w:cs="Arial"/>
      <w:color w:val="auto"/>
      <w:sz w:val="22"/>
      <w:szCs w:val="22"/>
      <w:lang w:val="en-US"/>
    </w:rPr>
  </w:style>
  <w:style w:type="paragraph" w:styleId="Index6">
    <w:name w:val="index 6"/>
    <w:basedOn w:val="Normal"/>
    <w:next w:val="Normal"/>
    <w:autoRedefine/>
    <w:uiPriority w:val="99"/>
    <w:semiHidden/>
    <w:unhideWhenUsed/>
    <w:rsid w:val="005A793B"/>
    <w:pPr>
      <w:spacing w:after="0"/>
      <w:ind w:left="1320" w:hanging="220"/>
      <w:jc w:val="left"/>
    </w:pPr>
    <w:rPr>
      <w:rFonts w:eastAsia="Times New Roman" w:cs="Arial"/>
      <w:color w:val="auto"/>
      <w:sz w:val="22"/>
      <w:szCs w:val="22"/>
      <w:lang w:val="en-US"/>
    </w:rPr>
  </w:style>
  <w:style w:type="paragraph" w:styleId="Index7">
    <w:name w:val="index 7"/>
    <w:basedOn w:val="Normal"/>
    <w:next w:val="Normal"/>
    <w:autoRedefine/>
    <w:uiPriority w:val="99"/>
    <w:semiHidden/>
    <w:unhideWhenUsed/>
    <w:rsid w:val="005A793B"/>
    <w:pPr>
      <w:spacing w:after="0"/>
      <w:ind w:left="1540" w:hanging="220"/>
      <w:jc w:val="left"/>
    </w:pPr>
    <w:rPr>
      <w:rFonts w:eastAsia="Times New Roman" w:cs="Arial"/>
      <w:color w:val="auto"/>
      <w:sz w:val="22"/>
      <w:szCs w:val="22"/>
      <w:lang w:val="en-US"/>
    </w:rPr>
  </w:style>
  <w:style w:type="paragraph" w:styleId="Index8">
    <w:name w:val="index 8"/>
    <w:basedOn w:val="Normal"/>
    <w:next w:val="Normal"/>
    <w:autoRedefine/>
    <w:uiPriority w:val="99"/>
    <w:semiHidden/>
    <w:unhideWhenUsed/>
    <w:rsid w:val="005A793B"/>
    <w:pPr>
      <w:spacing w:after="0"/>
      <w:ind w:left="1760" w:hanging="220"/>
      <w:jc w:val="left"/>
    </w:pPr>
    <w:rPr>
      <w:rFonts w:eastAsia="Times New Roman" w:cs="Arial"/>
      <w:color w:val="auto"/>
      <w:sz w:val="22"/>
      <w:szCs w:val="22"/>
      <w:lang w:val="en-US"/>
    </w:rPr>
  </w:style>
  <w:style w:type="paragraph" w:styleId="IndexHeading">
    <w:name w:val="index heading"/>
    <w:basedOn w:val="Normal"/>
    <w:next w:val="Index1"/>
    <w:uiPriority w:val="99"/>
    <w:semiHidden/>
    <w:unhideWhenUsed/>
    <w:rsid w:val="005A793B"/>
    <w:pPr>
      <w:spacing w:before="60" w:after="60" w:line="276" w:lineRule="auto"/>
      <w:jc w:val="left"/>
    </w:pPr>
    <w:rPr>
      <w:rFonts w:eastAsiaTheme="majorEastAsia" w:cs="Arial"/>
      <w:b/>
      <w:bCs/>
      <w:color w:val="auto"/>
      <w:sz w:val="22"/>
      <w:szCs w:val="22"/>
      <w:lang w:val="en-US"/>
    </w:rPr>
  </w:style>
  <w:style w:type="table" w:styleId="LightGrid">
    <w:name w:val="Light Grid"/>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242828" w:themeColor="text1"/>
        <w:left w:val="single" w:sz="8" w:space="0" w:color="242828" w:themeColor="text1"/>
        <w:bottom w:val="single" w:sz="8" w:space="0" w:color="242828" w:themeColor="text1"/>
        <w:right w:val="single" w:sz="8" w:space="0" w:color="242828" w:themeColor="text1"/>
        <w:insideH w:val="single" w:sz="8" w:space="0" w:color="242828" w:themeColor="text1"/>
        <w:insideV w:val="single" w:sz="8" w:space="0" w:color="24282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42828" w:themeColor="text1"/>
          <w:left w:val="single" w:sz="8" w:space="0" w:color="242828" w:themeColor="text1"/>
          <w:bottom w:val="single" w:sz="18" w:space="0" w:color="242828" w:themeColor="text1"/>
          <w:right w:val="single" w:sz="8" w:space="0" w:color="242828" w:themeColor="text1"/>
          <w:insideH w:val="nil"/>
          <w:insideV w:val="single" w:sz="8" w:space="0" w:color="24282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42828" w:themeColor="text1"/>
          <w:left w:val="single" w:sz="8" w:space="0" w:color="242828" w:themeColor="text1"/>
          <w:bottom w:val="single" w:sz="8" w:space="0" w:color="242828" w:themeColor="text1"/>
          <w:right w:val="single" w:sz="8" w:space="0" w:color="242828" w:themeColor="text1"/>
          <w:insideH w:val="nil"/>
          <w:insideV w:val="single" w:sz="8" w:space="0" w:color="24282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42828" w:themeColor="text1"/>
          <w:left w:val="single" w:sz="8" w:space="0" w:color="242828" w:themeColor="text1"/>
          <w:bottom w:val="single" w:sz="8" w:space="0" w:color="242828" w:themeColor="text1"/>
          <w:right w:val="single" w:sz="8" w:space="0" w:color="242828" w:themeColor="text1"/>
        </w:tcBorders>
      </w:tcPr>
    </w:tblStylePr>
    <w:tblStylePr w:type="band1Vert">
      <w:tblPr/>
      <w:tcPr>
        <w:tcBorders>
          <w:top w:val="single" w:sz="8" w:space="0" w:color="242828" w:themeColor="text1"/>
          <w:left w:val="single" w:sz="8" w:space="0" w:color="242828" w:themeColor="text1"/>
          <w:bottom w:val="single" w:sz="8" w:space="0" w:color="242828" w:themeColor="text1"/>
          <w:right w:val="single" w:sz="8" w:space="0" w:color="242828" w:themeColor="text1"/>
        </w:tcBorders>
        <w:shd w:val="clear" w:color="auto" w:fill="C6CCCC" w:themeFill="text1" w:themeFillTint="3F"/>
      </w:tcPr>
    </w:tblStylePr>
    <w:tblStylePr w:type="band1Horz">
      <w:tblPr/>
      <w:tcPr>
        <w:tcBorders>
          <w:top w:val="single" w:sz="8" w:space="0" w:color="242828" w:themeColor="text1"/>
          <w:left w:val="single" w:sz="8" w:space="0" w:color="242828" w:themeColor="text1"/>
          <w:bottom w:val="single" w:sz="8" w:space="0" w:color="242828" w:themeColor="text1"/>
          <w:right w:val="single" w:sz="8" w:space="0" w:color="242828" w:themeColor="text1"/>
          <w:insideV w:val="single" w:sz="8" w:space="0" w:color="242828" w:themeColor="text1"/>
        </w:tcBorders>
        <w:shd w:val="clear" w:color="auto" w:fill="C6CCCC" w:themeFill="text1" w:themeFillTint="3F"/>
      </w:tcPr>
    </w:tblStylePr>
    <w:tblStylePr w:type="band2Horz">
      <w:tblPr/>
      <w:tcPr>
        <w:tcBorders>
          <w:top w:val="single" w:sz="8" w:space="0" w:color="242828" w:themeColor="text1"/>
          <w:left w:val="single" w:sz="8" w:space="0" w:color="242828" w:themeColor="text1"/>
          <w:bottom w:val="single" w:sz="8" w:space="0" w:color="242828" w:themeColor="text1"/>
          <w:right w:val="single" w:sz="8" w:space="0" w:color="242828" w:themeColor="text1"/>
          <w:insideV w:val="single" w:sz="8" w:space="0" w:color="242828" w:themeColor="text1"/>
        </w:tcBorders>
      </w:tcPr>
    </w:tblStylePr>
  </w:style>
  <w:style w:type="table" w:styleId="LightGrid-Accent1">
    <w:name w:val="Light Grid Accent 1"/>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A6B6" w:themeColor="accent1"/>
        <w:left w:val="single" w:sz="8" w:space="0" w:color="00A6B6" w:themeColor="accent1"/>
        <w:bottom w:val="single" w:sz="8" w:space="0" w:color="00A6B6" w:themeColor="accent1"/>
        <w:right w:val="single" w:sz="8" w:space="0" w:color="00A6B6" w:themeColor="accent1"/>
        <w:insideH w:val="single" w:sz="8" w:space="0" w:color="00A6B6" w:themeColor="accent1"/>
        <w:insideV w:val="single" w:sz="8" w:space="0" w:color="00A6B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6B6" w:themeColor="accent1"/>
          <w:left w:val="single" w:sz="8" w:space="0" w:color="00A6B6" w:themeColor="accent1"/>
          <w:bottom w:val="single" w:sz="18" w:space="0" w:color="00A6B6" w:themeColor="accent1"/>
          <w:right w:val="single" w:sz="8" w:space="0" w:color="00A6B6" w:themeColor="accent1"/>
          <w:insideH w:val="nil"/>
          <w:insideV w:val="single" w:sz="8" w:space="0" w:color="00A6B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6B6" w:themeColor="accent1"/>
          <w:left w:val="single" w:sz="8" w:space="0" w:color="00A6B6" w:themeColor="accent1"/>
          <w:bottom w:val="single" w:sz="8" w:space="0" w:color="00A6B6" w:themeColor="accent1"/>
          <w:right w:val="single" w:sz="8" w:space="0" w:color="00A6B6" w:themeColor="accent1"/>
          <w:insideH w:val="nil"/>
          <w:insideV w:val="single" w:sz="8" w:space="0" w:color="00A6B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6B6" w:themeColor="accent1"/>
          <w:left w:val="single" w:sz="8" w:space="0" w:color="00A6B6" w:themeColor="accent1"/>
          <w:bottom w:val="single" w:sz="8" w:space="0" w:color="00A6B6" w:themeColor="accent1"/>
          <w:right w:val="single" w:sz="8" w:space="0" w:color="00A6B6" w:themeColor="accent1"/>
        </w:tcBorders>
      </w:tcPr>
    </w:tblStylePr>
    <w:tblStylePr w:type="band1Vert">
      <w:tblPr/>
      <w:tcPr>
        <w:tcBorders>
          <w:top w:val="single" w:sz="8" w:space="0" w:color="00A6B6" w:themeColor="accent1"/>
          <w:left w:val="single" w:sz="8" w:space="0" w:color="00A6B6" w:themeColor="accent1"/>
          <w:bottom w:val="single" w:sz="8" w:space="0" w:color="00A6B6" w:themeColor="accent1"/>
          <w:right w:val="single" w:sz="8" w:space="0" w:color="00A6B6" w:themeColor="accent1"/>
        </w:tcBorders>
        <w:shd w:val="clear" w:color="auto" w:fill="ADF7FF" w:themeFill="accent1" w:themeFillTint="3F"/>
      </w:tcPr>
    </w:tblStylePr>
    <w:tblStylePr w:type="band1Horz">
      <w:tblPr/>
      <w:tcPr>
        <w:tcBorders>
          <w:top w:val="single" w:sz="8" w:space="0" w:color="00A6B6" w:themeColor="accent1"/>
          <w:left w:val="single" w:sz="8" w:space="0" w:color="00A6B6" w:themeColor="accent1"/>
          <w:bottom w:val="single" w:sz="8" w:space="0" w:color="00A6B6" w:themeColor="accent1"/>
          <w:right w:val="single" w:sz="8" w:space="0" w:color="00A6B6" w:themeColor="accent1"/>
          <w:insideV w:val="single" w:sz="8" w:space="0" w:color="00A6B6" w:themeColor="accent1"/>
        </w:tcBorders>
        <w:shd w:val="clear" w:color="auto" w:fill="ADF7FF" w:themeFill="accent1" w:themeFillTint="3F"/>
      </w:tcPr>
    </w:tblStylePr>
    <w:tblStylePr w:type="band2Horz">
      <w:tblPr/>
      <w:tcPr>
        <w:tcBorders>
          <w:top w:val="single" w:sz="8" w:space="0" w:color="00A6B6" w:themeColor="accent1"/>
          <w:left w:val="single" w:sz="8" w:space="0" w:color="00A6B6" w:themeColor="accent1"/>
          <w:bottom w:val="single" w:sz="8" w:space="0" w:color="00A6B6" w:themeColor="accent1"/>
          <w:right w:val="single" w:sz="8" w:space="0" w:color="00A6B6" w:themeColor="accent1"/>
          <w:insideV w:val="single" w:sz="8" w:space="0" w:color="00A6B6" w:themeColor="accent1"/>
        </w:tcBorders>
      </w:tcPr>
    </w:tblStylePr>
  </w:style>
  <w:style w:type="table" w:styleId="LightGrid-Accent2">
    <w:name w:val="Light Grid Accent 2"/>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956E" w:themeColor="accent2"/>
        <w:left w:val="single" w:sz="8" w:space="0" w:color="00956E" w:themeColor="accent2"/>
        <w:bottom w:val="single" w:sz="8" w:space="0" w:color="00956E" w:themeColor="accent2"/>
        <w:right w:val="single" w:sz="8" w:space="0" w:color="00956E" w:themeColor="accent2"/>
        <w:insideH w:val="single" w:sz="8" w:space="0" w:color="00956E" w:themeColor="accent2"/>
        <w:insideV w:val="single" w:sz="8" w:space="0" w:color="00956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56E" w:themeColor="accent2"/>
          <w:left w:val="single" w:sz="8" w:space="0" w:color="00956E" w:themeColor="accent2"/>
          <w:bottom w:val="single" w:sz="18" w:space="0" w:color="00956E" w:themeColor="accent2"/>
          <w:right w:val="single" w:sz="8" w:space="0" w:color="00956E" w:themeColor="accent2"/>
          <w:insideH w:val="nil"/>
          <w:insideV w:val="single" w:sz="8" w:space="0" w:color="00956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56E" w:themeColor="accent2"/>
          <w:left w:val="single" w:sz="8" w:space="0" w:color="00956E" w:themeColor="accent2"/>
          <w:bottom w:val="single" w:sz="8" w:space="0" w:color="00956E" w:themeColor="accent2"/>
          <w:right w:val="single" w:sz="8" w:space="0" w:color="00956E" w:themeColor="accent2"/>
          <w:insideH w:val="nil"/>
          <w:insideV w:val="single" w:sz="8" w:space="0" w:color="00956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56E" w:themeColor="accent2"/>
          <w:left w:val="single" w:sz="8" w:space="0" w:color="00956E" w:themeColor="accent2"/>
          <w:bottom w:val="single" w:sz="8" w:space="0" w:color="00956E" w:themeColor="accent2"/>
          <w:right w:val="single" w:sz="8" w:space="0" w:color="00956E" w:themeColor="accent2"/>
        </w:tcBorders>
      </w:tcPr>
    </w:tblStylePr>
    <w:tblStylePr w:type="band1Vert">
      <w:tblPr/>
      <w:tcPr>
        <w:tcBorders>
          <w:top w:val="single" w:sz="8" w:space="0" w:color="00956E" w:themeColor="accent2"/>
          <w:left w:val="single" w:sz="8" w:space="0" w:color="00956E" w:themeColor="accent2"/>
          <w:bottom w:val="single" w:sz="8" w:space="0" w:color="00956E" w:themeColor="accent2"/>
          <w:right w:val="single" w:sz="8" w:space="0" w:color="00956E" w:themeColor="accent2"/>
        </w:tcBorders>
        <w:shd w:val="clear" w:color="auto" w:fill="A5FFE7" w:themeFill="accent2" w:themeFillTint="3F"/>
      </w:tcPr>
    </w:tblStylePr>
    <w:tblStylePr w:type="band1Horz">
      <w:tblPr/>
      <w:tcPr>
        <w:tcBorders>
          <w:top w:val="single" w:sz="8" w:space="0" w:color="00956E" w:themeColor="accent2"/>
          <w:left w:val="single" w:sz="8" w:space="0" w:color="00956E" w:themeColor="accent2"/>
          <w:bottom w:val="single" w:sz="8" w:space="0" w:color="00956E" w:themeColor="accent2"/>
          <w:right w:val="single" w:sz="8" w:space="0" w:color="00956E" w:themeColor="accent2"/>
          <w:insideV w:val="single" w:sz="8" w:space="0" w:color="00956E" w:themeColor="accent2"/>
        </w:tcBorders>
        <w:shd w:val="clear" w:color="auto" w:fill="A5FFE7" w:themeFill="accent2" w:themeFillTint="3F"/>
      </w:tcPr>
    </w:tblStylePr>
    <w:tblStylePr w:type="band2Horz">
      <w:tblPr/>
      <w:tcPr>
        <w:tcBorders>
          <w:top w:val="single" w:sz="8" w:space="0" w:color="00956E" w:themeColor="accent2"/>
          <w:left w:val="single" w:sz="8" w:space="0" w:color="00956E" w:themeColor="accent2"/>
          <w:bottom w:val="single" w:sz="8" w:space="0" w:color="00956E" w:themeColor="accent2"/>
          <w:right w:val="single" w:sz="8" w:space="0" w:color="00956E" w:themeColor="accent2"/>
          <w:insideV w:val="single" w:sz="8" w:space="0" w:color="00956E" w:themeColor="accent2"/>
        </w:tcBorders>
      </w:tcPr>
    </w:tblStylePr>
  </w:style>
  <w:style w:type="table" w:styleId="LightGrid-Accent3">
    <w:name w:val="Light Grid Accent 3"/>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76236D" w:themeColor="accent3"/>
        <w:left w:val="single" w:sz="8" w:space="0" w:color="76236D" w:themeColor="accent3"/>
        <w:bottom w:val="single" w:sz="8" w:space="0" w:color="76236D" w:themeColor="accent3"/>
        <w:right w:val="single" w:sz="8" w:space="0" w:color="76236D" w:themeColor="accent3"/>
        <w:insideH w:val="single" w:sz="8" w:space="0" w:color="76236D" w:themeColor="accent3"/>
        <w:insideV w:val="single" w:sz="8" w:space="0" w:color="76236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236D" w:themeColor="accent3"/>
          <w:left w:val="single" w:sz="8" w:space="0" w:color="76236D" w:themeColor="accent3"/>
          <w:bottom w:val="single" w:sz="18" w:space="0" w:color="76236D" w:themeColor="accent3"/>
          <w:right w:val="single" w:sz="8" w:space="0" w:color="76236D" w:themeColor="accent3"/>
          <w:insideH w:val="nil"/>
          <w:insideV w:val="single" w:sz="8" w:space="0" w:color="76236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236D" w:themeColor="accent3"/>
          <w:left w:val="single" w:sz="8" w:space="0" w:color="76236D" w:themeColor="accent3"/>
          <w:bottom w:val="single" w:sz="8" w:space="0" w:color="76236D" w:themeColor="accent3"/>
          <w:right w:val="single" w:sz="8" w:space="0" w:color="76236D" w:themeColor="accent3"/>
          <w:insideH w:val="nil"/>
          <w:insideV w:val="single" w:sz="8" w:space="0" w:color="76236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236D" w:themeColor="accent3"/>
          <w:left w:val="single" w:sz="8" w:space="0" w:color="76236D" w:themeColor="accent3"/>
          <w:bottom w:val="single" w:sz="8" w:space="0" w:color="76236D" w:themeColor="accent3"/>
          <w:right w:val="single" w:sz="8" w:space="0" w:color="76236D" w:themeColor="accent3"/>
        </w:tcBorders>
      </w:tcPr>
    </w:tblStylePr>
    <w:tblStylePr w:type="band1Vert">
      <w:tblPr/>
      <w:tcPr>
        <w:tcBorders>
          <w:top w:val="single" w:sz="8" w:space="0" w:color="76236D" w:themeColor="accent3"/>
          <w:left w:val="single" w:sz="8" w:space="0" w:color="76236D" w:themeColor="accent3"/>
          <w:bottom w:val="single" w:sz="8" w:space="0" w:color="76236D" w:themeColor="accent3"/>
          <w:right w:val="single" w:sz="8" w:space="0" w:color="76236D" w:themeColor="accent3"/>
        </w:tcBorders>
        <w:shd w:val="clear" w:color="auto" w:fill="EABAE5" w:themeFill="accent3" w:themeFillTint="3F"/>
      </w:tcPr>
    </w:tblStylePr>
    <w:tblStylePr w:type="band1Horz">
      <w:tblPr/>
      <w:tcPr>
        <w:tcBorders>
          <w:top w:val="single" w:sz="8" w:space="0" w:color="76236D" w:themeColor="accent3"/>
          <w:left w:val="single" w:sz="8" w:space="0" w:color="76236D" w:themeColor="accent3"/>
          <w:bottom w:val="single" w:sz="8" w:space="0" w:color="76236D" w:themeColor="accent3"/>
          <w:right w:val="single" w:sz="8" w:space="0" w:color="76236D" w:themeColor="accent3"/>
          <w:insideV w:val="single" w:sz="8" w:space="0" w:color="76236D" w:themeColor="accent3"/>
        </w:tcBorders>
        <w:shd w:val="clear" w:color="auto" w:fill="EABAE5" w:themeFill="accent3" w:themeFillTint="3F"/>
      </w:tcPr>
    </w:tblStylePr>
    <w:tblStylePr w:type="band2Horz">
      <w:tblPr/>
      <w:tcPr>
        <w:tcBorders>
          <w:top w:val="single" w:sz="8" w:space="0" w:color="76236D" w:themeColor="accent3"/>
          <w:left w:val="single" w:sz="8" w:space="0" w:color="76236D" w:themeColor="accent3"/>
          <w:bottom w:val="single" w:sz="8" w:space="0" w:color="76236D" w:themeColor="accent3"/>
          <w:right w:val="single" w:sz="8" w:space="0" w:color="76236D" w:themeColor="accent3"/>
          <w:insideV w:val="single" w:sz="8" w:space="0" w:color="76236D" w:themeColor="accent3"/>
        </w:tcBorders>
      </w:tcPr>
    </w:tblStylePr>
  </w:style>
  <w:style w:type="table" w:styleId="LightGrid-Accent4">
    <w:name w:val="Light Grid Accent 4"/>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E97300" w:themeColor="accent4"/>
        <w:left w:val="single" w:sz="8" w:space="0" w:color="E97300" w:themeColor="accent4"/>
        <w:bottom w:val="single" w:sz="8" w:space="0" w:color="E97300" w:themeColor="accent4"/>
        <w:right w:val="single" w:sz="8" w:space="0" w:color="E97300" w:themeColor="accent4"/>
        <w:insideH w:val="single" w:sz="8" w:space="0" w:color="E97300" w:themeColor="accent4"/>
        <w:insideV w:val="single" w:sz="8" w:space="0" w:color="E973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300" w:themeColor="accent4"/>
          <w:left w:val="single" w:sz="8" w:space="0" w:color="E97300" w:themeColor="accent4"/>
          <w:bottom w:val="single" w:sz="18" w:space="0" w:color="E97300" w:themeColor="accent4"/>
          <w:right w:val="single" w:sz="8" w:space="0" w:color="E97300" w:themeColor="accent4"/>
          <w:insideH w:val="nil"/>
          <w:insideV w:val="single" w:sz="8" w:space="0" w:color="E973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300" w:themeColor="accent4"/>
          <w:left w:val="single" w:sz="8" w:space="0" w:color="E97300" w:themeColor="accent4"/>
          <w:bottom w:val="single" w:sz="8" w:space="0" w:color="E97300" w:themeColor="accent4"/>
          <w:right w:val="single" w:sz="8" w:space="0" w:color="E97300" w:themeColor="accent4"/>
          <w:insideH w:val="nil"/>
          <w:insideV w:val="single" w:sz="8" w:space="0" w:color="E973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300" w:themeColor="accent4"/>
          <w:left w:val="single" w:sz="8" w:space="0" w:color="E97300" w:themeColor="accent4"/>
          <w:bottom w:val="single" w:sz="8" w:space="0" w:color="E97300" w:themeColor="accent4"/>
          <w:right w:val="single" w:sz="8" w:space="0" w:color="E97300" w:themeColor="accent4"/>
        </w:tcBorders>
      </w:tcPr>
    </w:tblStylePr>
    <w:tblStylePr w:type="band1Vert">
      <w:tblPr/>
      <w:tcPr>
        <w:tcBorders>
          <w:top w:val="single" w:sz="8" w:space="0" w:color="E97300" w:themeColor="accent4"/>
          <w:left w:val="single" w:sz="8" w:space="0" w:color="E97300" w:themeColor="accent4"/>
          <w:bottom w:val="single" w:sz="8" w:space="0" w:color="E97300" w:themeColor="accent4"/>
          <w:right w:val="single" w:sz="8" w:space="0" w:color="E97300" w:themeColor="accent4"/>
        </w:tcBorders>
        <w:shd w:val="clear" w:color="auto" w:fill="FFDBBA" w:themeFill="accent4" w:themeFillTint="3F"/>
      </w:tcPr>
    </w:tblStylePr>
    <w:tblStylePr w:type="band1Horz">
      <w:tblPr/>
      <w:tcPr>
        <w:tcBorders>
          <w:top w:val="single" w:sz="8" w:space="0" w:color="E97300" w:themeColor="accent4"/>
          <w:left w:val="single" w:sz="8" w:space="0" w:color="E97300" w:themeColor="accent4"/>
          <w:bottom w:val="single" w:sz="8" w:space="0" w:color="E97300" w:themeColor="accent4"/>
          <w:right w:val="single" w:sz="8" w:space="0" w:color="E97300" w:themeColor="accent4"/>
          <w:insideV w:val="single" w:sz="8" w:space="0" w:color="E97300" w:themeColor="accent4"/>
        </w:tcBorders>
        <w:shd w:val="clear" w:color="auto" w:fill="FFDBBA" w:themeFill="accent4" w:themeFillTint="3F"/>
      </w:tcPr>
    </w:tblStylePr>
    <w:tblStylePr w:type="band2Horz">
      <w:tblPr/>
      <w:tcPr>
        <w:tcBorders>
          <w:top w:val="single" w:sz="8" w:space="0" w:color="E97300" w:themeColor="accent4"/>
          <w:left w:val="single" w:sz="8" w:space="0" w:color="E97300" w:themeColor="accent4"/>
          <w:bottom w:val="single" w:sz="8" w:space="0" w:color="E97300" w:themeColor="accent4"/>
          <w:right w:val="single" w:sz="8" w:space="0" w:color="E97300" w:themeColor="accent4"/>
          <w:insideV w:val="single" w:sz="8" w:space="0" w:color="E97300" w:themeColor="accent4"/>
        </w:tcBorders>
      </w:tcPr>
    </w:tblStylePr>
  </w:style>
  <w:style w:type="table" w:styleId="LightGrid-Accent5">
    <w:name w:val="Light Grid Accent 5"/>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D0D2D2" w:themeColor="accent5"/>
        <w:left w:val="single" w:sz="8" w:space="0" w:color="D0D2D2" w:themeColor="accent5"/>
        <w:bottom w:val="single" w:sz="8" w:space="0" w:color="D0D2D2" w:themeColor="accent5"/>
        <w:right w:val="single" w:sz="8" w:space="0" w:color="D0D2D2" w:themeColor="accent5"/>
        <w:insideH w:val="single" w:sz="8" w:space="0" w:color="D0D2D2" w:themeColor="accent5"/>
        <w:insideV w:val="single" w:sz="8" w:space="0" w:color="D0D2D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D2D2" w:themeColor="accent5"/>
          <w:left w:val="single" w:sz="8" w:space="0" w:color="D0D2D2" w:themeColor="accent5"/>
          <w:bottom w:val="single" w:sz="18" w:space="0" w:color="D0D2D2" w:themeColor="accent5"/>
          <w:right w:val="single" w:sz="8" w:space="0" w:color="D0D2D2" w:themeColor="accent5"/>
          <w:insideH w:val="nil"/>
          <w:insideV w:val="single" w:sz="8" w:space="0" w:color="D0D2D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D2D2" w:themeColor="accent5"/>
          <w:left w:val="single" w:sz="8" w:space="0" w:color="D0D2D2" w:themeColor="accent5"/>
          <w:bottom w:val="single" w:sz="8" w:space="0" w:color="D0D2D2" w:themeColor="accent5"/>
          <w:right w:val="single" w:sz="8" w:space="0" w:color="D0D2D2" w:themeColor="accent5"/>
          <w:insideH w:val="nil"/>
          <w:insideV w:val="single" w:sz="8" w:space="0" w:color="D0D2D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D2D2" w:themeColor="accent5"/>
          <w:left w:val="single" w:sz="8" w:space="0" w:color="D0D2D2" w:themeColor="accent5"/>
          <w:bottom w:val="single" w:sz="8" w:space="0" w:color="D0D2D2" w:themeColor="accent5"/>
          <w:right w:val="single" w:sz="8" w:space="0" w:color="D0D2D2" w:themeColor="accent5"/>
        </w:tcBorders>
      </w:tcPr>
    </w:tblStylePr>
    <w:tblStylePr w:type="band1Vert">
      <w:tblPr/>
      <w:tcPr>
        <w:tcBorders>
          <w:top w:val="single" w:sz="8" w:space="0" w:color="D0D2D2" w:themeColor="accent5"/>
          <w:left w:val="single" w:sz="8" w:space="0" w:color="D0D2D2" w:themeColor="accent5"/>
          <w:bottom w:val="single" w:sz="8" w:space="0" w:color="D0D2D2" w:themeColor="accent5"/>
          <w:right w:val="single" w:sz="8" w:space="0" w:color="D0D2D2" w:themeColor="accent5"/>
        </w:tcBorders>
        <w:shd w:val="clear" w:color="auto" w:fill="F3F3F3" w:themeFill="accent5" w:themeFillTint="3F"/>
      </w:tcPr>
    </w:tblStylePr>
    <w:tblStylePr w:type="band1Horz">
      <w:tblPr/>
      <w:tcPr>
        <w:tcBorders>
          <w:top w:val="single" w:sz="8" w:space="0" w:color="D0D2D2" w:themeColor="accent5"/>
          <w:left w:val="single" w:sz="8" w:space="0" w:color="D0D2D2" w:themeColor="accent5"/>
          <w:bottom w:val="single" w:sz="8" w:space="0" w:color="D0D2D2" w:themeColor="accent5"/>
          <w:right w:val="single" w:sz="8" w:space="0" w:color="D0D2D2" w:themeColor="accent5"/>
          <w:insideV w:val="single" w:sz="8" w:space="0" w:color="D0D2D2" w:themeColor="accent5"/>
        </w:tcBorders>
        <w:shd w:val="clear" w:color="auto" w:fill="F3F3F3" w:themeFill="accent5" w:themeFillTint="3F"/>
      </w:tcPr>
    </w:tblStylePr>
    <w:tblStylePr w:type="band2Horz">
      <w:tblPr/>
      <w:tcPr>
        <w:tcBorders>
          <w:top w:val="single" w:sz="8" w:space="0" w:color="D0D2D2" w:themeColor="accent5"/>
          <w:left w:val="single" w:sz="8" w:space="0" w:color="D0D2D2" w:themeColor="accent5"/>
          <w:bottom w:val="single" w:sz="8" w:space="0" w:color="D0D2D2" w:themeColor="accent5"/>
          <w:right w:val="single" w:sz="8" w:space="0" w:color="D0D2D2" w:themeColor="accent5"/>
          <w:insideV w:val="single" w:sz="8" w:space="0" w:color="D0D2D2" w:themeColor="accent5"/>
        </w:tcBorders>
      </w:tcPr>
    </w:tblStylePr>
  </w:style>
  <w:style w:type="table" w:styleId="LightGrid-Accent6">
    <w:name w:val="Light Grid Accent 6"/>
    <w:basedOn w:val="TableNormal"/>
    <w:uiPriority w:val="62"/>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9BDF" w:themeColor="accent6"/>
        <w:left w:val="single" w:sz="8" w:space="0" w:color="009BDF" w:themeColor="accent6"/>
        <w:bottom w:val="single" w:sz="8" w:space="0" w:color="009BDF" w:themeColor="accent6"/>
        <w:right w:val="single" w:sz="8" w:space="0" w:color="009BDF" w:themeColor="accent6"/>
        <w:insideH w:val="single" w:sz="8" w:space="0" w:color="009BDF" w:themeColor="accent6"/>
        <w:insideV w:val="single" w:sz="8" w:space="0" w:color="009BD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BDF" w:themeColor="accent6"/>
          <w:left w:val="single" w:sz="8" w:space="0" w:color="009BDF" w:themeColor="accent6"/>
          <w:bottom w:val="single" w:sz="18" w:space="0" w:color="009BDF" w:themeColor="accent6"/>
          <w:right w:val="single" w:sz="8" w:space="0" w:color="009BDF" w:themeColor="accent6"/>
          <w:insideH w:val="nil"/>
          <w:insideV w:val="single" w:sz="8" w:space="0" w:color="009BD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BDF" w:themeColor="accent6"/>
          <w:left w:val="single" w:sz="8" w:space="0" w:color="009BDF" w:themeColor="accent6"/>
          <w:bottom w:val="single" w:sz="8" w:space="0" w:color="009BDF" w:themeColor="accent6"/>
          <w:right w:val="single" w:sz="8" w:space="0" w:color="009BDF" w:themeColor="accent6"/>
          <w:insideH w:val="nil"/>
          <w:insideV w:val="single" w:sz="8" w:space="0" w:color="009BD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BDF" w:themeColor="accent6"/>
          <w:left w:val="single" w:sz="8" w:space="0" w:color="009BDF" w:themeColor="accent6"/>
          <w:bottom w:val="single" w:sz="8" w:space="0" w:color="009BDF" w:themeColor="accent6"/>
          <w:right w:val="single" w:sz="8" w:space="0" w:color="009BDF" w:themeColor="accent6"/>
        </w:tcBorders>
      </w:tcPr>
    </w:tblStylePr>
    <w:tblStylePr w:type="band1Vert">
      <w:tblPr/>
      <w:tcPr>
        <w:tcBorders>
          <w:top w:val="single" w:sz="8" w:space="0" w:color="009BDF" w:themeColor="accent6"/>
          <w:left w:val="single" w:sz="8" w:space="0" w:color="009BDF" w:themeColor="accent6"/>
          <w:bottom w:val="single" w:sz="8" w:space="0" w:color="009BDF" w:themeColor="accent6"/>
          <w:right w:val="single" w:sz="8" w:space="0" w:color="009BDF" w:themeColor="accent6"/>
        </w:tcBorders>
        <w:shd w:val="clear" w:color="auto" w:fill="B8E9FF" w:themeFill="accent6" w:themeFillTint="3F"/>
      </w:tcPr>
    </w:tblStylePr>
    <w:tblStylePr w:type="band1Horz">
      <w:tblPr/>
      <w:tcPr>
        <w:tcBorders>
          <w:top w:val="single" w:sz="8" w:space="0" w:color="009BDF" w:themeColor="accent6"/>
          <w:left w:val="single" w:sz="8" w:space="0" w:color="009BDF" w:themeColor="accent6"/>
          <w:bottom w:val="single" w:sz="8" w:space="0" w:color="009BDF" w:themeColor="accent6"/>
          <w:right w:val="single" w:sz="8" w:space="0" w:color="009BDF" w:themeColor="accent6"/>
          <w:insideV w:val="single" w:sz="8" w:space="0" w:color="009BDF" w:themeColor="accent6"/>
        </w:tcBorders>
        <w:shd w:val="clear" w:color="auto" w:fill="B8E9FF" w:themeFill="accent6" w:themeFillTint="3F"/>
      </w:tcPr>
    </w:tblStylePr>
    <w:tblStylePr w:type="band2Horz">
      <w:tblPr/>
      <w:tcPr>
        <w:tcBorders>
          <w:top w:val="single" w:sz="8" w:space="0" w:color="009BDF" w:themeColor="accent6"/>
          <w:left w:val="single" w:sz="8" w:space="0" w:color="009BDF" w:themeColor="accent6"/>
          <w:bottom w:val="single" w:sz="8" w:space="0" w:color="009BDF" w:themeColor="accent6"/>
          <w:right w:val="single" w:sz="8" w:space="0" w:color="009BDF" w:themeColor="accent6"/>
          <w:insideV w:val="single" w:sz="8" w:space="0" w:color="009BDF" w:themeColor="accent6"/>
        </w:tcBorders>
      </w:tcPr>
    </w:tblStylePr>
  </w:style>
  <w:style w:type="table" w:styleId="LightList">
    <w:name w:val="Light List"/>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242828" w:themeColor="text1"/>
        <w:left w:val="single" w:sz="8" w:space="0" w:color="242828" w:themeColor="text1"/>
        <w:bottom w:val="single" w:sz="8" w:space="0" w:color="242828" w:themeColor="text1"/>
        <w:right w:val="single" w:sz="8" w:space="0" w:color="242828" w:themeColor="text1"/>
      </w:tcBorders>
    </w:tcPr>
    <w:tblStylePr w:type="firstRow">
      <w:pPr>
        <w:spacing w:before="0" w:after="0" w:line="240" w:lineRule="auto"/>
      </w:pPr>
      <w:rPr>
        <w:b/>
        <w:bCs/>
        <w:color w:val="FFFFFF" w:themeColor="background1"/>
      </w:rPr>
      <w:tblPr/>
      <w:tcPr>
        <w:shd w:val="clear" w:color="auto" w:fill="242828"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A6B6" w:themeColor="accent1"/>
        <w:left w:val="single" w:sz="8" w:space="0" w:color="00A6B6" w:themeColor="accent1"/>
        <w:bottom w:val="single" w:sz="8" w:space="0" w:color="00A6B6" w:themeColor="accent1"/>
        <w:right w:val="single" w:sz="8" w:space="0" w:color="00A6B6" w:themeColor="accent1"/>
      </w:tcBorders>
    </w:tcPr>
    <w:tblStylePr w:type="firstRow">
      <w:pPr>
        <w:spacing w:before="0" w:after="0" w:line="240" w:lineRule="auto"/>
      </w:pPr>
      <w:rPr>
        <w:b/>
        <w:bCs/>
        <w:color w:val="FFFFFF" w:themeColor="background1"/>
      </w:rPr>
      <w:tblPr/>
      <w:tcPr>
        <w:shd w:val="clear" w:color="auto" w:fill="00A6B6"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956E" w:themeColor="accent2"/>
        <w:left w:val="single" w:sz="8" w:space="0" w:color="00956E" w:themeColor="accent2"/>
        <w:bottom w:val="single" w:sz="8" w:space="0" w:color="00956E" w:themeColor="accent2"/>
        <w:right w:val="single" w:sz="8" w:space="0" w:color="00956E" w:themeColor="accent2"/>
      </w:tcBorders>
    </w:tcPr>
    <w:tblStylePr w:type="firstRow">
      <w:pPr>
        <w:spacing w:before="0" w:after="0" w:line="240" w:lineRule="auto"/>
      </w:pPr>
      <w:rPr>
        <w:b/>
        <w:bCs/>
        <w:color w:val="FFFFFF" w:themeColor="background1"/>
      </w:rPr>
      <w:tblPr/>
      <w:tcPr>
        <w:shd w:val="clear" w:color="auto" w:fill="00956E"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76236D" w:themeColor="accent3"/>
        <w:left w:val="single" w:sz="8" w:space="0" w:color="76236D" w:themeColor="accent3"/>
        <w:bottom w:val="single" w:sz="8" w:space="0" w:color="76236D" w:themeColor="accent3"/>
        <w:right w:val="single" w:sz="8" w:space="0" w:color="76236D" w:themeColor="accent3"/>
      </w:tcBorders>
    </w:tcPr>
    <w:tblStylePr w:type="firstRow">
      <w:pPr>
        <w:spacing w:before="0" w:after="0" w:line="240" w:lineRule="auto"/>
      </w:pPr>
      <w:rPr>
        <w:b/>
        <w:bCs/>
        <w:color w:val="FFFFFF" w:themeColor="background1"/>
      </w:rPr>
      <w:tblPr/>
      <w:tcPr>
        <w:shd w:val="clear" w:color="auto" w:fill="76236D"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E97300" w:themeColor="accent4"/>
        <w:left w:val="single" w:sz="8" w:space="0" w:color="E97300" w:themeColor="accent4"/>
        <w:bottom w:val="single" w:sz="8" w:space="0" w:color="E97300" w:themeColor="accent4"/>
        <w:right w:val="single" w:sz="8" w:space="0" w:color="E97300" w:themeColor="accent4"/>
      </w:tcBorders>
    </w:tcPr>
    <w:tblStylePr w:type="firstRow">
      <w:pPr>
        <w:spacing w:before="0" w:after="0" w:line="240" w:lineRule="auto"/>
      </w:pPr>
      <w:rPr>
        <w:b/>
        <w:bCs/>
        <w:color w:val="FFFFFF" w:themeColor="background1"/>
      </w:rPr>
      <w:tblPr/>
      <w:tcPr>
        <w:shd w:val="clear" w:color="auto" w:fill="E97300"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D0D2D2" w:themeColor="accent5"/>
        <w:left w:val="single" w:sz="8" w:space="0" w:color="D0D2D2" w:themeColor="accent5"/>
        <w:bottom w:val="single" w:sz="8" w:space="0" w:color="D0D2D2" w:themeColor="accent5"/>
        <w:right w:val="single" w:sz="8" w:space="0" w:color="D0D2D2" w:themeColor="accent5"/>
      </w:tcBorders>
    </w:tcPr>
    <w:tblStylePr w:type="firstRow">
      <w:pPr>
        <w:spacing w:before="0" w:after="0" w:line="240" w:lineRule="auto"/>
      </w:pPr>
      <w:rPr>
        <w:b/>
        <w:bCs/>
        <w:color w:val="FFFFFF" w:themeColor="background1"/>
      </w:rPr>
      <w:tblPr/>
      <w:tcPr>
        <w:shd w:val="clear" w:color="auto" w:fill="D0D2D2"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9BDF" w:themeColor="accent6"/>
        <w:left w:val="single" w:sz="8" w:space="0" w:color="009BDF" w:themeColor="accent6"/>
        <w:bottom w:val="single" w:sz="8" w:space="0" w:color="009BDF" w:themeColor="accent6"/>
        <w:right w:val="single" w:sz="8" w:space="0" w:color="009BDF" w:themeColor="accent6"/>
      </w:tcBorders>
    </w:tcPr>
    <w:tblStylePr w:type="firstRow">
      <w:pPr>
        <w:spacing w:before="0" w:after="0" w:line="240" w:lineRule="auto"/>
      </w:pPr>
      <w:rPr>
        <w:b/>
        <w:bCs/>
        <w:color w:val="FFFFFF" w:themeColor="background1"/>
      </w:rPr>
      <w:tblPr/>
      <w:tcPr>
        <w:shd w:val="clear" w:color="auto" w:fill="009BDF"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5A793B"/>
    <w:pPr>
      <w:spacing w:after="0" w:line="240" w:lineRule="auto"/>
      <w:jc w:val="left"/>
    </w:pPr>
    <w:rPr>
      <w:rFonts w:asciiTheme="minorHAnsi" w:eastAsia="Times New Roman" w:hAnsiTheme="minorHAnsi" w:cs="Times New Roman"/>
      <w:color w:val="1B1D1D" w:themeColor="text1" w:themeShade="BF"/>
      <w:sz w:val="22"/>
      <w:szCs w:val="22"/>
      <w:lang w:val="en-US"/>
    </w:rPr>
    <w:tblPr>
      <w:tblStyleRowBandSize w:val="1"/>
      <w:tblStyleColBandSize w:val="1"/>
      <w:tblBorders>
        <w:top w:val="single" w:sz="8" w:space="0" w:color="242828" w:themeColor="text1"/>
        <w:bottom w:val="single" w:sz="8" w:space="0" w:color="242828" w:themeColor="text1"/>
      </w:tblBorders>
    </w:tblPr>
    <w:tblStylePr w:type="firstRow">
      <w:pPr>
        <w:spacing w:before="0" w:after="0" w:line="240" w:lineRule="auto"/>
      </w:pPr>
      <w:rPr>
        <w:b/>
        <w:bCs/>
      </w:rPr>
      <w:tblPr/>
      <w:tcPr>
        <w:tcBorders>
          <w:top w:val="single" w:sz="8" w:space="0" w:color="242828" w:themeColor="text1"/>
          <w:left w:val="nil"/>
          <w:bottom w:val="single" w:sz="8" w:space="0" w:color="242828" w:themeColor="text1"/>
          <w:right w:val="nil"/>
          <w:insideH w:val="nil"/>
          <w:insideV w:val="nil"/>
        </w:tcBorders>
      </w:tcPr>
    </w:tblStylePr>
    <w:tblStylePr w:type="lastRow">
      <w:pPr>
        <w:spacing w:before="0" w:after="0" w:line="240" w:lineRule="auto"/>
      </w:pPr>
      <w:rPr>
        <w:b/>
        <w:bCs/>
      </w:rPr>
      <w:tblPr/>
      <w:tcPr>
        <w:tcBorders>
          <w:top w:val="single" w:sz="8" w:space="0" w:color="242828" w:themeColor="text1"/>
          <w:left w:val="nil"/>
          <w:bottom w:val="single" w:sz="8" w:space="0" w:color="24282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CCCC" w:themeFill="text1" w:themeFillTint="3F"/>
      </w:tcPr>
    </w:tblStylePr>
    <w:tblStylePr w:type="band1Horz">
      <w:tblPr/>
      <w:tcPr>
        <w:tcBorders>
          <w:left w:val="nil"/>
          <w:right w:val="nil"/>
          <w:insideH w:val="nil"/>
          <w:insideV w:val="nil"/>
        </w:tcBorders>
        <w:shd w:val="clear" w:color="auto" w:fill="C6CCCC" w:themeFill="text1" w:themeFillTint="3F"/>
      </w:tcPr>
    </w:tblStylePr>
  </w:style>
  <w:style w:type="table" w:styleId="LightShading-Accent1">
    <w:name w:val="Light Shading Accent 1"/>
    <w:basedOn w:val="TableNormal"/>
    <w:uiPriority w:val="60"/>
    <w:semiHidden/>
    <w:unhideWhenUsed/>
    <w:rsid w:val="005A793B"/>
    <w:pPr>
      <w:spacing w:after="0" w:line="240" w:lineRule="auto"/>
      <w:jc w:val="left"/>
    </w:pPr>
    <w:rPr>
      <w:rFonts w:asciiTheme="minorHAnsi" w:eastAsia="Times New Roman" w:hAnsiTheme="minorHAnsi" w:cs="Times New Roman"/>
      <w:color w:val="007B88" w:themeColor="accent1" w:themeShade="BF"/>
      <w:sz w:val="22"/>
      <w:szCs w:val="22"/>
      <w:lang w:val="en-US"/>
    </w:rPr>
    <w:tblPr>
      <w:tblStyleRowBandSize w:val="1"/>
      <w:tblStyleColBandSize w:val="1"/>
      <w:tblBorders>
        <w:top w:val="single" w:sz="8" w:space="0" w:color="00A6B6" w:themeColor="accent1"/>
        <w:bottom w:val="single" w:sz="8" w:space="0" w:color="00A6B6" w:themeColor="accent1"/>
      </w:tblBorders>
    </w:tblPr>
    <w:tblStylePr w:type="firstRow">
      <w:pPr>
        <w:spacing w:before="0" w:after="0" w:line="240" w:lineRule="auto"/>
      </w:pPr>
      <w:rPr>
        <w:b/>
        <w:bCs/>
      </w:rPr>
      <w:tblPr/>
      <w:tcPr>
        <w:tcBorders>
          <w:top w:val="single" w:sz="8" w:space="0" w:color="00A6B6" w:themeColor="accent1"/>
          <w:left w:val="nil"/>
          <w:bottom w:val="single" w:sz="8" w:space="0" w:color="00A6B6" w:themeColor="accent1"/>
          <w:right w:val="nil"/>
          <w:insideH w:val="nil"/>
          <w:insideV w:val="nil"/>
        </w:tcBorders>
      </w:tcPr>
    </w:tblStylePr>
    <w:tblStylePr w:type="lastRow">
      <w:pPr>
        <w:spacing w:before="0" w:after="0" w:line="240" w:lineRule="auto"/>
      </w:pPr>
      <w:rPr>
        <w:b/>
        <w:bCs/>
      </w:rPr>
      <w:tblPr/>
      <w:tcPr>
        <w:tcBorders>
          <w:top w:val="single" w:sz="8" w:space="0" w:color="00A6B6" w:themeColor="accent1"/>
          <w:left w:val="nil"/>
          <w:bottom w:val="single" w:sz="8" w:space="0" w:color="00A6B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7FF" w:themeFill="accent1" w:themeFillTint="3F"/>
      </w:tcPr>
    </w:tblStylePr>
    <w:tblStylePr w:type="band1Horz">
      <w:tblPr/>
      <w:tcPr>
        <w:tcBorders>
          <w:left w:val="nil"/>
          <w:right w:val="nil"/>
          <w:insideH w:val="nil"/>
          <w:insideV w:val="nil"/>
        </w:tcBorders>
        <w:shd w:val="clear" w:color="auto" w:fill="ADF7FF" w:themeFill="accent1" w:themeFillTint="3F"/>
      </w:tcPr>
    </w:tblStylePr>
  </w:style>
  <w:style w:type="table" w:styleId="LightShading-Accent2">
    <w:name w:val="Light Shading Accent 2"/>
    <w:basedOn w:val="TableNormal"/>
    <w:uiPriority w:val="60"/>
    <w:semiHidden/>
    <w:unhideWhenUsed/>
    <w:rsid w:val="005A793B"/>
    <w:pPr>
      <w:spacing w:after="0" w:line="240" w:lineRule="auto"/>
      <w:jc w:val="left"/>
    </w:pPr>
    <w:rPr>
      <w:rFonts w:asciiTheme="minorHAnsi" w:eastAsia="Times New Roman" w:hAnsiTheme="minorHAnsi" w:cs="Times New Roman"/>
      <w:color w:val="006F52" w:themeColor="accent2" w:themeShade="BF"/>
      <w:sz w:val="22"/>
      <w:szCs w:val="22"/>
      <w:lang w:val="en-US"/>
    </w:rPr>
    <w:tblPr>
      <w:tblStyleRowBandSize w:val="1"/>
      <w:tblStyleColBandSize w:val="1"/>
      <w:tblBorders>
        <w:top w:val="single" w:sz="8" w:space="0" w:color="00956E" w:themeColor="accent2"/>
        <w:bottom w:val="single" w:sz="8" w:space="0" w:color="00956E" w:themeColor="accent2"/>
      </w:tblBorders>
    </w:tblPr>
    <w:tblStylePr w:type="firstRow">
      <w:pPr>
        <w:spacing w:before="0" w:after="0" w:line="240" w:lineRule="auto"/>
      </w:pPr>
      <w:rPr>
        <w:b/>
        <w:bCs/>
      </w:rPr>
      <w:tblPr/>
      <w:tcPr>
        <w:tcBorders>
          <w:top w:val="single" w:sz="8" w:space="0" w:color="00956E" w:themeColor="accent2"/>
          <w:left w:val="nil"/>
          <w:bottom w:val="single" w:sz="8" w:space="0" w:color="00956E" w:themeColor="accent2"/>
          <w:right w:val="nil"/>
          <w:insideH w:val="nil"/>
          <w:insideV w:val="nil"/>
        </w:tcBorders>
      </w:tcPr>
    </w:tblStylePr>
    <w:tblStylePr w:type="lastRow">
      <w:pPr>
        <w:spacing w:before="0" w:after="0" w:line="240" w:lineRule="auto"/>
      </w:pPr>
      <w:rPr>
        <w:b/>
        <w:bCs/>
      </w:rPr>
      <w:tblPr/>
      <w:tcPr>
        <w:tcBorders>
          <w:top w:val="single" w:sz="8" w:space="0" w:color="00956E" w:themeColor="accent2"/>
          <w:left w:val="nil"/>
          <w:bottom w:val="single" w:sz="8" w:space="0" w:color="00956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FE7" w:themeFill="accent2" w:themeFillTint="3F"/>
      </w:tcPr>
    </w:tblStylePr>
    <w:tblStylePr w:type="band1Horz">
      <w:tblPr/>
      <w:tcPr>
        <w:tcBorders>
          <w:left w:val="nil"/>
          <w:right w:val="nil"/>
          <w:insideH w:val="nil"/>
          <w:insideV w:val="nil"/>
        </w:tcBorders>
        <w:shd w:val="clear" w:color="auto" w:fill="A5FFE7" w:themeFill="accent2" w:themeFillTint="3F"/>
      </w:tcPr>
    </w:tblStylePr>
  </w:style>
  <w:style w:type="table" w:styleId="LightShading-Accent3">
    <w:name w:val="Light Shading Accent 3"/>
    <w:basedOn w:val="TableNormal"/>
    <w:uiPriority w:val="60"/>
    <w:semiHidden/>
    <w:unhideWhenUsed/>
    <w:rsid w:val="005A793B"/>
    <w:pPr>
      <w:spacing w:after="0" w:line="240" w:lineRule="auto"/>
      <w:jc w:val="left"/>
    </w:pPr>
    <w:rPr>
      <w:rFonts w:asciiTheme="minorHAnsi" w:eastAsia="Times New Roman" w:hAnsiTheme="minorHAnsi" w:cs="Times New Roman"/>
      <w:color w:val="581A51" w:themeColor="accent3" w:themeShade="BF"/>
      <w:sz w:val="22"/>
      <w:szCs w:val="22"/>
      <w:lang w:val="en-US"/>
    </w:rPr>
    <w:tblPr>
      <w:tblStyleRowBandSize w:val="1"/>
      <w:tblStyleColBandSize w:val="1"/>
      <w:tblBorders>
        <w:top w:val="single" w:sz="8" w:space="0" w:color="76236D" w:themeColor="accent3"/>
        <w:bottom w:val="single" w:sz="8" w:space="0" w:color="76236D" w:themeColor="accent3"/>
      </w:tblBorders>
    </w:tblPr>
    <w:tblStylePr w:type="firstRow">
      <w:pPr>
        <w:spacing w:before="0" w:after="0" w:line="240" w:lineRule="auto"/>
      </w:pPr>
      <w:rPr>
        <w:b/>
        <w:bCs/>
      </w:rPr>
      <w:tblPr/>
      <w:tcPr>
        <w:tcBorders>
          <w:top w:val="single" w:sz="8" w:space="0" w:color="76236D" w:themeColor="accent3"/>
          <w:left w:val="nil"/>
          <w:bottom w:val="single" w:sz="8" w:space="0" w:color="76236D" w:themeColor="accent3"/>
          <w:right w:val="nil"/>
          <w:insideH w:val="nil"/>
          <w:insideV w:val="nil"/>
        </w:tcBorders>
      </w:tcPr>
    </w:tblStylePr>
    <w:tblStylePr w:type="lastRow">
      <w:pPr>
        <w:spacing w:before="0" w:after="0" w:line="240" w:lineRule="auto"/>
      </w:pPr>
      <w:rPr>
        <w:b/>
        <w:bCs/>
      </w:rPr>
      <w:tblPr/>
      <w:tcPr>
        <w:tcBorders>
          <w:top w:val="single" w:sz="8" w:space="0" w:color="76236D" w:themeColor="accent3"/>
          <w:left w:val="nil"/>
          <w:bottom w:val="single" w:sz="8" w:space="0" w:color="76236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BAE5" w:themeFill="accent3" w:themeFillTint="3F"/>
      </w:tcPr>
    </w:tblStylePr>
    <w:tblStylePr w:type="band1Horz">
      <w:tblPr/>
      <w:tcPr>
        <w:tcBorders>
          <w:left w:val="nil"/>
          <w:right w:val="nil"/>
          <w:insideH w:val="nil"/>
          <w:insideV w:val="nil"/>
        </w:tcBorders>
        <w:shd w:val="clear" w:color="auto" w:fill="EABAE5" w:themeFill="accent3" w:themeFillTint="3F"/>
      </w:tcPr>
    </w:tblStylePr>
  </w:style>
  <w:style w:type="table" w:styleId="LightShading-Accent4">
    <w:name w:val="Light Shading Accent 4"/>
    <w:basedOn w:val="TableNormal"/>
    <w:uiPriority w:val="60"/>
    <w:semiHidden/>
    <w:unhideWhenUsed/>
    <w:rsid w:val="005A793B"/>
    <w:pPr>
      <w:spacing w:after="0" w:line="240" w:lineRule="auto"/>
      <w:jc w:val="left"/>
    </w:pPr>
    <w:rPr>
      <w:rFonts w:asciiTheme="minorHAnsi" w:eastAsia="Times New Roman" w:hAnsiTheme="minorHAnsi" w:cs="Times New Roman"/>
      <w:color w:val="AE5500" w:themeColor="accent4" w:themeShade="BF"/>
      <w:sz w:val="22"/>
      <w:szCs w:val="22"/>
      <w:lang w:val="en-US"/>
    </w:rPr>
    <w:tblPr>
      <w:tblStyleRowBandSize w:val="1"/>
      <w:tblStyleColBandSize w:val="1"/>
      <w:tblBorders>
        <w:top w:val="single" w:sz="8" w:space="0" w:color="E97300" w:themeColor="accent4"/>
        <w:bottom w:val="single" w:sz="8" w:space="0" w:color="E97300" w:themeColor="accent4"/>
      </w:tblBorders>
    </w:tblPr>
    <w:tblStylePr w:type="firstRow">
      <w:pPr>
        <w:spacing w:before="0" w:after="0" w:line="240" w:lineRule="auto"/>
      </w:pPr>
      <w:rPr>
        <w:b/>
        <w:bCs/>
      </w:rPr>
      <w:tblPr/>
      <w:tcPr>
        <w:tcBorders>
          <w:top w:val="single" w:sz="8" w:space="0" w:color="E97300" w:themeColor="accent4"/>
          <w:left w:val="nil"/>
          <w:bottom w:val="single" w:sz="8" w:space="0" w:color="E97300" w:themeColor="accent4"/>
          <w:right w:val="nil"/>
          <w:insideH w:val="nil"/>
          <w:insideV w:val="nil"/>
        </w:tcBorders>
      </w:tcPr>
    </w:tblStylePr>
    <w:tblStylePr w:type="lastRow">
      <w:pPr>
        <w:spacing w:before="0" w:after="0" w:line="240" w:lineRule="auto"/>
      </w:pPr>
      <w:rPr>
        <w:b/>
        <w:bCs/>
      </w:rPr>
      <w:tblPr/>
      <w:tcPr>
        <w:tcBorders>
          <w:top w:val="single" w:sz="8" w:space="0" w:color="E97300" w:themeColor="accent4"/>
          <w:left w:val="nil"/>
          <w:bottom w:val="single" w:sz="8" w:space="0" w:color="E973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BA" w:themeFill="accent4" w:themeFillTint="3F"/>
      </w:tcPr>
    </w:tblStylePr>
    <w:tblStylePr w:type="band1Horz">
      <w:tblPr/>
      <w:tcPr>
        <w:tcBorders>
          <w:left w:val="nil"/>
          <w:right w:val="nil"/>
          <w:insideH w:val="nil"/>
          <w:insideV w:val="nil"/>
        </w:tcBorders>
        <w:shd w:val="clear" w:color="auto" w:fill="FFDBBA" w:themeFill="accent4" w:themeFillTint="3F"/>
      </w:tcPr>
    </w:tblStylePr>
  </w:style>
  <w:style w:type="table" w:styleId="LightShading-Accent5">
    <w:name w:val="Light Shading Accent 5"/>
    <w:basedOn w:val="TableNormal"/>
    <w:uiPriority w:val="60"/>
    <w:semiHidden/>
    <w:unhideWhenUsed/>
    <w:rsid w:val="005A793B"/>
    <w:pPr>
      <w:spacing w:after="0" w:line="240" w:lineRule="auto"/>
      <w:jc w:val="left"/>
    </w:pPr>
    <w:rPr>
      <w:rFonts w:asciiTheme="minorHAnsi" w:eastAsia="Times New Roman" w:hAnsiTheme="minorHAnsi" w:cs="Times New Roman"/>
      <w:color w:val="9A9E9E" w:themeColor="accent5" w:themeShade="BF"/>
      <w:sz w:val="22"/>
      <w:szCs w:val="22"/>
      <w:lang w:val="en-US"/>
    </w:rPr>
    <w:tblPr>
      <w:tblStyleRowBandSize w:val="1"/>
      <w:tblStyleColBandSize w:val="1"/>
      <w:tblBorders>
        <w:top w:val="single" w:sz="8" w:space="0" w:color="D0D2D2" w:themeColor="accent5"/>
        <w:bottom w:val="single" w:sz="8" w:space="0" w:color="D0D2D2" w:themeColor="accent5"/>
      </w:tblBorders>
    </w:tblPr>
    <w:tblStylePr w:type="firstRow">
      <w:pPr>
        <w:spacing w:before="0" w:after="0" w:line="240" w:lineRule="auto"/>
      </w:pPr>
      <w:rPr>
        <w:b/>
        <w:bCs/>
      </w:rPr>
      <w:tblPr/>
      <w:tcPr>
        <w:tcBorders>
          <w:top w:val="single" w:sz="8" w:space="0" w:color="D0D2D2" w:themeColor="accent5"/>
          <w:left w:val="nil"/>
          <w:bottom w:val="single" w:sz="8" w:space="0" w:color="D0D2D2" w:themeColor="accent5"/>
          <w:right w:val="nil"/>
          <w:insideH w:val="nil"/>
          <w:insideV w:val="nil"/>
        </w:tcBorders>
      </w:tcPr>
    </w:tblStylePr>
    <w:tblStylePr w:type="lastRow">
      <w:pPr>
        <w:spacing w:before="0" w:after="0" w:line="240" w:lineRule="auto"/>
      </w:pPr>
      <w:rPr>
        <w:b/>
        <w:bCs/>
      </w:rPr>
      <w:tblPr/>
      <w:tcPr>
        <w:tcBorders>
          <w:top w:val="single" w:sz="8" w:space="0" w:color="D0D2D2" w:themeColor="accent5"/>
          <w:left w:val="nil"/>
          <w:bottom w:val="single" w:sz="8" w:space="0" w:color="D0D2D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3F3" w:themeFill="accent5" w:themeFillTint="3F"/>
      </w:tcPr>
    </w:tblStylePr>
    <w:tblStylePr w:type="band1Horz">
      <w:tblPr/>
      <w:tcPr>
        <w:tcBorders>
          <w:left w:val="nil"/>
          <w:right w:val="nil"/>
          <w:insideH w:val="nil"/>
          <w:insideV w:val="nil"/>
        </w:tcBorders>
        <w:shd w:val="clear" w:color="auto" w:fill="F3F3F3" w:themeFill="accent5" w:themeFillTint="3F"/>
      </w:tcPr>
    </w:tblStylePr>
  </w:style>
  <w:style w:type="table" w:styleId="LightShading-Accent6">
    <w:name w:val="Light Shading Accent 6"/>
    <w:basedOn w:val="TableNormal"/>
    <w:uiPriority w:val="60"/>
    <w:semiHidden/>
    <w:unhideWhenUsed/>
    <w:rsid w:val="005A793B"/>
    <w:pPr>
      <w:spacing w:after="0" w:line="240" w:lineRule="auto"/>
      <w:jc w:val="left"/>
    </w:pPr>
    <w:rPr>
      <w:rFonts w:asciiTheme="minorHAnsi" w:eastAsia="Times New Roman" w:hAnsiTheme="minorHAnsi" w:cs="Times New Roman"/>
      <w:color w:val="0073A7" w:themeColor="accent6" w:themeShade="BF"/>
      <w:sz w:val="22"/>
      <w:szCs w:val="22"/>
      <w:lang w:val="en-US"/>
    </w:rPr>
    <w:tblPr>
      <w:tblStyleRowBandSize w:val="1"/>
      <w:tblStyleColBandSize w:val="1"/>
      <w:tblBorders>
        <w:top w:val="single" w:sz="8" w:space="0" w:color="009BDF" w:themeColor="accent6"/>
        <w:bottom w:val="single" w:sz="8" w:space="0" w:color="009BDF" w:themeColor="accent6"/>
      </w:tblBorders>
    </w:tblPr>
    <w:tblStylePr w:type="firstRow">
      <w:pPr>
        <w:spacing w:before="0" w:after="0" w:line="240" w:lineRule="auto"/>
      </w:pPr>
      <w:rPr>
        <w:b/>
        <w:bCs/>
      </w:rPr>
      <w:tblPr/>
      <w:tcPr>
        <w:tcBorders>
          <w:top w:val="single" w:sz="8" w:space="0" w:color="009BDF" w:themeColor="accent6"/>
          <w:left w:val="nil"/>
          <w:bottom w:val="single" w:sz="8" w:space="0" w:color="009BDF" w:themeColor="accent6"/>
          <w:right w:val="nil"/>
          <w:insideH w:val="nil"/>
          <w:insideV w:val="nil"/>
        </w:tcBorders>
      </w:tcPr>
    </w:tblStylePr>
    <w:tblStylePr w:type="lastRow">
      <w:pPr>
        <w:spacing w:before="0" w:after="0" w:line="240" w:lineRule="auto"/>
      </w:pPr>
      <w:rPr>
        <w:b/>
        <w:bCs/>
      </w:rPr>
      <w:tblPr/>
      <w:tcPr>
        <w:tcBorders>
          <w:top w:val="single" w:sz="8" w:space="0" w:color="009BDF" w:themeColor="accent6"/>
          <w:left w:val="nil"/>
          <w:bottom w:val="single" w:sz="8" w:space="0" w:color="009BD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E9FF" w:themeFill="accent6" w:themeFillTint="3F"/>
      </w:tcPr>
    </w:tblStylePr>
    <w:tblStylePr w:type="band1Horz">
      <w:tblPr/>
      <w:tcPr>
        <w:tcBorders>
          <w:left w:val="nil"/>
          <w:right w:val="nil"/>
          <w:insideH w:val="nil"/>
          <w:insideV w:val="nil"/>
        </w:tcBorders>
        <w:shd w:val="clear" w:color="auto" w:fill="B8E9FF" w:themeFill="accent6" w:themeFillTint="3F"/>
      </w:tcPr>
    </w:tblStylePr>
  </w:style>
  <w:style w:type="paragraph" w:styleId="List2">
    <w:name w:val="List 2"/>
    <w:basedOn w:val="Normal"/>
    <w:uiPriority w:val="99"/>
    <w:semiHidden/>
    <w:unhideWhenUsed/>
    <w:rsid w:val="005A793B"/>
    <w:pPr>
      <w:spacing w:before="60" w:after="60" w:line="276" w:lineRule="auto"/>
      <w:ind w:left="720" w:hanging="360"/>
      <w:contextualSpacing/>
      <w:jc w:val="left"/>
    </w:pPr>
    <w:rPr>
      <w:rFonts w:eastAsia="Times New Roman" w:cs="Arial"/>
      <w:color w:val="auto"/>
      <w:sz w:val="22"/>
      <w:szCs w:val="22"/>
      <w:lang w:val="en-US"/>
    </w:rPr>
  </w:style>
  <w:style w:type="paragraph" w:styleId="List3">
    <w:name w:val="List 3"/>
    <w:basedOn w:val="Normal"/>
    <w:uiPriority w:val="99"/>
    <w:semiHidden/>
    <w:unhideWhenUsed/>
    <w:rsid w:val="005A793B"/>
    <w:pPr>
      <w:spacing w:before="60" w:after="60" w:line="276" w:lineRule="auto"/>
      <w:ind w:left="1080" w:hanging="360"/>
      <w:contextualSpacing/>
      <w:jc w:val="left"/>
    </w:pPr>
    <w:rPr>
      <w:rFonts w:eastAsia="Times New Roman" w:cs="Arial"/>
      <w:color w:val="auto"/>
      <w:sz w:val="22"/>
      <w:szCs w:val="22"/>
      <w:lang w:val="en-US"/>
    </w:rPr>
  </w:style>
  <w:style w:type="paragraph" w:styleId="List4">
    <w:name w:val="List 4"/>
    <w:basedOn w:val="Normal"/>
    <w:uiPriority w:val="99"/>
    <w:semiHidden/>
    <w:unhideWhenUsed/>
    <w:rsid w:val="005A793B"/>
    <w:pPr>
      <w:spacing w:before="60" w:after="60" w:line="276" w:lineRule="auto"/>
      <w:ind w:left="1440" w:hanging="360"/>
      <w:contextualSpacing/>
      <w:jc w:val="left"/>
    </w:pPr>
    <w:rPr>
      <w:rFonts w:eastAsia="Times New Roman" w:cs="Arial"/>
      <w:color w:val="auto"/>
      <w:sz w:val="22"/>
      <w:szCs w:val="22"/>
      <w:lang w:val="en-US"/>
    </w:rPr>
  </w:style>
  <w:style w:type="paragraph" w:styleId="List5">
    <w:name w:val="List 5"/>
    <w:basedOn w:val="Normal"/>
    <w:uiPriority w:val="99"/>
    <w:semiHidden/>
    <w:unhideWhenUsed/>
    <w:rsid w:val="005A793B"/>
    <w:pPr>
      <w:spacing w:before="60" w:after="60" w:line="276" w:lineRule="auto"/>
      <w:ind w:left="1800" w:hanging="360"/>
      <w:contextualSpacing/>
      <w:jc w:val="left"/>
    </w:pPr>
    <w:rPr>
      <w:rFonts w:eastAsia="Times New Roman" w:cs="Arial"/>
      <w:color w:val="auto"/>
      <w:sz w:val="22"/>
      <w:szCs w:val="22"/>
      <w:lang w:val="en-US"/>
    </w:rPr>
  </w:style>
  <w:style w:type="paragraph" w:styleId="ListBullet2">
    <w:name w:val="List Bullet 2"/>
    <w:basedOn w:val="Normal"/>
    <w:uiPriority w:val="99"/>
    <w:semiHidden/>
    <w:unhideWhenUsed/>
    <w:rsid w:val="005A793B"/>
    <w:pPr>
      <w:tabs>
        <w:tab w:val="num" w:pos="643"/>
      </w:tabs>
      <w:spacing w:before="60" w:after="60" w:line="276" w:lineRule="auto"/>
      <w:ind w:left="643" w:hanging="360"/>
      <w:contextualSpacing/>
      <w:jc w:val="left"/>
    </w:pPr>
    <w:rPr>
      <w:rFonts w:eastAsia="Times New Roman" w:cs="Arial"/>
      <w:color w:val="auto"/>
      <w:sz w:val="22"/>
      <w:szCs w:val="22"/>
      <w:lang w:val="en-US"/>
    </w:rPr>
  </w:style>
  <w:style w:type="paragraph" w:styleId="ListBullet3">
    <w:name w:val="List Bullet 3"/>
    <w:basedOn w:val="Normal"/>
    <w:uiPriority w:val="99"/>
    <w:semiHidden/>
    <w:unhideWhenUsed/>
    <w:rsid w:val="005A793B"/>
    <w:pPr>
      <w:tabs>
        <w:tab w:val="num" w:pos="926"/>
      </w:tabs>
      <w:spacing w:before="60" w:after="60" w:line="276" w:lineRule="auto"/>
      <w:ind w:left="926" w:hanging="360"/>
      <w:contextualSpacing/>
      <w:jc w:val="left"/>
    </w:pPr>
    <w:rPr>
      <w:rFonts w:eastAsia="Times New Roman" w:cs="Arial"/>
      <w:color w:val="auto"/>
      <w:sz w:val="22"/>
      <w:szCs w:val="22"/>
      <w:lang w:val="en-US"/>
    </w:rPr>
  </w:style>
  <w:style w:type="paragraph" w:styleId="ListBullet4">
    <w:name w:val="List Bullet 4"/>
    <w:basedOn w:val="Normal"/>
    <w:uiPriority w:val="99"/>
    <w:semiHidden/>
    <w:unhideWhenUsed/>
    <w:rsid w:val="005A793B"/>
    <w:pPr>
      <w:tabs>
        <w:tab w:val="num" w:pos="1209"/>
      </w:tabs>
      <w:spacing w:before="60" w:after="60" w:line="276" w:lineRule="auto"/>
      <w:ind w:left="1209" w:hanging="360"/>
      <w:contextualSpacing/>
      <w:jc w:val="left"/>
    </w:pPr>
    <w:rPr>
      <w:rFonts w:eastAsia="Times New Roman" w:cs="Arial"/>
      <w:color w:val="auto"/>
      <w:sz w:val="22"/>
      <w:szCs w:val="22"/>
      <w:lang w:val="en-US"/>
    </w:rPr>
  </w:style>
  <w:style w:type="paragraph" w:styleId="ListBullet5">
    <w:name w:val="List Bullet 5"/>
    <w:basedOn w:val="Normal"/>
    <w:uiPriority w:val="99"/>
    <w:semiHidden/>
    <w:unhideWhenUsed/>
    <w:rsid w:val="005A793B"/>
    <w:pPr>
      <w:tabs>
        <w:tab w:val="num" w:pos="1492"/>
      </w:tabs>
      <w:spacing w:before="60" w:after="60" w:line="276" w:lineRule="auto"/>
      <w:ind w:left="1492" w:hanging="360"/>
      <w:contextualSpacing/>
      <w:jc w:val="left"/>
    </w:pPr>
    <w:rPr>
      <w:rFonts w:eastAsia="Times New Roman" w:cs="Arial"/>
      <w:color w:val="auto"/>
      <w:sz w:val="22"/>
      <w:szCs w:val="22"/>
      <w:lang w:val="en-US"/>
    </w:rPr>
  </w:style>
  <w:style w:type="paragraph" w:styleId="ListContinue2">
    <w:name w:val="List Continue 2"/>
    <w:basedOn w:val="Normal"/>
    <w:uiPriority w:val="99"/>
    <w:semiHidden/>
    <w:unhideWhenUsed/>
    <w:rsid w:val="005A793B"/>
    <w:pPr>
      <w:spacing w:before="60" w:line="276" w:lineRule="auto"/>
      <w:ind w:left="720"/>
      <w:contextualSpacing/>
      <w:jc w:val="left"/>
    </w:pPr>
    <w:rPr>
      <w:rFonts w:eastAsia="Times New Roman" w:cs="Arial"/>
      <w:color w:val="auto"/>
      <w:sz w:val="22"/>
      <w:szCs w:val="22"/>
      <w:lang w:val="en-US"/>
    </w:rPr>
  </w:style>
  <w:style w:type="paragraph" w:styleId="ListContinue3">
    <w:name w:val="List Continue 3"/>
    <w:basedOn w:val="Normal"/>
    <w:uiPriority w:val="99"/>
    <w:semiHidden/>
    <w:unhideWhenUsed/>
    <w:rsid w:val="005A793B"/>
    <w:pPr>
      <w:spacing w:before="60" w:line="276" w:lineRule="auto"/>
      <w:ind w:left="1080"/>
      <w:contextualSpacing/>
      <w:jc w:val="left"/>
    </w:pPr>
    <w:rPr>
      <w:rFonts w:eastAsia="Times New Roman" w:cs="Arial"/>
      <w:color w:val="auto"/>
      <w:sz w:val="22"/>
      <w:szCs w:val="22"/>
      <w:lang w:val="en-US"/>
    </w:rPr>
  </w:style>
  <w:style w:type="paragraph" w:styleId="ListContinue4">
    <w:name w:val="List Continue 4"/>
    <w:basedOn w:val="Normal"/>
    <w:uiPriority w:val="99"/>
    <w:semiHidden/>
    <w:unhideWhenUsed/>
    <w:rsid w:val="005A793B"/>
    <w:pPr>
      <w:spacing w:before="60" w:line="276" w:lineRule="auto"/>
      <w:ind w:left="1440"/>
      <w:contextualSpacing/>
      <w:jc w:val="left"/>
    </w:pPr>
    <w:rPr>
      <w:rFonts w:eastAsia="Times New Roman" w:cs="Arial"/>
      <w:color w:val="auto"/>
      <w:sz w:val="22"/>
      <w:szCs w:val="22"/>
      <w:lang w:val="en-US"/>
    </w:rPr>
  </w:style>
  <w:style w:type="paragraph" w:styleId="ListContinue5">
    <w:name w:val="List Continue 5"/>
    <w:basedOn w:val="Normal"/>
    <w:uiPriority w:val="99"/>
    <w:semiHidden/>
    <w:unhideWhenUsed/>
    <w:rsid w:val="005A793B"/>
    <w:pPr>
      <w:spacing w:before="60" w:line="276" w:lineRule="auto"/>
      <w:ind w:left="1800"/>
      <w:contextualSpacing/>
      <w:jc w:val="left"/>
    </w:pPr>
    <w:rPr>
      <w:rFonts w:eastAsia="Times New Roman" w:cs="Arial"/>
      <w:color w:val="auto"/>
      <w:sz w:val="22"/>
      <w:szCs w:val="22"/>
      <w:lang w:val="en-US"/>
    </w:rPr>
  </w:style>
  <w:style w:type="paragraph" w:styleId="ListNumber">
    <w:name w:val="List Number"/>
    <w:basedOn w:val="Normal"/>
    <w:uiPriority w:val="4"/>
    <w:unhideWhenUsed/>
    <w:qFormat/>
    <w:rsid w:val="005A793B"/>
    <w:pPr>
      <w:tabs>
        <w:tab w:val="num" w:pos="360"/>
      </w:tabs>
      <w:spacing w:before="60" w:after="60" w:line="276" w:lineRule="auto"/>
      <w:ind w:left="360" w:hanging="360"/>
      <w:contextualSpacing/>
      <w:jc w:val="left"/>
    </w:pPr>
    <w:rPr>
      <w:rFonts w:eastAsia="Times New Roman" w:cs="Arial"/>
      <w:color w:val="auto"/>
      <w:sz w:val="22"/>
      <w:szCs w:val="22"/>
      <w:lang w:val="en-US"/>
    </w:rPr>
  </w:style>
  <w:style w:type="paragraph" w:styleId="ListNumber2">
    <w:name w:val="List Number 2"/>
    <w:basedOn w:val="Normal"/>
    <w:uiPriority w:val="99"/>
    <w:semiHidden/>
    <w:unhideWhenUsed/>
    <w:rsid w:val="005A793B"/>
    <w:pPr>
      <w:tabs>
        <w:tab w:val="num" w:pos="720"/>
      </w:tabs>
      <w:spacing w:before="60" w:after="60" w:line="276" w:lineRule="auto"/>
      <w:ind w:left="720" w:hanging="360"/>
      <w:contextualSpacing/>
      <w:jc w:val="left"/>
    </w:pPr>
    <w:rPr>
      <w:rFonts w:eastAsia="Times New Roman" w:cs="Arial"/>
      <w:color w:val="auto"/>
      <w:sz w:val="22"/>
      <w:szCs w:val="22"/>
      <w:lang w:val="en-US"/>
    </w:rPr>
  </w:style>
  <w:style w:type="paragraph" w:styleId="ListNumber3">
    <w:name w:val="List Number 3"/>
    <w:basedOn w:val="Normal"/>
    <w:uiPriority w:val="99"/>
    <w:semiHidden/>
    <w:unhideWhenUsed/>
    <w:rsid w:val="005A793B"/>
    <w:pPr>
      <w:tabs>
        <w:tab w:val="num" w:pos="1080"/>
      </w:tabs>
      <w:spacing w:before="60" w:after="60" w:line="276" w:lineRule="auto"/>
      <w:ind w:left="1080" w:hanging="360"/>
      <w:contextualSpacing/>
      <w:jc w:val="left"/>
    </w:pPr>
    <w:rPr>
      <w:rFonts w:eastAsia="Times New Roman" w:cs="Arial"/>
      <w:color w:val="auto"/>
      <w:sz w:val="22"/>
      <w:szCs w:val="22"/>
      <w:lang w:val="en-US"/>
    </w:rPr>
  </w:style>
  <w:style w:type="paragraph" w:styleId="ListNumber4">
    <w:name w:val="List Number 4"/>
    <w:basedOn w:val="Normal"/>
    <w:uiPriority w:val="99"/>
    <w:semiHidden/>
    <w:unhideWhenUsed/>
    <w:rsid w:val="005A793B"/>
    <w:pPr>
      <w:tabs>
        <w:tab w:val="num" w:pos="1440"/>
      </w:tabs>
      <w:spacing w:before="60" w:after="60" w:line="276" w:lineRule="auto"/>
      <w:ind w:left="1440" w:hanging="360"/>
      <w:contextualSpacing/>
      <w:jc w:val="left"/>
    </w:pPr>
    <w:rPr>
      <w:rFonts w:eastAsia="Times New Roman" w:cs="Arial"/>
      <w:color w:val="auto"/>
      <w:sz w:val="22"/>
      <w:szCs w:val="22"/>
      <w:lang w:val="en-US"/>
    </w:rPr>
  </w:style>
  <w:style w:type="paragraph" w:styleId="ListNumber5">
    <w:name w:val="List Number 5"/>
    <w:basedOn w:val="Normal"/>
    <w:uiPriority w:val="99"/>
    <w:semiHidden/>
    <w:unhideWhenUsed/>
    <w:rsid w:val="005A793B"/>
    <w:pPr>
      <w:tabs>
        <w:tab w:val="num" w:pos="1800"/>
      </w:tabs>
      <w:spacing w:before="60" w:after="60" w:line="276" w:lineRule="auto"/>
      <w:ind w:left="1800" w:hanging="360"/>
      <w:contextualSpacing/>
      <w:jc w:val="left"/>
    </w:pPr>
    <w:rPr>
      <w:rFonts w:eastAsia="Times New Roman" w:cs="Arial"/>
      <w:color w:val="auto"/>
      <w:sz w:val="22"/>
      <w:szCs w:val="22"/>
      <w:lang w:val="en-US"/>
    </w:rPr>
  </w:style>
  <w:style w:type="table" w:styleId="ListTable1Light">
    <w:name w:val="List Table 1 Light"/>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1">
    <w:name w:val="List Table 1 Light Accent 1"/>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2">
    <w:name w:val="List Table 1 Light Accent 2"/>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3">
    <w:name w:val="List Table 1 Light Accent 3"/>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4">
    <w:name w:val="List Table 1 Light Accent 4"/>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5">
    <w:name w:val="List Table 1 Light Accent 5"/>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1Light-Accent6">
    <w:name w:val="List Table 1 Light Accent 6"/>
    <w:basedOn w:val="TableNormal"/>
    <w:uiPriority w:val="46"/>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
    <w:name w:val="List Table 2"/>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1">
    <w:name w:val="List Table 3 Accent 1"/>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2">
    <w:name w:val="List Table 3 Accent 2"/>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3">
    <w:name w:val="List Table 3 Accent 3"/>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4">
    <w:name w:val="List Table 3 Accent 4"/>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5">
    <w:name w:val="List Table 3 Accent 5"/>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3-Accent6">
    <w:name w:val="List Table 3 Accent 6"/>
    <w:basedOn w:val="TableNormal"/>
    <w:uiPriority w:val="48"/>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
    <w:name w:val="List Table 4"/>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1">
    <w:name w:val="List Table 4 Accent 1"/>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2">
    <w:name w:val="List Table 4 Accent 2"/>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3">
    <w:name w:val="List Table 4 Accent 3"/>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4">
    <w:name w:val="List Table 4 Accent 4"/>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5">
    <w:name w:val="List Table 4 Accent 5"/>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4-Accent6">
    <w:name w:val="List Table 4 Accent 6"/>
    <w:basedOn w:val="TableNormal"/>
    <w:uiPriority w:val="49"/>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5Dark">
    <w:name w:val="List Table 5 Dark"/>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2828" w:themeFill="tex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style>
  <w:style w:type="table" w:styleId="ListTable5Dark-Accent1">
    <w:name w:val="List Table 5 Dark Accent 1"/>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6B6" w:themeFill="accent1"/>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style>
  <w:style w:type="table" w:styleId="ListTable5Dark-Accent2">
    <w:name w:val="List Table 5 Dark Accent 2"/>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956E" w:themeFill="accent2"/>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style>
  <w:style w:type="table" w:styleId="ListTable5Dark-Accent3">
    <w:name w:val="List Table 5 Dark Accent 3"/>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5Dark-Accent4">
    <w:name w:val="List Table 5 Dark Accent 4"/>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5Dark-Accent5">
    <w:name w:val="List Table 5 Dark Accent 5"/>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5Dark-Accent6">
    <w:name w:val="List Table 5 Dark Accent 6"/>
    <w:basedOn w:val="TableNormal"/>
    <w:uiPriority w:val="50"/>
    <w:rsid w:val="005A793B"/>
    <w:pPr>
      <w:spacing w:before="60" w:after="0" w:line="240" w:lineRule="auto"/>
      <w:jc w:val="left"/>
    </w:pPr>
    <w:rPr>
      <w:rFonts w:asciiTheme="minorHAnsi" w:eastAsia="Times New Roman" w:hAnsiTheme="minorHAnsi" w:cs="Times New Roman"/>
      <w:color w:val="FFFFFF" w:themeColor="background1"/>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
    <w:name w:val="List Table 6 Colorful"/>
    <w:basedOn w:val="TableNormal"/>
    <w:uiPriority w:val="51"/>
    <w:rsid w:val="005A793B"/>
    <w:pPr>
      <w:spacing w:before="60" w:after="0" w:line="240" w:lineRule="auto"/>
      <w:jc w:val="left"/>
    </w:pPr>
    <w:rPr>
      <w:rFonts w:asciiTheme="minorHAnsi" w:eastAsia="Times New Roman" w:hAnsiTheme="minorHAnsi" w:cs="Times New Roman"/>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1">
    <w:name w:val="List Table 6 Colorful Accent 1"/>
    <w:basedOn w:val="TableNormal"/>
    <w:uiPriority w:val="51"/>
    <w:rsid w:val="005A793B"/>
    <w:pPr>
      <w:spacing w:before="60" w:after="0" w:line="240" w:lineRule="auto"/>
      <w:jc w:val="left"/>
    </w:pPr>
    <w:rPr>
      <w:rFonts w:asciiTheme="minorHAnsi" w:eastAsia="Times New Roman" w:hAnsiTheme="minorHAnsi" w:cs="Times New Roman"/>
      <w:color w:val="007B88" w:themeColor="accent1"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2">
    <w:name w:val="List Table 6 Colorful Accent 2"/>
    <w:basedOn w:val="TableNormal"/>
    <w:uiPriority w:val="51"/>
    <w:rsid w:val="005A793B"/>
    <w:pPr>
      <w:spacing w:before="60" w:after="0" w:line="240" w:lineRule="auto"/>
      <w:jc w:val="left"/>
    </w:pPr>
    <w:rPr>
      <w:rFonts w:asciiTheme="minorHAnsi" w:eastAsia="Times New Roman" w:hAnsiTheme="minorHAnsi" w:cs="Times New Roman"/>
      <w:color w:val="006F52" w:themeColor="accent2"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5A793B"/>
    <w:pPr>
      <w:spacing w:before="60" w:after="0" w:line="240" w:lineRule="auto"/>
      <w:jc w:val="left"/>
    </w:pPr>
    <w:rPr>
      <w:rFonts w:asciiTheme="minorHAnsi" w:eastAsia="Times New Roman" w:hAnsiTheme="minorHAnsi" w:cs="Times New Roman"/>
      <w:color w:val="581A51" w:themeColor="accent3"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4">
    <w:name w:val="List Table 6 Colorful Accent 4"/>
    <w:basedOn w:val="TableNormal"/>
    <w:uiPriority w:val="51"/>
    <w:rsid w:val="005A793B"/>
    <w:pPr>
      <w:spacing w:before="60" w:after="0" w:line="240" w:lineRule="auto"/>
      <w:jc w:val="left"/>
    </w:pPr>
    <w:rPr>
      <w:rFonts w:asciiTheme="minorHAnsi" w:eastAsia="Times New Roman" w:hAnsiTheme="minorHAnsi" w:cs="Times New Roman"/>
      <w:color w:val="AE5500" w:themeColor="accent4"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5">
    <w:name w:val="List Table 6 Colorful Accent 5"/>
    <w:basedOn w:val="TableNormal"/>
    <w:uiPriority w:val="51"/>
    <w:rsid w:val="005A793B"/>
    <w:pPr>
      <w:spacing w:before="60" w:after="0" w:line="240" w:lineRule="auto"/>
      <w:jc w:val="left"/>
    </w:pPr>
    <w:rPr>
      <w:rFonts w:asciiTheme="minorHAnsi" w:eastAsia="Times New Roman" w:hAnsiTheme="minorHAnsi" w:cs="Times New Roman"/>
      <w:color w:val="9A9E9E" w:themeColor="accent5"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6Colorful-Accent6">
    <w:name w:val="List Table 6 Colorful Accent 6"/>
    <w:basedOn w:val="TableNormal"/>
    <w:uiPriority w:val="51"/>
    <w:rsid w:val="005A793B"/>
    <w:pPr>
      <w:spacing w:before="60" w:after="0" w:line="240" w:lineRule="auto"/>
      <w:jc w:val="left"/>
    </w:pPr>
    <w:rPr>
      <w:rFonts w:asciiTheme="minorHAnsi" w:eastAsia="Times New Roman" w:hAnsiTheme="minorHAnsi" w:cs="Times New Roman"/>
      <w:color w:val="0073A7" w:themeColor="accent6" w:themeShade="BF"/>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ListTable7Colorful">
    <w:name w:val="List Table 7 Colorful"/>
    <w:basedOn w:val="TableNormal"/>
    <w:uiPriority w:val="52"/>
    <w:rsid w:val="005A793B"/>
    <w:pPr>
      <w:spacing w:before="60"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1">
    <w:name w:val="List Table 7 Colorful Accent 1"/>
    <w:basedOn w:val="TableNormal"/>
    <w:uiPriority w:val="52"/>
    <w:rsid w:val="005A793B"/>
    <w:pPr>
      <w:spacing w:before="60" w:after="0" w:line="240" w:lineRule="auto"/>
      <w:jc w:val="left"/>
    </w:pPr>
    <w:rPr>
      <w:rFonts w:asciiTheme="minorHAnsi" w:eastAsia="Times New Roman" w:hAnsiTheme="minorHAnsi" w:cs="Times New Roman"/>
      <w:color w:val="007B88" w:themeColor="accent1"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2">
    <w:name w:val="List Table 7 Colorful Accent 2"/>
    <w:basedOn w:val="TableNormal"/>
    <w:uiPriority w:val="52"/>
    <w:rsid w:val="005A793B"/>
    <w:pPr>
      <w:spacing w:before="60" w:after="0" w:line="240" w:lineRule="auto"/>
      <w:jc w:val="left"/>
    </w:pPr>
    <w:rPr>
      <w:rFonts w:asciiTheme="minorHAnsi" w:eastAsia="Times New Roman" w:hAnsiTheme="minorHAnsi" w:cs="Times New Roman"/>
      <w:color w:val="006F52" w:themeColor="accent2"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3">
    <w:name w:val="List Table 7 Colorful Accent 3"/>
    <w:basedOn w:val="TableNormal"/>
    <w:uiPriority w:val="52"/>
    <w:rsid w:val="005A793B"/>
    <w:pPr>
      <w:spacing w:before="60" w:after="0" w:line="240" w:lineRule="auto"/>
      <w:jc w:val="left"/>
    </w:pPr>
    <w:rPr>
      <w:rFonts w:asciiTheme="minorHAnsi" w:eastAsia="Times New Roman" w:hAnsiTheme="minorHAnsi" w:cs="Times New Roman"/>
      <w:color w:val="581A51" w:themeColor="accent3"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4">
    <w:name w:val="List Table 7 Colorful Accent 4"/>
    <w:basedOn w:val="TableNormal"/>
    <w:uiPriority w:val="52"/>
    <w:rsid w:val="005A793B"/>
    <w:pPr>
      <w:spacing w:before="60" w:after="0" w:line="240" w:lineRule="auto"/>
      <w:jc w:val="left"/>
    </w:pPr>
    <w:rPr>
      <w:rFonts w:asciiTheme="minorHAnsi" w:eastAsia="Times New Roman" w:hAnsiTheme="minorHAnsi" w:cs="Times New Roman"/>
      <w:color w:val="AE5500" w:themeColor="accent4"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5">
    <w:name w:val="List Table 7 Colorful Accent 5"/>
    <w:basedOn w:val="TableNormal"/>
    <w:uiPriority w:val="52"/>
    <w:rsid w:val="005A793B"/>
    <w:pPr>
      <w:spacing w:before="60" w:after="0" w:line="240" w:lineRule="auto"/>
      <w:jc w:val="left"/>
    </w:pPr>
    <w:rPr>
      <w:rFonts w:asciiTheme="minorHAnsi" w:eastAsia="Times New Roman" w:hAnsiTheme="minorHAnsi" w:cs="Times New Roman"/>
      <w:color w:val="9A9E9E" w:themeColor="accent5"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ListTable7Colorful-Accent6">
    <w:name w:val="List Table 7 Colorful Accent 6"/>
    <w:basedOn w:val="TableNormal"/>
    <w:uiPriority w:val="52"/>
    <w:rsid w:val="005A793B"/>
    <w:pPr>
      <w:spacing w:before="60" w:after="0" w:line="240" w:lineRule="auto"/>
      <w:jc w:val="left"/>
    </w:pPr>
    <w:rPr>
      <w:rFonts w:asciiTheme="minorHAnsi" w:eastAsia="Times New Roman" w:hAnsiTheme="minorHAnsi" w:cs="Times New Roman"/>
      <w:color w:val="0073A7" w:themeColor="accent6" w:themeShade="BF"/>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table" w:styleId="MediumGrid1">
    <w:name w:val="Medium Grid 1"/>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1">
    <w:name w:val="Medium Grid 1 Accent 1"/>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2">
    <w:name w:val="Medium Grid 1 Accent 2"/>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3">
    <w:name w:val="Medium Grid 1 Accent 3"/>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4">
    <w:name w:val="Medium Grid 1 Accent 4"/>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5">
    <w:name w:val="Medium Grid 1 Accent 5"/>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1-Accent6">
    <w:name w:val="Medium Grid 1 Accent 6"/>
    <w:basedOn w:val="TableNormal"/>
    <w:uiPriority w:val="67"/>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MediumGrid2">
    <w:name w:val="Medium Grid 2"/>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1">
    <w:name w:val="Medium Grid 2 Accent 1"/>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2">
    <w:name w:val="Medium Grid 2 Accent 2"/>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3">
    <w:name w:val="Medium Grid 2 Accent 3"/>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4">
    <w:name w:val="Medium Grid 2 Accent 4"/>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5">
    <w:name w:val="Medium Grid 2 Accent 5"/>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2-Accent6">
    <w:name w:val="Medium Grid 2 Accent 6"/>
    <w:basedOn w:val="TableNormal"/>
    <w:uiPriority w:val="68"/>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b/>
        <w:bCs/>
        <w:color w:val="242828" w:themeColor="text1"/>
      </w:rPr>
    </w:tblStylePr>
    <w:tblStylePr w:type="lastRow">
      <w:rPr>
        <w:b/>
        <w:bCs/>
        <w:color w:val="242828" w:themeColor="text1"/>
      </w:rPr>
    </w:tblStylePr>
    <w:tblStylePr w:type="firstCol">
      <w:rPr>
        <w:b/>
        <w:bCs/>
        <w:color w:val="242828" w:themeColor="text1"/>
      </w:rPr>
    </w:tblStylePr>
    <w:tblStylePr w:type="lastCol">
      <w:rPr>
        <w:b w:val="0"/>
        <w:bCs w:val="0"/>
        <w:color w:val="242828" w:themeColor="text1"/>
      </w:rPr>
    </w:tblStylePr>
  </w:style>
  <w:style w:type="table" w:styleId="MediumGrid3">
    <w:name w:val="Medium Grid 3"/>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1">
    <w:name w:val="Medium Grid 3 Accent 1"/>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2">
    <w:name w:val="Medium Grid 3 Accent 2"/>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3">
    <w:name w:val="Medium Grid 3 Accent 3"/>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4">
    <w:name w:val="Medium Grid 3 Accent 4"/>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5">
    <w:name w:val="Medium Grid 3 Accent 5"/>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Grid3-Accent6">
    <w:name w:val="Medium Grid 3 Accent 6"/>
    <w:basedOn w:val="TableNormal"/>
    <w:uiPriority w:val="69"/>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rPr>
        <w:b/>
        <w:bCs/>
        <w:i w:val="0"/>
        <w:iCs w:val="0"/>
        <w:color w:val="FFFFFF" w:themeColor="background1"/>
      </w:rPr>
    </w:tblStylePr>
    <w:tblStylePr w:type="lastRow">
      <w:rPr>
        <w:b/>
        <w:bCs/>
        <w:i w:val="0"/>
        <w:iCs w:val="0"/>
        <w:color w:val="FFFFFF" w:themeColor="background1"/>
      </w:rPr>
    </w:tblStylePr>
    <w:tblStylePr w:type="firstCol">
      <w:rPr>
        <w:b/>
        <w:bCs/>
        <w:i w:val="0"/>
        <w:iCs w:val="0"/>
        <w:color w:val="FFFFFF" w:themeColor="background1"/>
      </w:rPr>
    </w:tblStylePr>
    <w:tblStylePr w:type="lastCol">
      <w:rPr>
        <w:b/>
        <w:bCs/>
        <w:i w:val="0"/>
        <w:iCs w:val="0"/>
        <w:color w:val="FFFFFF" w:themeColor="background1"/>
      </w:rPr>
    </w:tblStylePr>
  </w:style>
  <w:style w:type="table" w:styleId="MediumList1">
    <w:name w:val="Medium List 1"/>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1">
    <w:name w:val="Medium List 1 Accent 1"/>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2">
    <w:name w:val="Medium List 1 Accent 2"/>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3">
    <w:name w:val="Medium List 1 Accent 3"/>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4">
    <w:name w:val="Medium List 1 Accent 4"/>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5">
    <w:name w:val="Medium List 1 Accent 5"/>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1-Accent6">
    <w:name w:val="Medium List 1 Accent 6"/>
    <w:basedOn w:val="TableNormal"/>
    <w:uiPriority w:val="65"/>
    <w:semiHidden/>
    <w:unhideWhenUsed/>
    <w:rsid w:val="005A793B"/>
    <w:pPr>
      <w:spacing w:after="0" w:line="240" w:lineRule="auto"/>
      <w:jc w:val="left"/>
    </w:pPr>
    <w:rPr>
      <w:rFonts w:asciiTheme="minorHAnsi" w:eastAsia="Times New Roman" w:hAnsiTheme="minorHAnsi" w:cs="Times New Roman"/>
      <w:sz w:val="22"/>
      <w:szCs w:val="22"/>
      <w:lang w:val="en-US"/>
    </w:rPr>
    <w:tblPr/>
    <w:tblStylePr w:type="firstRow">
      <w:rPr>
        <w:rFonts w:asciiTheme="majorHAnsi" w:eastAsiaTheme="majorEastAsia" w:hAnsiTheme="majorHAnsi" w:cstheme="majorBidi"/>
      </w:rPr>
    </w:tblStylePr>
    <w:tblStylePr w:type="lastRow">
      <w:rPr>
        <w:b/>
        <w:bCs/>
        <w:color w:val="003CA7" w:themeColor="text2"/>
      </w:rPr>
    </w:tblStylePr>
    <w:tblStylePr w:type="firstCol">
      <w:rPr>
        <w:b/>
        <w:bCs/>
      </w:rPr>
    </w:tblStylePr>
    <w:tblStylePr w:type="lastCol">
      <w:rPr>
        <w:b/>
        <w:bCs/>
      </w:rPr>
    </w:tblStylePr>
  </w:style>
  <w:style w:type="table" w:styleId="MediumList2">
    <w:name w:val="Medium List 2"/>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1">
    <w:name w:val="Medium List 2 Accent 1"/>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2">
    <w:name w:val="Medium List 2 Accent 2"/>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3">
    <w:name w:val="Medium List 2 Accent 3"/>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4">
    <w:name w:val="Medium List 2 Accent 4"/>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5">
    <w:name w:val="Medium List 2 Accent 5"/>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List2-Accent6">
    <w:name w:val="Medium List 2 Accent 6"/>
    <w:basedOn w:val="TableNormal"/>
    <w:uiPriority w:val="66"/>
    <w:semiHidden/>
    <w:unhideWhenUsed/>
    <w:rsid w:val="005A793B"/>
    <w:pPr>
      <w:spacing w:after="0" w:line="240" w:lineRule="auto"/>
      <w:jc w:val="left"/>
    </w:pPr>
    <w:rPr>
      <w:rFonts w:asciiTheme="minorHAnsi" w:eastAsiaTheme="majorEastAsia" w:hAnsiTheme="minorHAnsi" w:cs="Times New Roman"/>
      <w:sz w:val="22"/>
      <w:szCs w:val="22"/>
      <w:lang w:val="en-US"/>
    </w:rPr>
    <w:tblPr/>
    <w:tblStylePr w:type="firstRow">
      <w:rPr>
        <w:sz w:val="24"/>
        <w:szCs w:val="24"/>
      </w:rPr>
    </w:tblStylePr>
  </w:style>
  <w:style w:type="table" w:styleId="MediumShading1">
    <w:name w:val="Medium Shading 1"/>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1">
    <w:name w:val="Medium Shading 1 Accent 1"/>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2">
    <w:name w:val="Medium Shading 1 Accent 2"/>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3">
    <w:name w:val="Medium Shading 1 Accent 3"/>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4">
    <w:name w:val="Medium Shading 1 Accent 4"/>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5">
    <w:name w:val="Medium Shading 1 Accent 5"/>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1-Accent6">
    <w:name w:val="Medium Shading 1 Accent 6"/>
    <w:basedOn w:val="TableNormal"/>
    <w:uiPriority w:val="63"/>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styleId="MediumShading2">
    <w:name w:val="Medium Shading 2"/>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1">
    <w:name w:val="Medium Shading 2 Accent 1"/>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2">
    <w:name w:val="Medium Shading 2 Accent 2"/>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3">
    <w:name w:val="Medium Shading 2 Accent 3"/>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4">
    <w:name w:val="Medium Shading 2 Accent 4"/>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5">
    <w:name w:val="Medium Shading 2 Accent 5"/>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table" w:styleId="MediumShading2-Accent6">
    <w:name w:val="Medium Shading 2 Accent 6"/>
    <w:basedOn w:val="TableNormal"/>
    <w:uiPriority w:val="64"/>
    <w:semiHidden/>
    <w:unhideWhenUsed/>
    <w:rsid w:val="005A793B"/>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themeColor="background1"/>
      </w:rPr>
    </w:tblStylePr>
    <w:tblStylePr w:type="lastRow">
      <w:pPr>
        <w:spacing w:before="0" w:after="0" w:line="240" w:lineRule="auto"/>
      </w:pPr>
      <w:rPr>
        <w:color w:val="auto"/>
      </w:rPr>
    </w:tblStylePr>
    <w:tblStylePr w:type="firstCol">
      <w:rPr>
        <w:b/>
        <w:bCs/>
        <w:color w:val="FFFFFF" w:themeColor="background1"/>
      </w:rPr>
    </w:tblStylePr>
    <w:tblStylePr w:type="lastCol">
      <w:rPr>
        <w:b/>
        <w:bCs/>
        <w:color w:val="FFFFFF" w:themeColor="background1"/>
      </w:rPr>
    </w:tblStylePr>
    <w:tblStylePr w:type="nwCell">
      <w:rPr>
        <w:color w:val="FFFFFF" w:themeColor="background1"/>
      </w:rPr>
    </w:tblStylePr>
  </w:style>
  <w:style w:type="paragraph" w:styleId="NoSpacing">
    <w:name w:val="No Spacing"/>
    <w:uiPriority w:val="1"/>
    <w:unhideWhenUsed/>
    <w:qFormat/>
    <w:rsid w:val="005A793B"/>
    <w:pPr>
      <w:spacing w:after="0" w:line="240" w:lineRule="auto"/>
      <w:jc w:val="left"/>
    </w:pPr>
    <w:rPr>
      <w:rFonts w:eastAsia="Times New Roman" w:cs="Arial"/>
      <w:color w:val="auto"/>
      <w:sz w:val="22"/>
      <w:szCs w:val="22"/>
      <w:lang w:val="en-US"/>
    </w:rPr>
  </w:style>
  <w:style w:type="paragraph" w:styleId="NormalWeb">
    <w:name w:val="Normal (Web)"/>
    <w:basedOn w:val="Normal"/>
    <w:uiPriority w:val="99"/>
    <w:unhideWhenUsed/>
    <w:rsid w:val="005A793B"/>
    <w:pPr>
      <w:spacing w:before="60" w:after="60" w:line="276" w:lineRule="auto"/>
      <w:jc w:val="left"/>
    </w:pPr>
    <w:rPr>
      <w:rFonts w:eastAsia="Times New Roman"/>
      <w:color w:val="auto"/>
      <w:lang w:val="en-US"/>
    </w:rPr>
  </w:style>
  <w:style w:type="paragraph" w:styleId="NormalIndent">
    <w:name w:val="Normal Indent"/>
    <w:basedOn w:val="Normal"/>
    <w:uiPriority w:val="99"/>
    <w:semiHidden/>
    <w:unhideWhenUsed/>
    <w:rsid w:val="005A793B"/>
    <w:pPr>
      <w:spacing w:before="60" w:after="60" w:line="276" w:lineRule="auto"/>
      <w:ind w:left="720"/>
      <w:jc w:val="left"/>
    </w:pPr>
    <w:rPr>
      <w:rFonts w:eastAsia="Times New Roman" w:cs="Arial"/>
      <w:color w:val="auto"/>
      <w:sz w:val="22"/>
      <w:szCs w:val="22"/>
      <w:lang w:val="en-US"/>
    </w:rPr>
  </w:style>
  <w:style w:type="paragraph" w:styleId="NoteHeading">
    <w:name w:val="Note Heading"/>
    <w:basedOn w:val="Normal"/>
    <w:next w:val="Normal"/>
    <w:link w:val="NoteHeadingChar"/>
    <w:uiPriority w:val="99"/>
    <w:semiHidden/>
    <w:unhideWhenUsed/>
    <w:rsid w:val="005A793B"/>
    <w:pPr>
      <w:spacing w:after="0"/>
      <w:jc w:val="left"/>
    </w:pPr>
    <w:rPr>
      <w:rFonts w:eastAsia="Times New Roman" w:cs="Arial"/>
      <w:color w:val="auto"/>
      <w:sz w:val="22"/>
      <w:szCs w:val="22"/>
      <w:lang w:val="en-US"/>
    </w:rPr>
  </w:style>
  <w:style w:type="character" w:customStyle="1" w:styleId="NoteHeadingChar">
    <w:name w:val="Note Heading Char"/>
    <w:basedOn w:val="DefaultParagraphFont"/>
    <w:link w:val="NoteHeading"/>
    <w:uiPriority w:val="99"/>
    <w:semiHidden/>
    <w:rsid w:val="005A793B"/>
    <w:rPr>
      <w:rFonts w:ascii="Times New Roman" w:eastAsia="Times New Roman" w:hAnsi="Times New Roman" w:cs="Arial"/>
      <w:color w:val="auto"/>
      <w:sz w:val="22"/>
      <w:szCs w:val="22"/>
      <w:lang w:val="en-US"/>
    </w:rPr>
  </w:style>
  <w:style w:type="character" w:styleId="PageNumber">
    <w:name w:val="page number"/>
    <w:basedOn w:val="DefaultParagraphFont"/>
    <w:uiPriority w:val="99"/>
    <w:semiHidden/>
    <w:unhideWhenUsed/>
    <w:rsid w:val="005A793B"/>
    <w:rPr>
      <w:rFonts w:ascii="Arial" w:hAnsi="Arial" w:cs="Arial"/>
    </w:rPr>
  </w:style>
  <w:style w:type="table" w:styleId="PlainTable1">
    <w:name w:val="Plain Table 1"/>
    <w:basedOn w:val="TableNormal"/>
    <w:uiPriority w:val="41"/>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PlainTable3">
    <w:name w:val="Plain Table 3"/>
    <w:basedOn w:val="TableNormal"/>
    <w:uiPriority w:val="43"/>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aps/>
      </w:rPr>
    </w:tblStylePr>
    <w:tblStylePr w:type="lastRow">
      <w:rPr>
        <w:b/>
        <w:bCs/>
        <w:caps/>
      </w:rPr>
    </w:tblStylePr>
    <w:tblStylePr w:type="firstCol">
      <w:rPr>
        <w:b/>
        <w:bCs/>
        <w:caps/>
      </w:rPr>
    </w:tblStylePr>
    <w:tblStylePr w:type="lastCol">
      <w:rPr>
        <w:b/>
        <w:bCs/>
        <w:caps/>
      </w:rPr>
    </w:tblStylePr>
  </w:style>
  <w:style w:type="table" w:styleId="PlainTable4">
    <w:name w:val="Plain Table 4"/>
    <w:basedOn w:val="TableNormal"/>
    <w:uiPriority w:val="44"/>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5A793B"/>
    <w:pPr>
      <w:spacing w:before="60" w:after="0" w:line="240" w:lineRule="auto"/>
      <w:jc w:val="left"/>
    </w:pPr>
    <w:rPr>
      <w:rFonts w:asciiTheme="minorHAnsi" w:eastAsia="Times New Roman" w:hAnsiTheme="minorHAnsi" w:cs="Times New Roman"/>
      <w:color w:val="auto"/>
      <w:sz w:val="22"/>
      <w:szCs w:val="22"/>
      <w:lang w:val="en-US"/>
    </w:rPr>
    <w:tblPr/>
    <w:tblStylePr w:type="firstRow">
      <w:rPr>
        <w:rFonts w:asciiTheme="majorHAnsi" w:eastAsiaTheme="majorEastAsia" w:hAnsiTheme="majorHAnsi" w:cstheme="majorBidi"/>
        <w:i/>
        <w:iCs/>
        <w:sz w:val="26"/>
      </w:r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style>
  <w:style w:type="paragraph" w:styleId="Signature">
    <w:name w:val="Signature"/>
    <w:basedOn w:val="Normal"/>
    <w:link w:val="SignatureChar"/>
    <w:uiPriority w:val="99"/>
    <w:semiHidden/>
    <w:unhideWhenUsed/>
    <w:rsid w:val="005A793B"/>
    <w:pPr>
      <w:spacing w:after="0"/>
      <w:ind w:left="4320"/>
      <w:jc w:val="left"/>
    </w:pPr>
    <w:rPr>
      <w:rFonts w:eastAsia="Times New Roman" w:cs="Arial"/>
      <w:color w:val="auto"/>
      <w:sz w:val="22"/>
      <w:szCs w:val="22"/>
      <w:lang w:val="en-US"/>
    </w:rPr>
  </w:style>
  <w:style w:type="character" w:customStyle="1" w:styleId="SignatureChar">
    <w:name w:val="Signature Char"/>
    <w:basedOn w:val="DefaultParagraphFont"/>
    <w:link w:val="Signature"/>
    <w:uiPriority w:val="99"/>
    <w:semiHidden/>
    <w:rsid w:val="005A793B"/>
    <w:rPr>
      <w:rFonts w:ascii="Times New Roman" w:eastAsia="Times New Roman" w:hAnsi="Times New Roman" w:cs="Arial"/>
      <w:color w:val="auto"/>
      <w:sz w:val="22"/>
      <w:szCs w:val="22"/>
      <w:lang w:val="en-US"/>
    </w:rPr>
  </w:style>
  <w:style w:type="character" w:customStyle="1" w:styleId="SmartHyperlink1">
    <w:name w:val="Smart Hyperlink1"/>
    <w:basedOn w:val="DefaultParagraphFont"/>
    <w:uiPriority w:val="99"/>
    <w:semiHidden/>
    <w:unhideWhenUsed/>
    <w:rsid w:val="005A793B"/>
    <w:rPr>
      <w:rFonts w:ascii="Arial" w:hAnsi="Arial" w:cs="Arial"/>
      <w:u w:val="dotted"/>
    </w:rPr>
  </w:style>
  <w:style w:type="character" w:styleId="SubtleEmphasis">
    <w:name w:val="Subtle Emphasis"/>
    <w:basedOn w:val="DefaultParagraphFont"/>
    <w:uiPriority w:val="19"/>
    <w:unhideWhenUsed/>
    <w:qFormat/>
    <w:rsid w:val="005A793B"/>
    <w:rPr>
      <w:rFonts w:ascii="Arial" w:hAnsi="Arial" w:cs="Arial"/>
      <w:i/>
      <w:iCs/>
      <w:color w:val="576161" w:themeColor="text1" w:themeTint="BF"/>
    </w:rPr>
  </w:style>
  <w:style w:type="character" w:styleId="SubtleReference">
    <w:name w:val="Subtle Reference"/>
    <w:basedOn w:val="DefaultParagraphFont"/>
    <w:uiPriority w:val="31"/>
    <w:unhideWhenUsed/>
    <w:qFormat/>
    <w:rsid w:val="005A793B"/>
    <w:rPr>
      <w:rFonts w:ascii="Arial" w:hAnsi="Arial" w:cs="Arial"/>
      <w:smallCaps/>
      <w:color w:val="6C7878" w:themeColor="text1" w:themeTint="A5"/>
    </w:rPr>
  </w:style>
  <w:style w:type="table" w:styleId="Table3Deffects1">
    <w:name w:val="Table 3D effects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800080"/>
      </w:rPr>
    </w:tblStylePr>
    <w:tblStylePr w:type="firstCol">
      <w:rPr>
        <w:b/>
        <w:bCs/>
      </w:rPr>
    </w:tblStylePr>
    <w:tblStylePr w:type="swCell">
      <w:rPr>
        <w:color w:val="000080"/>
      </w:rPr>
    </w:tblStylePr>
  </w:style>
  <w:style w:type="table" w:styleId="Table3Deffects2">
    <w:name w:val="Table 3D effects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swCell">
      <w:rPr>
        <w:b/>
        <w:bCs/>
      </w:rPr>
    </w:tblStylePr>
  </w:style>
  <w:style w:type="table" w:styleId="Table3Deffects3">
    <w:name w:val="Table 3D effects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band1Vert">
      <w:rPr>
        <w:color w:val="auto"/>
      </w:rPr>
    </w:tblStylePr>
    <w:tblStylePr w:type="band2Vert">
      <w:rPr>
        <w:color w:val="auto"/>
      </w:rPr>
    </w:tblStylePr>
    <w:tblStylePr w:type="swCell">
      <w:rPr>
        <w:b/>
        <w:bCs/>
      </w:rPr>
    </w:tblStylePr>
  </w:style>
  <w:style w:type="table" w:styleId="TableClassic1">
    <w:name w:val="Table Classic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i/>
        <w:iCs/>
      </w:rPr>
    </w:tblStylePr>
    <w:tblStylePr w:type="lastRow">
      <w:rPr>
        <w:color w:val="auto"/>
      </w:rPr>
    </w:tblStylePr>
    <w:tblStylePr w:type="neCell">
      <w:rPr>
        <w:b/>
        <w:bCs/>
        <w:i w:val="0"/>
        <w:iCs w:val="0"/>
      </w:rPr>
    </w:tblStylePr>
    <w:tblStylePr w:type="swCell">
      <w:rPr>
        <w:b/>
        <w:bCs/>
      </w:rPr>
    </w:tblStylePr>
  </w:style>
  <w:style w:type="table" w:styleId="TableClassic2">
    <w:name w:val="Table Classic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FFFFFF"/>
      </w:rPr>
    </w:tblStylePr>
    <w:tblStylePr w:type="firstCol">
      <w:rPr>
        <w:b/>
        <w:bCs/>
      </w:rPr>
    </w:tblStylePr>
    <w:tblStylePr w:type="neCell">
      <w:rPr>
        <w:b/>
        <w:bCs/>
      </w:rPr>
    </w:tblStylePr>
    <w:tblStylePr w:type="swCell">
      <w:rPr>
        <w:color w:val="000080"/>
      </w:rPr>
    </w:tblStylePr>
  </w:style>
  <w:style w:type="table" w:styleId="TableClassic3">
    <w:name w:val="Table Classic 3"/>
    <w:basedOn w:val="TableNormal"/>
    <w:semiHidden/>
    <w:unhideWhenUsed/>
    <w:rsid w:val="005A793B"/>
    <w:pPr>
      <w:spacing w:before="60" w:after="60" w:line="276" w:lineRule="auto"/>
      <w:jc w:val="left"/>
    </w:pPr>
    <w:rPr>
      <w:rFonts w:asciiTheme="minorHAnsi" w:eastAsia="Times New Roman" w:hAnsiTheme="minorHAnsi" w:cs="Times New Roman"/>
      <w:color w:val="000080"/>
      <w:sz w:val="22"/>
      <w:szCs w:val="22"/>
      <w:lang w:val="en-US"/>
    </w:rPr>
    <w:tblPr/>
    <w:tblStylePr w:type="firstRow">
      <w:rPr>
        <w:b/>
        <w:bCs/>
        <w:i/>
        <w:iCs/>
        <w:color w:val="FFFFFF"/>
      </w:rPr>
    </w:tblStylePr>
    <w:tblStylePr w:type="lastRow">
      <w:rPr>
        <w:color w:val="000080"/>
      </w:rPr>
    </w:tblStylePr>
    <w:tblStylePr w:type="firstCol">
      <w:rPr>
        <w:b/>
        <w:bCs/>
        <w:color w:val="000000"/>
      </w:rPr>
    </w:tblStylePr>
  </w:style>
  <w:style w:type="table" w:styleId="TableClassic4">
    <w:name w:val="Table Classic 4"/>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color w:val="FFFFFF"/>
      </w:rPr>
    </w:tblStylePr>
    <w:tblStylePr w:type="lastRow">
      <w:rPr>
        <w:color w:val="000080"/>
      </w:r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semiHidden/>
    <w:unhideWhenUsed/>
    <w:rsid w:val="005A793B"/>
    <w:pPr>
      <w:spacing w:before="60" w:after="60" w:line="276" w:lineRule="auto"/>
      <w:jc w:val="left"/>
    </w:pPr>
    <w:rPr>
      <w:rFonts w:asciiTheme="minorHAnsi" w:eastAsia="Times New Roman" w:hAnsiTheme="minorHAnsi" w:cs="Times New Roman"/>
      <w:color w:val="FFFFFF"/>
      <w:sz w:val="22"/>
      <w:szCs w:val="22"/>
      <w:lang w:val="en-US"/>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color w:val="FFFFFF"/>
      </w:rPr>
    </w:tblStylePr>
    <w:tblStylePr w:type="firstCol">
      <w:rPr>
        <w:b/>
        <w:bCs/>
        <w:i/>
        <w:iCs/>
      </w:rPr>
    </w:tblStylePr>
    <w:tblStylePr w:type="swCell">
      <w:rPr>
        <w:b/>
        <w:bCs/>
        <w:i w:val="0"/>
        <w:iCs w:val="0"/>
      </w:rPr>
    </w:tblStylePr>
  </w:style>
  <w:style w:type="table" w:styleId="TableColorful3">
    <w:name w:val="Table Colorful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nwCell">
      <w:rPr>
        <w:b/>
        <w:bCs/>
        <w:color w:val="FFFFFF"/>
      </w:rPr>
    </w:tblStylePr>
  </w:style>
  <w:style w:type="table" w:styleId="TableColumns1">
    <w:name w:val="Table Columns 1"/>
    <w:basedOn w:val="TableNormal"/>
    <w:semiHidden/>
    <w:unhideWhenUsed/>
    <w:rsid w:val="005A793B"/>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TableColumns2">
    <w:name w:val="Table Columns 2"/>
    <w:basedOn w:val="TableNormal"/>
    <w:semiHidden/>
    <w:unhideWhenUsed/>
    <w:rsid w:val="005A793B"/>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StylePr>
    <w:tblStylePr w:type="swCell">
      <w:rPr>
        <w:b/>
        <w:bCs/>
      </w:rPr>
    </w:tblStylePr>
  </w:style>
  <w:style w:type="table" w:styleId="TableColumns3">
    <w:name w:val="Table Columns 3"/>
    <w:basedOn w:val="TableNormal"/>
    <w:semiHidden/>
    <w:unhideWhenUsed/>
    <w:rsid w:val="005A793B"/>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FFFFFF"/>
      </w:r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rPr>
    </w:tblStylePr>
    <w:tblStylePr w:type="lastRow">
      <w:rPr>
        <w:b/>
        <w:bCs/>
      </w:r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aps/>
        <w:color w:val="auto"/>
      </w:rPr>
    </w:tblStylePr>
  </w:style>
  <w:style w:type="table" w:styleId="TableGrid2">
    <w:name w:val="Table Grid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lastRow">
      <w:rPr>
        <w:b/>
        <w:bCs/>
      </w:rPr>
    </w:tblStylePr>
    <w:tblStylePr w:type="lastCol">
      <w:rPr>
        <w:b/>
        <w:bCs/>
      </w:rPr>
    </w:tblStylePr>
  </w:style>
  <w:style w:type="table" w:styleId="TableGrid4">
    <w:name w:val="Table Grid 4"/>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lastRow">
      <w:rPr>
        <w:b/>
        <w:bCs/>
      </w:rPr>
    </w:tblStylePr>
    <w:tblStylePr w:type="lastCol">
      <w:rPr>
        <w:b/>
        <w:bCs/>
      </w:rPr>
    </w:tblStylePr>
  </w:style>
  <w:style w:type="table" w:styleId="TableGrid6">
    <w:name w:val="Table Grid 6"/>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color w:val="auto"/>
      </w:rPr>
    </w:tblStylePr>
    <w:tblStylePr w:type="firstCol">
      <w:rPr>
        <w:b/>
        <w:bCs/>
      </w:rPr>
    </w:tblStylePr>
  </w:style>
  <w:style w:type="table" w:styleId="TableGrid7">
    <w:name w:val="Table Grid 7"/>
    <w:basedOn w:val="TableNormal"/>
    <w:semiHidden/>
    <w:unhideWhenUsed/>
    <w:rsid w:val="005A793B"/>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b w:val="0"/>
        <w:bCs w:val="0"/>
      </w:rPr>
    </w:tblStylePr>
    <w:tblStylePr w:type="lastRow">
      <w:rPr>
        <w:b w:val="0"/>
        <w:bCs w:val="0"/>
      </w:rPr>
    </w:tblStylePr>
    <w:tblStylePr w:type="firstCol">
      <w:rPr>
        <w:b w:val="0"/>
        <w:bCs w:val="0"/>
      </w:rPr>
    </w:tblStylePr>
    <w:tblStylePr w:type="lastCol">
      <w:rPr>
        <w:b w:val="0"/>
        <w:bCs w:val="0"/>
      </w:rPr>
    </w:tblStylePr>
  </w:style>
  <w:style w:type="table" w:styleId="TableGrid8">
    <w:name w:val="Table Grid 8"/>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tblStylePr w:type="lastRow">
      <w:rPr>
        <w:b/>
        <w:bCs/>
        <w:color w:val="auto"/>
      </w:rPr>
    </w:tblStylePr>
    <w:tblStylePr w:type="lastCol">
      <w:rPr>
        <w:b/>
        <w:bCs/>
        <w:color w:val="auto"/>
      </w:rPr>
    </w:tblStylePr>
  </w:style>
  <w:style w:type="table" w:styleId="TableList1">
    <w:name w:val="Table List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000080"/>
      </w:rPr>
    </w:tblStylePr>
    <w:tblStylePr w:type="swCell">
      <w:rPr>
        <w:i/>
        <w:iCs/>
        <w:color w:val="000080"/>
      </w:rPr>
    </w:tblStylePr>
  </w:style>
  <w:style w:type="table" w:styleId="TableList4">
    <w:name w:val="Table List 4"/>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style>
  <w:style w:type="table" w:styleId="TableList5">
    <w:name w:val="Table List 5"/>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firstCol">
      <w:rPr>
        <w:b/>
        <w:bCs/>
      </w:rPr>
    </w:tblStylePr>
  </w:style>
  <w:style w:type="table" w:styleId="TableList6">
    <w:name w:val="Table List 6"/>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firstCol">
      <w:rPr>
        <w:b/>
        <w:bCs/>
      </w:rPr>
    </w:tblStylePr>
  </w:style>
  <w:style w:type="table" w:styleId="TableList7">
    <w:name w:val="Table List 7"/>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List8">
    <w:name w:val="Table List 8"/>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i/>
        <w:iCs/>
      </w:rPr>
    </w:tblStylePr>
    <w:tblStylePr w:type="lastRow">
      <w:rPr>
        <w:b/>
        <w:bCs/>
      </w:rPr>
    </w:tblStylePr>
    <w:tblStylePr w:type="firstCol">
      <w:rPr>
        <w:b/>
        <w:bCs/>
      </w:rPr>
    </w:tblStylePr>
    <w:tblStylePr w:type="lastCol">
      <w:rPr>
        <w:b/>
        <w:bCs/>
      </w:rPr>
    </w:tblStylePr>
    <w:tblStylePr w:type="band1Horz">
      <w:rPr>
        <w:color w:val="auto"/>
      </w:rPr>
    </w:tblStylePr>
  </w:style>
  <w:style w:type="table" w:styleId="TableProfessional">
    <w:name w:val="Table Professional"/>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auto"/>
      </w:rPr>
    </w:tblStylePr>
  </w:style>
  <w:style w:type="table" w:styleId="TableSimple1">
    <w:name w:val="Table Simple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style>
  <w:style w:type="table" w:styleId="TableSimple2">
    <w:name w:val="Table Simple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style>
  <w:style w:type="table" w:styleId="TableSubtle1">
    <w:name w:val="Table Subtle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neCell">
      <w:rPr>
        <w:b/>
        <w:bCs/>
      </w:rPr>
    </w:tblStylePr>
    <w:tblStylePr w:type="swCell">
      <w:rPr>
        <w:b/>
        <w:bCs/>
      </w:rPr>
    </w:tblStylePr>
  </w:style>
  <w:style w:type="table" w:styleId="TableSubtle2">
    <w:name w:val="Table Subtle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neCell">
      <w:rPr>
        <w:b/>
        <w:bCs/>
      </w:rPr>
    </w:tblStylePr>
    <w:tblStylePr w:type="swCell">
      <w:rPr>
        <w:b/>
        <w:bCs/>
      </w:rPr>
    </w:tblStylePr>
  </w:style>
  <w:style w:type="table" w:styleId="TableTheme">
    <w:name w:val="Table Theme"/>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style>
  <w:style w:type="table" w:styleId="TableWeb1">
    <w:name w:val="Table Web 1"/>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table" w:styleId="TableWeb2">
    <w:name w:val="Table Web 2"/>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table" w:styleId="TableWeb3">
    <w:name w:val="Table Web 3"/>
    <w:basedOn w:val="TableNormal"/>
    <w:semiHidden/>
    <w:unhideWhenUsed/>
    <w:rsid w:val="005A793B"/>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paragraph" w:styleId="TOC6">
    <w:name w:val="toc 6"/>
    <w:basedOn w:val="Normal"/>
    <w:next w:val="Normal"/>
    <w:autoRedefine/>
    <w:uiPriority w:val="39"/>
    <w:unhideWhenUsed/>
    <w:qFormat/>
    <w:rsid w:val="005A793B"/>
    <w:pPr>
      <w:spacing w:before="0" w:after="0"/>
      <w:ind w:left="1200"/>
      <w:jc w:val="left"/>
    </w:pPr>
    <w:rPr>
      <w:rFonts w:asciiTheme="minorHAnsi" w:hAnsiTheme="minorHAnsi" w:cstheme="minorHAnsi"/>
      <w:sz w:val="18"/>
      <w:szCs w:val="18"/>
    </w:rPr>
  </w:style>
  <w:style w:type="paragraph" w:styleId="TOC7">
    <w:name w:val="toc 7"/>
    <w:basedOn w:val="Normal"/>
    <w:next w:val="Normal"/>
    <w:autoRedefine/>
    <w:uiPriority w:val="39"/>
    <w:unhideWhenUsed/>
    <w:qFormat/>
    <w:rsid w:val="00C600D7"/>
    <w:pPr>
      <w:spacing w:before="0" w:after="0"/>
      <w:ind w:left="1440"/>
      <w:jc w:val="left"/>
    </w:pPr>
    <w:rPr>
      <w:rFonts w:asciiTheme="minorHAnsi" w:hAnsiTheme="minorHAnsi" w:cstheme="minorHAnsi"/>
      <w:sz w:val="18"/>
      <w:szCs w:val="18"/>
    </w:rPr>
  </w:style>
  <w:style w:type="paragraph" w:styleId="TOC8">
    <w:name w:val="toc 8"/>
    <w:basedOn w:val="Normal"/>
    <w:next w:val="Normal"/>
    <w:autoRedefine/>
    <w:uiPriority w:val="39"/>
    <w:unhideWhenUsed/>
    <w:qFormat/>
    <w:rsid w:val="005A793B"/>
    <w:pPr>
      <w:spacing w:before="0" w:after="0"/>
      <w:ind w:left="168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5A793B"/>
    <w:pPr>
      <w:spacing w:before="0" w:after="0"/>
      <w:ind w:left="1920"/>
      <w:jc w:val="left"/>
    </w:pPr>
    <w:rPr>
      <w:rFonts w:asciiTheme="minorHAnsi" w:hAnsiTheme="minorHAnsi" w:cstheme="minorHAnsi"/>
      <w:sz w:val="18"/>
      <w:szCs w:val="18"/>
    </w:rPr>
  </w:style>
  <w:style w:type="numbering" w:styleId="111111">
    <w:name w:val="Outline List 2"/>
    <w:basedOn w:val="NoList"/>
    <w:semiHidden/>
    <w:unhideWhenUsed/>
    <w:rsid w:val="00B24415"/>
    <w:pPr>
      <w:numPr>
        <w:numId w:val="8"/>
      </w:numPr>
    </w:pPr>
  </w:style>
  <w:style w:type="numbering" w:styleId="1ai">
    <w:name w:val="Outline List 1"/>
    <w:basedOn w:val="NoList"/>
    <w:semiHidden/>
    <w:unhideWhenUsed/>
    <w:rsid w:val="00B24415"/>
    <w:pPr>
      <w:numPr>
        <w:numId w:val="7"/>
      </w:numPr>
    </w:pPr>
  </w:style>
  <w:style w:type="numbering" w:styleId="ArticleSection">
    <w:name w:val="Outline List 3"/>
    <w:basedOn w:val="NoList"/>
    <w:semiHidden/>
    <w:unhideWhenUsed/>
    <w:rsid w:val="00B24415"/>
    <w:pPr>
      <w:numPr>
        <w:numId w:val="3"/>
      </w:numPr>
    </w:pPr>
  </w:style>
  <w:style w:type="paragraph" w:customStyle="1" w:styleId="msonormal0">
    <w:name w:val="msonormal"/>
    <w:basedOn w:val="Normal"/>
    <w:rsid w:val="005A793B"/>
    <w:pPr>
      <w:spacing w:before="100" w:beforeAutospacing="1" w:after="100" w:afterAutospacing="1"/>
      <w:jc w:val="left"/>
    </w:pPr>
    <w:rPr>
      <w:rFonts w:eastAsia="Times New Roman"/>
      <w:color w:val="auto"/>
      <w:lang w:eastAsia="en-GB"/>
    </w:rPr>
  </w:style>
  <w:style w:type="paragraph" w:customStyle="1" w:styleId="xl66">
    <w:name w:val="xl66"/>
    <w:basedOn w:val="Normal"/>
    <w:rsid w:val="005A79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auto"/>
      <w:lang w:eastAsia="en-GB"/>
    </w:rPr>
  </w:style>
  <w:style w:type="paragraph" w:customStyle="1" w:styleId="xl67">
    <w:name w:val="xl67"/>
    <w:basedOn w:val="Normal"/>
    <w:rsid w:val="005A793B"/>
    <w:pPr>
      <w:spacing w:before="100" w:beforeAutospacing="1" w:after="100" w:afterAutospacing="1"/>
      <w:jc w:val="center"/>
      <w:textAlignment w:val="center"/>
    </w:pPr>
    <w:rPr>
      <w:rFonts w:eastAsia="Times New Roman"/>
      <w:b/>
      <w:bCs/>
      <w:color w:val="auto"/>
      <w:lang w:eastAsia="en-GB"/>
    </w:rPr>
  </w:style>
  <w:style w:type="paragraph" w:customStyle="1" w:styleId="xl69">
    <w:name w:val="xl69"/>
    <w:basedOn w:val="Normal"/>
    <w:rsid w:val="005A79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color w:val="auto"/>
      <w:lang w:eastAsia="en-GB"/>
    </w:rPr>
  </w:style>
  <w:style w:type="paragraph" w:customStyle="1" w:styleId="xl70">
    <w:name w:val="xl70"/>
    <w:basedOn w:val="Normal"/>
    <w:rsid w:val="005A79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color w:val="auto"/>
      <w:lang w:eastAsia="en-GB"/>
    </w:rPr>
  </w:style>
  <w:style w:type="paragraph" w:customStyle="1" w:styleId="xl71">
    <w:name w:val="xl71"/>
    <w:basedOn w:val="Normal"/>
    <w:rsid w:val="005A79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color w:val="auto"/>
      <w:lang w:eastAsia="en-GB"/>
    </w:rPr>
  </w:style>
  <w:style w:type="paragraph" w:customStyle="1" w:styleId="xl72">
    <w:name w:val="xl72"/>
    <w:basedOn w:val="Normal"/>
    <w:rsid w:val="005A793B"/>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color w:val="auto"/>
      <w:lang w:eastAsia="en-GB"/>
    </w:rPr>
  </w:style>
  <w:style w:type="paragraph" w:customStyle="1" w:styleId="xl73">
    <w:name w:val="xl73"/>
    <w:basedOn w:val="Normal"/>
    <w:rsid w:val="005A79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auto"/>
      <w:lang w:eastAsia="en-GB"/>
    </w:rPr>
  </w:style>
  <w:style w:type="paragraph" w:customStyle="1" w:styleId="xl74">
    <w:name w:val="xl74"/>
    <w:basedOn w:val="Normal"/>
    <w:rsid w:val="005A79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lang w:eastAsia="en-GB"/>
    </w:rPr>
  </w:style>
  <w:style w:type="paragraph" w:customStyle="1" w:styleId="xl75">
    <w:name w:val="xl75"/>
    <w:basedOn w:val="Normal"/>
    <w:rsid w:val="005A79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auto"/>
      <w:lang w:eastAsia="en-GB"/>
    </w:rPr>
  </w:style>
  <w:style w:type="paragraph" w:customStyle="1" w:styleId="xl76">
    <w:name w:val="xl76"/>
    <w:basedOn w:val="Normal"/>
    <w:rsid w:val="005A793B"/>
    <w:pPr>
      <w:pBdr>
        <w:left w:val="single" w:sz="4" w:space="0" w:color="auto"/>
        <w:right w:val="single" w:sz="4" w:space="0" w:color="auto"/>
      </w:pBdr>
      <w:spacing w:before="100" w:beforeAutospacing="1" w:after="100" w:afterAutospacing="1"/>
      <w:jc w:val="center"/>
      <w:textAlignment w:val="center"/>
    </w:pPr>
    <w:rPr>
      <w:rFonts w:eastAsia="Times New Roman"/>
      <w:b/>
      <w:bCs/>
      <w:color w:val="auto"/>
      <w:lang w:eastAsia="en-GB"/>
    </w:rPr>
  </w:style>
  <w:style w:type="paragraph" w:customStyle="1" w:styleId="xl77">
    <w:name w:val="xl77"/>
    <w:basedOn w:val="Normal"/>
    <w:rsid w:val="005A793B"/>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auto"/>
      <w:lang w:eastAsia="en-GB"/>
    </w:rPr>
  </w:style>
  <w:style w:type="paragraph" w:customStyle="1" w:styleId="xl78">
    <w:name w:val="xl78"/>
    <w:basedOn w:val="Normal"/>
    <w:rsid w:val="005A79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color w:val="auto"/>
      <w:lang w:eastAsia="en-GB"/>
    </w:rPr>
  </w:style>
  <w:style w:type="paragraph" w:customStyle="1" w:styleId="xl79">
    <w:name w:val="xl79"/>
    <w:basedOn w:val="Normal"/>
    <w:rsid w:val="005A793B"/>
    <w:pPr>
      <w:spacing w:before="100" w:beforeAutospacing="1" w:after="100" w:afterAutospacing="1"/>
      <w:jc w:val="left"/>
    </w:pPr>
    <w:rPr>
      <w:rFonts w:eastAsia="Times New Roman"/>
      <w:color w:val="000000"/>
      <w:lang w:eastAsia="en-GB"/>
    </w:rPr>
  </w:style>
  <w:style w:type="paragraph" w:customStyle="1" w:styleId="xl80">
    <w:name w:val="xl80"/>
    <w:basedOn w:val="Normal"/>
    <w:rsid w:val="005A793B"/>
    <w:pPr>
      <w:pBdr>
        <w:top w:val="single" w:sz="4" w:space="0" w:color="auto"/>
        <w:left w:val="single" w:sz="4" w:space="0" w:color="auto"/>
        <w:right w:val="single" w:sz="4" w:space="0" w:color="auto"/>
      </w:pBdr>
      <w:spacing w:before="100" w:beforeAutospacing="1" w:after="100" w:afterAutospacing="1"/>
      <w:jc w:val="left"/>
    </w:pPr>
    <w:rPr>
      <w:rFonts w:eastAsia="Times New Roman"/>
      <w:color w:val="auto"/>
      <w:lang w:eastAsia="en-GB"/>
    </w:rPr>
  </w:style>
  <w:style w:type="paragraph" w:customStyle="1" w:styleId="xl81">
    <w:name w:val="xl81"/>
    <w:basedOn w:val="Normal"/>
    <w:rsid w:val="005A793B"/>
    <w:pPr>
      <w:pBdr>
        <w:top w:val="single" w:sz="4" w:space="0" w:color="auto"/>
        <w:left w:val="single" w:sz="4" w:space="0" w:color="auto"/>
        <w:right w:val="single" w:sz="4" w:space="0" w:color="auto"/>
      </w:pBdr>
      <w:spacing w:before="100" w:beforeAutospacing="1" w:after="100" w:afterAutospacing="1"/>
      <w:jc w:val="left"/>
    </w:pPr>
    <w:rPr>
      <w:rFonts w:eastAsia="Times New Roman"/>
      <w:color w:val="auto"/>
      <w:lang w:eastAsia="en-GB"/>
    </w:rPr>
  </w:style>
  <w:style w:type="paragraph" w:customStyle="1" w:styleId="xl82">
    <w:name w:val="xl82"/>
    <w:basedOn w:val="Normal"/>
    <w:rsid w:val="005A793B"/>
    <w:pPr>
      <w:pBdr>
        <w:left w:val="single" w:sz="4" w:space="0" w:color="auto"/>
      </w:pBdr>
      <w:spacing w:before="100" w:beforeAutospacing="1" w:after="100" w:afterAutospacing="1"/>
      <w:jc w:val="center"/>
      <w:textAlignment w:val="center"/>
    </w:pPr>
    <w:rPr>
      <w:rFonts w:eastAsia="Times New Roman"/>
      <w:b/>
      <w:bCs/>
      <w:color w:val="auto"/>
      <w:lang w:eastAsia="en-GB"/>
    </w:rPr>
  </w:style>
  <w:style w:type="paragraph" w:customStyle="1" w:styleId="xl83">
    <w:name w:val="xl83"/>
    <w:basedOn w:val="Normal"/>
    <w:rsid w:val="005A793B"/>
    <w:pPr>
      <w:pBdr>
        <w:left w:val="single" w:sz="4" w:space="0" w:color="auto"/>
        <w:bottom w:val="single" w:sz="4" w:space="0" w:color="auto"/>
      </w:pBdr>
      <w:spacing w:before="100" w:beforeAutospacing="1" w:after="100" w:afterAutospacing="1"/>
      <w:jc w:val="center"/>
      <w:textAlignment w:val="center"/>
    </w:pPr>
    <w:rPr>
      <w:rFonts w:eastAsia="Times New Roman"/>
      <w:b/>
      <w:bCs/>
      <w:color w:val="auto"/>
      <w:lang w:eastAsia="en-GB"/>
    </w:rPr>
  </w:style>
  <w:style w:type="paragraph" w:customStyle="1" w:styleId="xl84">
    <w:name w:val="xl84"/>
    <w:basedOn w:val="Normal"/>
    <w:rsid w:val="005A793B"/>
    <w:pPr>
      <w:pBdr>
        <w:left w:val="single" w:sz="4" w:space="0" w:color="auto"/>
        <w:bottom w:val="single" w:sz="4" w:space="0" w:color="auto"/>
        <w:right w:val="single" w:sz="4" w:space="0" w:color="auto"/>
      </w:pBdr>
      <w:spacing w:before="100" w:beforeAutospacing="1" w:after="100" w:afterAutospacing="1"/>
      <w:jc w:val="left"/>
    </w:pPr>
    <w:rPr>
      <w:rFonts w:eastAsia="Times New Roman"/>
      <w:color w:val="auto"/>
      <w:lang w:eastAsia="en-GB"/>
    </w:rPr>
  </w:style>
  <w:style w:type="paragraph" w:customStyle="1" w:styleId="xl85">
    <w:name w:val="xl85"/>
    <w:basedOn w:val="Normal"/>
    <w:rsid w:val="005A793B"/>
    <w:pPr>
      <w:pBdr>
        <w:left w:val="single" w:sz="4" w:space="0" w:color="auto"/>
        <w:bottom w:val="single" w:sz="4" w:space="0" w:color="auto"/>
        <w:right w:val="single" w:sz="4" w:space="0" w:color="auto"/>
      </w:pBdr>
      <w:spacing w:before="100" w:beforeAutospacing="1" w:after="100" w:afterAutospacing="1"/>
      <w:jc w:val="left"/>
    </w:pPr>
    <w:rPr>
      <w:rFonts w:eastAsia="Times New Roman"/>
      <w:color w:val="auto"/>
      <w:lang w:eastAsia="en-GB"/>
    </w:rPr>
  </w:style>
  <w:style w:type="numbering" w:customStyle="1" w:styleId="adeListeBulletseinfach">
    <w:name w:val="ade_Liste_Bullets_einfach"/>
    <w:basedOn w:val="NoList"/>
    <w:uiPriority w:val="99"/>
    <w:rsid w:val="00C00B50"/>
    <w:pPr>
      <w:numPr>
        <w:numId w:val="6"/>
      </w:numPr>
    </w:pPr>
  </w:style>
  <w:style w:type="numbering" w:customStyle="1" w:styleId="adeListeNumeinfach">
    <w:name w:val="ade_Liste_Num_einfach"/>
    <w:basedOn w:val="NoList"/>
    <w:uiPriority w:val="99"/>
    <w:rsid w:val="00C00B50"/>
    <w:pPr>
      <w:numPr>
        <w:numId w:val="4"/>
      </w:numPr>
    </w:pPr>
  </w:style>
  <w:style w:type="table" w:customStyle="1" w:styleId="adeTab01sw">
    <w:name w:val="ade_Tab_01_sw"/>
    <w:basedOn w:val="TableNormal"/>
    <w:uiPriority w:val="99"/>
    <w:rsid w:val="00C00B50"/>
    <w:pPr>
      <w:spacing w:before="60" w:after="60" w:line="240" w:lineRule="auto"/>
      <w:jc w:val="left"/>
    </w:pPr>
    <w:rPr>
      <w:rFonts w:asciiTheme="majorHAnsi" w:hAnsiTheme="majorHAnsi"/>
      <w:color w:val="auto"/>
      <w:lang w:val="de-DE"/>
    </w:rPr>
    <w:tblPr>
      <w:tblStyleRowBandSize w:val="1"/>
      <w:tblStyleColBandSize w:val="1"/>
    </w:tblPr>
    <w:tcPr>
      <w:shd w:val="clear" w:color="auto" w:fill="auto"/>
    </w:tcPr>
    <w:tblStylePr w:type="firstRow">
      <w:rPr>
        <w:rFonts w:asciiTheme="majorHAnsi" w:hAnsiTheme="majorHAnsi"/>
        <w:b/>
        <w:color w:val="auto"/>
      </w:rPr>
      <w:tblPr/>
      <w:tcPr>
        <w:tcBorders>
          <w:top w:val="single" w:sz="4" w:space="0" w:color="auto"/>
          <w:left w:val="single" w:sz="4" w:space="0" w:color="auto"/>
          <w:bottom w:val="single" w:sz="4" w:space="0" w:color="auto"/>
          <w:right w:val="single" w:sz="4" w:space="0" w:color="auto"/>
          <w:insideH w:val="single" w:sz="8" w:space="0" w:color="auto"/>
          <w:insideV w:val="single" w:sz="4" w:space="0" w:color="auto"/>
          <w:tl2br w:val="nil"/>
          <w:tr2bl w:val="nil"/>
        </w:tcBorders>
        <w:shd w:val="clear" w:color="auto" w:fill="auto"/>
      </w:tcPr>
    </w:tblStylePr>
    <w:tblStylePr w:type="lastRow">
      <w:rPr>
        <w:rFonts w:asciiTheme="majorHAnsi" w:hAnsiTheme="majorHAnsi"/>
        <w:b/>
        <w:color w:val="auto"/>
      </w:rPr>
      <w:tblPr/>
      <w:tcPr>
        <w:tcBorders>
          <w:top w:val="single" w:sz="12"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auto"/>
      </w:tcPr>
    </w:tblStylePr>
    <w:tblStylePr w:type="firstCol">
      <w:rPr>
        <w:rFonts w:asciiTheme="majorHAnsi" w:hAnsiTheme="majorHAnsi"/>
        <w:b/>
        <w:color w:val="auto"/>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shd w:val="clear" w:color="auto" w:fill="auto"/>
      </w:tcPr>
    </w:tblStylePr>
    <w:tblStylePr w:type="lastCol">
      <w:rPr>
        <w:b/>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shd w:val="clear" w:color="auto" w:fill="auto"/>
      </w:tcPr>
    </w:tblStylePr>
    <w:tblStylePr w:type="nwCel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auto"/>
      </w:tcPr>
    </w:tblStylePr>
    <w:tblStylePr w:type="seCell">
      <w:rPr>
        <w:b/>
      </w:rPr>
      <w:tblPr/>
      <w:tcPr>
        <w:tcBorders>
          <w:top w:val="single" w:sz="12" w:space="0" w:color="auto"/>
          <w:left w:val="single" w:sz="4" w:space="0" w:color="auto"/>
          <w:bottom w:val="single" w:sz="4" w:space="0" w:color="auto"/>
          <w:right w:val="single" w:sz="4" w:space="0" w:color="auto"/>
          <w:insideH w:val="nil"/>
          <w:insideV w:val="nil"/>
          <w:tl2br w:val="nil"/>
          <w:tr2bl w:val="nil"/>
        </w:tcBorders>
        <w:shd w:val="clear" w:color="auto" w:fill="auto"/>
      </w:tcPr>
    </w:tblStylePr>
    <w:tblStylePr w:type="swCell">
      <w:tblPr/>
      <w:tcPr>
        <w:tcBorders>
          <w:top w:val="single" w:sz="12" w:space="0" w:color="auto"/>
          <w:left w:val="single" w:sz="4" w:space="0" w:color="auto"/>
          <w:bottom w:val="single" w:sz="4" w:space="0" w:color="auto"/>
          <w:right w:val="single" w:sz="4" w:space="0" w:color="auto"/>
          <w:insideH w:val="nil"/>
          <w:insideV w:val="nil"/>
          <w:tl2br w:val="nil"/>
          <w:tr2bl w:val="nil"/>
        </w:tcBorders>
        <w:shd w:val="clear" w:color="auto" w:fill="auto"/>
      </w:tcPr>
    </w:tblStylePr>
  </w:style>
  <w:style w:type="paragraph" w:customStyle="1" w:styleId="adeBullet1">
    <w:name w:val="ade_Bullet_1"/>
    <w:basedOn w:val="Normal"/>
    <w:uiPriority w:val="19"/>
    <w:qFormat/>
    <w:rsid w:val="00A43A5F"/>
    <w:pPr>
      <w:tabs>
        <w:tab w:val="num" w:pos="284"/>
      </w:tabs>
      <w:spacing w:after="0" w:line="264" w:lineRule="auto"/>
      <w:ind w:left="284" w:hanging="284"/>
      <w:jc w:val="left"/>
    </w:pPr>
    <w:rPr>
      <w:rFonts w:asciiTheme="minorHAnsi" w:hAnsiTheme="minorHAnsi"/>
      <w:color w:val="auto"/>
      <w:kern w:val="2"/>
      <w14:ligatures w14:val="standardContextual"/>
    </w:rPr>
  </w:style>
  <w:style w:type="paragraph" w:customStyle="1" w:styleId="adeBullet2">
    <w:name w:val="ade_Bullet_2"/>
    <w:basedOn w:val="adeBullet1"/>
    <w:uiPriority w:val="19"/>
    <w:qFormat/>
    <w:rsid w:val="00A43A5F"/>
    <w:pPr>
      <w:tabs>
        <w:tab w:val="clear" w:pos="284"/>
      </w:tabs>
      <w:ind w:left="1080" w:hanging="360"/>
    </w:pPr>
  </w:style>
  <w:style w:type="paragraph" w:customStyle="1" w:styleId="adeBullet3">
    <w:name w:val="ade_Bullet_3"/>
    <w:basedOn w:val="adeBullet2"/>
    <w:uiPriority w:val="19"/>
    <w:qFormat/>
    <w:rsid w:val="00A43A5F"/>
    <w:pPr>
      <w:ind w:left="1800"/>
    </w:pPr>
  </w:style>
  <w:style w:type="paragraph" w:customStyle="1" w:styleId="adeNum1">
    <w:name w:val="ade_Num_1"/>
    <w:basedOn w:val="Normal"/>
    <w:uiPriority w:val="29"/>
    <w:qFormat/>
    <w:rsid w:val="00A43A5F"/>
    <w:pPr>
      <w:spacing w:after="0" w:line="264" w:lineRule="auto"/>
      <w:ind w:left="360" w:hanging="360"/>
      <w:jc w:val="left"/>
    </w:pPr>
    <w:rPr>
      <w:rFonts w:asciiTheme="minorHAnsi" w:hAnsiTheme="minorHAnsi"/>
      <w:color w:val="auto"/>
      <w:kern w:val="2"/>
      <w14:ligatures w14:val="standardContextual"/>
    </w:rPr>
  </w:style>
  <w:style w:type="paragraph" w:customStyle="1" w:styleId="adeNum2">
    <w:name w:val="ade_Num_2"/>
    <w:basedOn w:val="adeNum1"/>
    <w:uiPriority w:val="29"/>
    <w:qFormat/>
    <w:rsid w:val="00A43A5F"/>
    <w:pPr>
      <w:ind w:left="1080"/>
    </w:pPr>
  </w:style>
  <w:style w:type="paragraph" w:customStyle="1" w:styleId="adeNum3">
    <w:name w:val="ade_Num_3"/>
    <w:basedOn w:val="adeNum2"/>
    <w:uiPriority w:val="29"/>
    <w:semiHidden/>
    <w:unhideWhenUsed/>
    <w:qFormat/>
    <w:rsid w:val="00A43A5F"/>
    <w:pPr>
      <w:ind w:left="1800"/>
    </w:pPr>
  </w:style>
  <w:style w:type="character" w:customStyle="1" w:styleId="title-text">
    <w:name w:val="title-text"/>
    <w:basedOn w:val="DefaultParagraphFont"/>
    <w:rsid w:val="00D64D5C"/>
  </w:style>
  <w:style w:type="numbering" w:customStyle="1" w:styleId="adeListeUeberschriften">
    <w:name w:val="ade_Liste_Ueberschriften"/>
    <w:basedOn w:val="NoList"/>
    <w:uiPriority w:val="99"/>
    <w:rsid w:val="00CF3668"/>
    <w:pPr>
      <w:numPr>
        <w:numId w:val="10"/>
      </w:numPr>
    </w:pPr>
  </w:style>
  <w:style w:type="paragraph" w:customStyle="1" w:styleId="adeStandardohneAbstand">
    <w:name w:val="ade_Standard_ohne_Abstand"/>
    <w:basedOn w:val="Normal"/>
    <w:uiPriority w:val="1"/>
    <w:unhideWhenUsed/>
    <w:qFormat/>
    <w:rsid w:val="00CF3668"/>
    <w:pPr>
      <w:spacing w:after="0" w:line="264" w:lineRule="auto"/>
      <w:jc w:val="left"/>
    </w:pPr>
    <w:rPr>
      <w:rFonts w:asciiTheme="minorHAnsi" w:hAnsiTheme="minorHAnsi"/>
      <w:color w:val="auto"/>
      <w:kern w:val="2"/>
      <w14:ligatures w14:val="standardContextual"/>
    </w:rPr>
  </w:style>
  <w:style w:type="paragraph" w:customStyle="1" w:styleId="RBodyText">
    <w:name w:val="R Body Text"/>
    <w:link w:val="RBodyTextChar"/>
    <w:uiPriority w:val="3"/>
    <w:qFormat/>
    <w:rsid w:val="00793D00"/>
    <w:pPr>
      <w:spacing w:before="180" w:after="180" w:line="360" w:lineRule="auto"/>
      <w:jc w:val="left"/>
    </w:pPr>
    <w:rPr>
      <w:rFonts w:eastAsia="Times New Roman" w:cs="Arial"/>
      <w:bCs/>
      <w:color w:val="auto"/>
      <w:szCs w:val="32"/>
    </w:rPr>
  </w:style>
  <w:style w:type="character" w:customStyle="1" w:styleId="RBodyTextChar">
    <w:name w:val="R Body Text Char"/>
    <w:basedOn w:val="DefaultParagraphFont"/>
    <w:link w:val="RBodyText"/>
    <w:uiPriority w:val="3"/>
    <w:rsid w:val="00793D00"/>
    <w:rPr>
      <w:rFonts w:eastAsia="Times New Roman" w:cs="Arial"/>
      <w:bCs/>
      <w:color w:val="auto"/>
      <w:szCs w:val="32"/>
    </w:rPr>
  </w:style>
  <w:style w:type="paragraph" w:customStyle="1" w:styleId="adeAbstandSeite1">
    <w:name w:val="_ade_Abstand_Seite_1"/>
    <w:basedOn w:val="Header"/>
    <w:semiHidden/>
    <w:qFormat/>
    <w:rsid w:val="004041E0"/>
    <w:pPr>
      <w:spacing w:before="200" w:after="0" w:line="240" w:lineRule="auto"/>
      <w:jc w:val="left"/>
    </w:pPr>
    <w:rPr>
      <w:rFonts w:asciiTheme="minorHAnsi" w:hAnsiTheme="minorHAnsi"/>
      <w:color w:val="auto"/>
      <w:kern w:val="2"/>
      <w:sz w:val="14"/>
      <w:lang w:val="de-DE"/>
      <w14:ligatures w14:val="standardContextual"/>
    </w:rPr>
  </w:style>
  <w:style w:type="paragraph" w:customStyle="1" w:styleId="adeAdresse">
    <w:name w:val="_ade_Adresse"/>
    <w:basedOn w:val="Normal"/>
    <w:semiHidden/>
    <w:qFormat/>
    <w:rsid w:val="004041E0"/>
    <w:pPr>
      <w:spacing w:after="0" w:line="264" w:lineRule="auto"/>
      <w:jc w:val="left"/>
    </w:pPr>
    <w:rPr>
      <w:rFonts w:asciiTheme="minorHAnsi" w:hAnsiTheme="minorHAnsi"/>
      <w:color w:val="auto"/>
      <w:kern w:val="2"/>
      <w:lang w:val="de-DE"/>
      <w14:ligatures w14:val="standardContextual"/>
    </w:rPr>
  </w:style>
  <w:style w:type="paragraph" w:customStyle="1" w:styleId="adeBetreff">
    <w:name w:val="_ade_Betreff"/>
    <w:basedOn w:val="Normal"/>
    <w:semiHidden/>
    <w:qFormat/>
    <w:rsid w:val="004041E0"/>
    <w:pPr>
      <w:spacing w:before="200" w:after="600" w:line="264" w:lineRule="auto"/>
      <w:jc w:val="left"/>
    </w:pPr>
    <w:rPr>
      <w:rFonts w:asciiTheme="majorHAnsi" w:hAnsiTheme="majorHAnsi"/>
      <w:b/>
      <w:color w:val="auto"/>
      <w:kern w:val="2"/>
      <w:lang w:val="de-DE"/>
      <w14:ligatures w14:val="standardContextual"/>
    </w:rPr>
  </w:style>
  <w:style w:type="paragraph" w:customStyle="1" w:styleId="adeDokumenttyp">
    <w:name w:val="_ade_Dokumenttyp"/>
    <w:basedOn w:val="Normal"/>
    <w:semiHidden/>
    <w:qFormat/>
    <w:rsid w:val="004041E0"/>
    <w:pPr>
      <w:spacing w:before="200" w:after="200" w:line="264" w:lineRule="auto"/>
      <w:jc w:val="left"/>
    </w:pPr>
    <w:rPr>
      <w:rFonts w:asciiTheme="minorHAnsi" w:hAnsiTheme="minorHAnsi"/>
      <w:color w:val="auto"/>
      <w:kern w:val="2"/>
      <w:sz w:val="32"/>
      <w:lang w:val="de-DE"/>
      <w14:ligatures w14:val="standardContextual"/>
    </w:rPr>
  </w:style>
  <w:style w:type="paragraph" w:customStyle="1" w:styleId="adeFuzeileS1">
    <w:name w:val="_ade_Fußzeile_S1"/>
    <w:basedOn w:val="Footer"/>
    <w:semiHidden/>
    <w:qFormat/>
    <w:rsid w:val="004041E0"/>
    <w:pPr>
      <w:tabs>
        <w:tab w:val="right" w:pos="9616"/>
      </w:tabs>
      <w:spacing w:before="200" w:after="0" w:line="240" w:lineRule="auto"/>
      <w:ind w:right="567"/>
      <w:jc w:val="left"/>
    </w:pPr>
    <w:rPr>
      <w:rFonts w:asciiTheme="majorHAnsi" w:hAnsiTheme="majorHAnsi"/>
      <w:color w:val="00A6B6" w:themeColor="accent1"/>
      <w:kern w:val="2"/>
      <w:sz w:val="17"/>
      <w:lang w:val="de-DE"/>
      <w14:ligatures w14:val="standardContextual"/>
    </w:rPr>
  </w:style>
  <w:style w:type="paragraph" w:customStyle="1" w:styleId="adeInfoblock">
    <w:name w:val="_ade_Infoblock"/>
    <w:basedOn w:val="Normal"/>
    <w:semiHidden/>
    <w:qFormat/>
    <w:rsid w:val="004041E0"/>
    <w:pPr>
      <w:framePr w:hSpace="141" w:wrap="around" w:vAnchor="text" w:hAnchor="text" w:y="1"/>
      <w:spacing w:after="0"/>
      <w:suppressOverlap/>
      <w:jc w:val="left"/>
    </w:pPr>
    <w:rPr>
      <w:rFonts w:asciiTheme="minorHAnsi" w:hAnsiTheme="minorHAnsi"/>
      <w:color w:val="auto"/>
      <w:kern w:val="2"/>
      <w:sz w:val="17"/>
      <w:lang w:val="de-DE"/>
      <w14:ligatures w14:val="standardContextual"/>
    </w:rPr>
  </w:style>
  <w:style w:type="character" w:customStyle="1" w:styleId="adePfadangabe">
    <w:name w:val="_ade_Pfadangabe"/>
    <w:basedOn w:val="DefaultParagraphFont"/>
    <w:semiHidden/>
    <w:qFormat/>
    <w:rsid w:val="004041E0"/>
    <w:rPr>
      <w:sz w:val="10"/>
    </w:rPr>
  </w:style>
  <w:style w:type="paragraph" w:customStyle="1" w:styleId="adeSenderline">
    <w:name w:val="_ade_Senderline"/>
    <w:basedOn w:val="Normal"/>
    <w:semiHidden/>
    <w:qFormat/>
    <w:rsid w:val="004041E0"/>
    <w:pPr>
      <w:spacing w:after="0"/>
      <w:jc w:val="left"/>
    </w:pPr>
    <w:rPr>
      <w:rFonts w:ascii="Segoe UI Semibold" w:hAnsi="Segoe UI Semibold"/>
      <w:color w:val="auto"/>
      <w:kern w:val="2"/>
      <w:sz w:val="14"/>
      <w:lang w:val="de-DE"/>
      <w14:ligatures w14:val="standardContextual"/>
    </w:rPr>
  </w:style>
  <w:style w:type="paragraph" w:customStyle="1" w:styleId="adeMinimalabsatz">
    <w:name w:val="ade_Minimalabsatz"/>
    <w:basedOn w:val="Normal"/>
    <w:semiHidden/>
    <w:qFormat/>
    <w:rsid w:val="004041E0"/>
    <w:pPr>
      <w:spacing w:after="0"/>
      <w:jc w:val="left"/>
    </w:pPr>
    <w:rPr>
      <w:rFonts w:asciiTheme="minorHAnsi" w:hAnsiTheme="minorHAnsi"/>
      <w:color w:val="00A6B6" w:themeColor="accent1"/>
      <w:kern w:val="2"/>
      <w:sz w:val="2"/>
      <w:lang w:val="de-DE"/>
      <w14:ligatures w14:val="standardContextual"/>
    </w:rPr>
  </w:style>
  <w:style w:type="character" w:customStyle="1" w:styleId="adefett">
    <w:name w:val="ade_fett"/>
    <w:basedOn w:val="DefaultParagraphFont"/>
    <w:uiPriority w:val="7"/>
    <w:qFormat/>
    <w:rsid w:val="004041E0"/>
    <w:rPr>
      <w:b/>
    </w:rPr>
  </w:style>
  <w:style w:type="character" w:customStyle="1" w:styleId="adekursiv">
    <w:name w:val="ade_kursiv"/>
    <w:basedOn w:val="DefaultParagraphFont"/>
    <w:uiPriority w:val="7"/>
    <w:qFormat/>
    <w:rsid w:val="004041E0"/>
    <w:rPr>
      <w:i/>
    </w:rPr>
  </w:style>
  <w:style w:type="character" w:customStyle="1" w:styleId="adeunterstrichen">
    <w:name w:val="ade_unterstrichen"/>
    <w:basedOn w:val="DefaultParagraphFont"/>
    <w:uiPriority w:val="7"/>
    <w:qFormat/>
    <w:rsid w:val="004041E0"/>
    <w:rPr>
      <w:u w:val="single"/>
    </w:rPr>
  </w:style>
  <w:style w:type="character" w:customStyle="1" w:styleId="adefettkursiv">
    <w:name w:val="ade_fett_kursiv"/>
    <w:basedOn w:val="DefaultParagraphFont"/>
    <w:uiPriority w:val="8"/>
    <w:semiHidden/>
    <w:unhideWhenUsed/>
    <w:qFormat/>
    <w:rsid w:val="004041E0"/>
    <w:rPr>
      <w:b/>
      <w:i/>
    </w:rPr>
  </w:style>
  <w:style w:type="character" w:customStyle="1" w:styleId="adefettkursivunterstrichen">
    <w:name w:val="ade_fett_kursiv_unterstrichen"/>
    <w:basedOn w:val="DefaultParagraphFont"/>
    <w:uiPriority w:val="8"/>
    <w:semiHidden/>
    <w:unhideWhenUsed/>
    <w:qFormat/>
    <w:rsid w:val="004041E0"/>
    <w:rPr>
      <w:b/>
      <w:i/>
      <w:u w:val="single"/>
    </w:rPr>
  </w:style>
  <w:style w:type="character" w:customStyle="1" w:styleId="adefettunterstrichen">
    <w:name w:val="ade_fett_unterstrichen"/>
    <w:basedOn w:val="DefaultParagraphFont"/>
    <w:uiPriority w:val="8"/>
    <w:semiHidden/>
    <w:unhideWhenUsed/>
    <w:qFormat/>
    <w:rsid w:val="004041E0"/>
    <w:rPr>
      <w:b/>
      <w:u w:val="single"/>
    </w:rPr>
  </w:style>
  <w:style w:type="character" w:customStyle="1" w:styleId="adekursivunterstrichen">
    <w:name w:val="ade_kursiv_unterstrichen"/>
    <w:basedOn w:val="DefaultParagraphFont"/>
    <w:uiPriority w:val="8"/>
    <w:semiHidden/>
    <w:unhideWhenUsed/>
    <w:qFormat/>
    <w:rsid w:val="004041E0"/>
    <w:rPr>
      <w:i/>
      <w:u w:val="single"/>
    </w:rPr>
  </w:style>
  <w:style w:type="table" w:customStyle="1" w:styleId="adeTab024c">
    <w:name w:val="ade_Tab_02_4c"/>
    <w:basedOn w:val="TableNormal"/>
    <w:uiPriority w:val="99"/>
    <w:rsid w:val="004041E0"/>
    <w:pPr>
      <w:spacing w:before="60" w:after="60" w:line="240" w:lineRule="auto"/>
      <w:jc w:val="left"/>
    </w:pPr>
    <w:rPr>
      <w:rFonts w:asciiTheme="majorHAnsi" w:hAnsiTheme="majorHAnsi"/>
      <w:color w:val="auto"/>
      <w:lang w:val="de-DE"/>
    </w:rPr>
    <w:tblPr>
      <w:tblStyleRowBandSize w:val="1"/>
      <w:tblStyleColBandSize w:val="1"/>
    </w:tblPr>
    <w:tcPr>
      <w:tcBorders>
        <w:top w:val="single" w:sz="12" w:space="0" w:color="003CA7" w:themeColor="text2"/>
        <w:left w:val="nil"/>
        <w:bottom w:val="single" w:sz="4" w:space="0" w:color="75A6FF" w:themeColor="text2" w:themeTint="66"/>
        <w:right w:val="single" w:sz="4" w:space="0" w:color="75A6FF" w:themeColor="text2" w:themeTint="66"/>
        <w:insideH w:val="nil"/>
        <w:insideV w:val="nil"/>
        <w:tl2br w:val="nil"/>
        <w:tr2bl w:val="nil"/>
      </w:tcBorders>
      <w:shd w:val="clear" w:color="auto" w:fill="A3AAAE" w:themeFill="background2"/>
    </w:tcPr>
    <w:tblStylePr w:type="firstRow">
      <w:rPr>
        <w:rFonts w:asciiTheme="majorHAnsi" w:hAnsiTheme="majorHAnsi"/>
        <w:b/>
        <w:color w:val="00956E" w:themeColor="accent2"/>
      </w:rPr>
    </w:tblStylePr>
    <w:tblStylePr w:type="lastRow">
      <w:rPr>
        <w:rFonts w:asciiTheme="majorHAnsi" w:hAnsiTheme="majorHAnsi"/>
        <w:b/>
        <w:color w:val="auto"/>
      </w:rPr>
    </w:tblStylePr>
    <w:tblStylePr w:type="firstCol">
      <w:rPr>
        <w:rFonts w:asciiTheme="majorHAnsi" w:hAnsiTheme="majorHAnsi"/>
        <w:b/>
        <w:color w:val="00956E" w:themeColor="accent2"/>
      </w:rPr>
    </w:tblStylePr>
    <w:tblStylePr w:type="lastCol">
      <w:rPr>
        <w:b/>
      </w:rPr>
    </w:tblStylePr>
    <w:tblStylePr w:type="neCell">
      <w:rPr>
        <w:color w:val="00956E" w:themeColor="accent2"/>
      </w:rPr>
      <w:tblPr/>
      <w:tcPr>
        <w:shd w:val="clear" w:color="auto" w:fill="A3AAAE" w:themeFill="background2"/>
      </w:tcPr>
    </w:tblStylePr>
    <w:tblStylePr w:type="nwCell">
      <w:rPr>
        <w:color w:val="00956E" w:themeColor="accent2"/>
      </w:rPr>
      <w:tblPr/>
      <w:tcPr>
        <w:shd w:val="clear" w:color="auto" w:fill="A3AAAE" w:themeFill="background2"/>
      </w:tcPr>
    </w:tblStylePr>
  </w:style>
  <w:style w:type="table" w:customStyle="1" w:styleId="adeTab03Struktur">
    <w:name w:val="ade_Tab_03_Struktur"/>
    <w:basedOn w:val="TableNormal"/>
    <w:uiPriority w:val="99"/>
    <w:rsid w:val="004041E0"/>
    <w:pPr>
      <w:spacing w:before="60" w:after="60" w:line="240" w:lineRule="auto"/>
      <w:jc w:val="left"/>
    </w:pPr>
    <w:rPr>
      <w:rFonts w:asciiTheme="majorHAnsi" w:hAnsiTheme="majorHAnsi"/>
      <w:color w:val="auto"/>
      <w:lang w:val="de-DE"/>
    </w:rPr>
    <w:tblPr/>
  </w:style>
  <w:style w:type="paragraph" w:customStyle="1" w:styleId="adeBildabstand">
    <w:name w:val="ade_Bildabstand"/>
    <w:basedOn w:val="Normal"/>
    <w:next w:val="Caption"/>
    <w:uiPriority w:val="34"/>
    <w:semiHidden/>
    <w:unhideWhenUsed/>
    <w:qFormat/>
    <w:rsid w:val="004041E0"/>
    <w:pPr>
      <w:keepNext/>
      <w:spacing w:before="200" w:after="60" w:line="264" w:lineRule="auto"/>
      <w:jc w:val="left"/>
    </w:pPr>
    <w:rPr>
      <w:rFonts w:asciiTheme="minorHAnsi" w:hAnsiTheme="minorHAnsi"/>
      <w:color w:val="E97300" w:themeColor="accent4"/>
      <w:kern w:val="2"/>
      <w:lang w:val="de-DE"/>
      <w14:ligatures w14:val="standardContextual"/>
    </w:rPr>
  </w:style>
  <w:style w:type="paragraph" w:customStyle="1" w:styleId="adeLinks">
    <w:name w:val="ade_Links"/>
    <w:basedOn w:val="Normal"/>
    <w:uiPriority w:val="2"/>
    <w:semiHidden/>
    <w:unhideWhenUsed/>
    <w:qFormat/>
    <w:rsid w:val="004041E0"/>
    <w:pPr>
      <w:spacing w:before="200" w:after="200" w:line="264" w:lineRule="auto"/>
      <w:jc w:val="left"/>
    </w:pPr>
    <w:rPr>
      <w:rFonts w:asciiTheme="minorHAnsi" w:hAnsiTheme="minorHAnsi"/>
      <w:color w:val="auto"/>
      <w:kern w:val="2"/>
      <w:lang w:val="de-DE"/>
      <w14:ligatures w14:val="standardContextual"/>
    </w:rPr>
  </w:style>
  <w:style w:type="paragraph" w:customStyle="1" w:styleId="adeZentriert">
    <w:name w:val="ade_Zentriert"/>
    <w:basedOn w:val="Normal"/>
    <w:uiPriority w:val="3"/>
    <w:semiHidden/>
    <w:unhideWhenUsed/>
    <w:qFormat/>
    <w:rsid w:val="004041E0"/>
    <w:pPr>
      <w:spacing w:before="200" w:after="200" w:line="264" w:lineRule="auto"/>
      <w:jc w:val="center"/>
    </w:pPr>
    <w:rPr>
      <w:rFonts w:asciiTheme="minorHAnsi" w:hAnsiTheme="minorHAnsi"/>
      <w:color w:val="auto"/>
      <w:kern w:val="2"/>
      <w:lang w:val="de-DE"/>
      <w14:ligatures w14:val="standardContextual"/>
    </w:rPr>
  </w:style>
  <w:style w:type="paragraph" w:customStyle="1" w:styleId="adeRechts">
    <w:name w:val="ade_Rechts"/>
    <w:basedOn w:val="Normal"/>
    <w:uiPriority w:val="4"/>
    <w:semiHidden/>
    <w:unhideWhenUsed/>
    <w:qFormat/>
    <w:rsid w:val="004041E0"/>
    <w:pPr>
      <w:spacing w:before="200" w:after="200" w:line="264" w:lineRule="auto"/>
      <w:jc w:val="right"/>
    </w:pPr>
    <w:rPr>
      <w:rFonts w:asciiTheme="minorHAnsi" w:hAnsiTheme="minorHAnsi"/>
      <w:color w:val="auto"/>
      <w:kern w:val="2"/>
      <w:lang w:val="de-DE"/>
      <w14:ligatures w14:val="standardContextual"/>
    </w:rPr>
  </w:style>
  <w:style w:type="paragraph" w:customStyle="1" w:styleId="opBuildingBlock">
    <w:name w:val="_op_BuildingBlock"/>
    <w:basedOn w:val="Normal"/>
    <w:next w:val="Normal"/>
    <w:semiHidden/>
    <w:qFormat/>
    <w:rsid w:val="004041E0"/>
    <w:pPr>
      <w:spacing w:before="200" w:after="200" w:line="276" w:lineRule="auto"/>
      <w:jc w:val="left"/>
    </w:pPr>
    <w:rPr>
      <w:rFonts w:asciiTheme="majorHAnsi" w:hAnsiTheme="majorHAnsi"/>
      <w:b/>
      <w:color w:val="7030A0"/>
      <w:kern w:val="2"/>
      <w:lang w:val="de-DE"/>
      <w14:ligatures w14:val="standardContextual"/>
    </w:rPr>
  </w:style>
  <w:style w:type="paragraph" w:customStyle="1" w:styleId="adeGrusszeile">
    <w:name w:val="_ade_Grusszeile"/>
    <w:basedOn w:val="adeAdresse"/>
    <w:semiHidden/>
    <w:qFormat/>
    <w:rsid w:val="004041E0"/>
    <w:pPr>
      <w:keepNext/>
      <w:spacing w:line="240" w:lineRule="auto"/>
    </w:pPr>
  </w:style>
  <w:style w:type="paragraph" w:customStyle="1" w:styleId="ade02Headline">
    <w:name w:val="ade_02_Headline"/>
    <w:basedOn w:val="Normal"/>
    <w:semiHidden/>
    <w:qFormat/>
    <w:rsid w:val="004041E0"/>
    <w:pPr>
      <w:spacing w:after="600" w:line="264" w:lineRule="auto"/>
      <w:jc w:val="left"/>
    </w:pPr>
    <w:rPr>
      <w:rFonts w:ascii="Cambria" w:hAnsi="Cambria"/>
      <w:color w:val="FFFFFF" w:themeColor="background1"/>
      <w:kern w:val="2"/>
      <w:sz w:val="48"/>
      <w:lang w:val="de-DE"/>
      <w14:ligatures w14:val="standardContextual"/>
    </w:rPr>
  </w:style>
  <w:style w:type="paragraph" w:customStyle="1" w:styleId="ade03Autorennamen">
    <w:name w:val="ade_03_Autorennamen"/>
    <w:basedOn w:val="Normal"/>
    <w:semiHidden/>
    <w:qFormat/>
    <w:rsid w:val="004041E0"/>
    <w:pPr>
      <w:spacing w:after="0" w:line="264" w:lineRule="auto"/>
      <w:jc w:val="left"/>
    </w:pPr>
    <w:rPr>
      <w:rFonts w:asciiTheme="majorHAnsi" w:hAnsiTheme="majorHAnsi"/>
      <w:color w:val="FFFFFF" w:themeColor="background1"/>
      <w:kern w:val="2"/>
      <w:lang w:val="de-DE"/>
      <w14:ligatures w14:val="standardContextual"/>
    </w:rPr>
  </w:style>
  <w:style w:type="paragraph" w:customStyle="1" w:styleId="adeZwischentitel10pt">
    <w:name w:val="ade_Zwischentitel_10_pt"/>
    <w:basedOn w:val="Normal"/>
    <w:next w:val="Normal"/>
    <w:semiHidden/>
    <w:unhideWhenUsed/>
    <w:qFormat/>
    <w:rsid w:val="004041E0"/>
    <w:pPr>
      <w:spacing w:before="200" w:after="0" w:line="264" w:lineRule="auto"/>
      <w:jc w:val="left"/>
    </w:pPr>
    <w:rPr>
      <w:rFonts w:asciiTheme="majorHAnsi" w:hAnsiTheme="majorHAnsi"/>
      <w:b/>
      <w:color w:val="E97300" w:themeColor="accent4"/>
      <w:kern w:val="2"/>
      <w:lang w:val="de-DE"/>
      <w14:ligatures w14:val="standardContextual"/>
    </w:rPr>
  </w:style>
  <w:style w:type="paragraph" w:customStyle="1" w:styleId="adeZwischentitel12pt">
    <w:name w:val="ade_Zwischentitel_12_pt"/>
    <w:basedOn w:val="adeZwischentitel10pt"/>
    <w:next w:val="Normal"/>
    <w:semiHidden/>
    <w:unhideWhenUsed/>
    <w:qFormat/>
    <w:rsid w:val="004041E0"/>
  </w:style>
  <w:style w:type="paragraph" w:customStyle="1" w:styleId="adeZwischentitel22pt">
    <w:name w:val="ade_Zwischentitel_22_pt"/>
    <w:basedOn w:val="adeZwischentitel12pt"/>
    <w:next w:val="Normal"/>
    <w:semiHidden/>
    <w:unhideWhenUsed/>
    <w:qFormat/>
    <w:rsid w:val="004041E0"/>
    <w:pPr>
      <w:spacing w:before="0" w:after="960"/>
    </w:pPr>
    <w:rPr>
      <w:sz w:val="44"/>
    </w:rPr>
  </w:style>
  <w:style w:type="paragraph" w:customStyle="1" w:styleId="adePubTitel">
    <w:name w:val="ade_Pub_Titel"/>
    <w:basedOn w:val="Normal"/>
    <w:semiHidden/>
    <w:unhideWhenUsed/>
    <w:qFormat/>
    <w:rsid w:val="004041E0"/>
    <w:pPr>
      <w:spacing w:before="200" w:after="200" w:line="264" w:lineRule="auto"/>
      <w:jc w:val="left"/>
    </w:pPr>
    <w:rPr>
      <w:rFonts w:asciiTheme="minorHAnsi" w:hAnsiTheme="minorHAnsi"/>
      <w:color w:val="auto"/>
      <w:kern w:val="2"/>
      <w:sz w:val="48"/>
      <w:lang w:val="de-DE"/>
      <w14:ligatures w14:val="standardContextual"/>
    </w:rPr>
  </w:style>
  <w:style w:type="paragraph" w:customStyle="1" w:styleId="adeBesondererHinweis">
    <w:name w:val="ade_Besonderer_Hinweis"/>
    <w:basedOn w:val="Normal"/>
    <w:semiHidden/>
    <w:unhideWhenUsed/>
    <w:qFormat/>
    <w:rsid w:val="004041E0"/>
    <w:pPr>
      <w:spacing w:before="200" w:after="0" w:line="264" w:lineRule="auto"/>
      <w:jc w:val="left"/>
    </w:pPr>
    <w:rPr>
      <w:rFonts w:ascii="Segoe UI Semibold" w:hAnsi="Segoe UI Semibold"/>
      <w:caps/>
      <w:color w:val="E97300" w:themeColor="accent4"/>
      <w:kern w:val="2"/>
      <w:u w:val="single"/>
      <w:lang w:val="de-DE"/>
      <w14:ligatures w14:val="standardContextual"/>
    </w:rPr>
  </w:style>
  <w:style w:type="paragraph" w:customStyle="1" w:styleId="adeZitat">
    <w:name w:val="ade_Zitat"/>
    <w:basedOn w:val="Normal"/>
    <w:semiHidden/>
    <w:unhideWhenUsed/>
    <w:qFormat/>
    <w:rsid w:val="004041E0"/>
    <w:pPr>
      <w:spacing w:before="200" w:after="200" w:line="264" w:lineRule="auto"/>
      <w:ind w:left="284"/>
      <w:jc w:val="left"/>
    </w:pPr>
    <w:rPr>
      <w:rFonts w:asciiTheme="minorHAnsi" w:hAnsiTheme="minorHAnsi"/>
      <w:i/>
      <w:color w:val="00A6B6" w:themeColor="accent1"/>
      <w:kern w:val="2"/>
      <w:sz w:val="22"/>
      <w:lang w:val="de-DE"/>
      <w14:ligatures w14:val="standardContextual"/>
    </w:rPr>
  </w:style>
  <w:style w:type="paragraph" w:customStyle="1" w:styleId="adeIntrotext">
    <w:name w:val="ade_Introtext"/>
    <w:basedOn w:val="Normal"/>
    <w:semiHidden/>
    <w:unhideWhenUsed/>
    <w:qFormat/>
    <w:rsid w:val="004041E0"/>
    <w:pPr>
      <w:spacing w:before="200" w:after="200" w:line="264" w:lineRule="auto"/>
      <w:jc w:val="left"/>
    </w:pPr>
    <w:rPr>
      <w:rFonts w:ascii="Segoe UI Semibold" w:hAnsi="Segoe UI Semibold"/>
      <w:color w:val="00A6B6" w:themeColor="accent1"/>
      <w:kern w:val="2"/>
      <w:lang w:val="de-DE"/>
      <w14:ligatures w14:val="standardContextual"/>
    </w:rPr>
  </w:style>
  <w:style w:type="paragraph" w:customStyle="1" w:styleId="adeTextboxberschrift">
    <w:name w:val="ade_Textbox_Überschrift"/>
    <w:basedOn w:val="Normal"/>
    <w:semiHidden/>
    <w:unhideWhenUsed/>
    <w:qFormat/>
    <w:rsid w:val="004041E0"/>
    <w:pPr>
      <w:spacing w:after="0" w:line="264" w:lineRule="auto"/>
      <w:jc w:val="left"/>
    </w:pPr>
    <w:rPr>
      <w:rFonts w:asciiTheme="majorHAnsi" w:hAnsiTheme="majorHAnsi"/>
      <w:b/>
      <w:caps/>
      <w:color w:val="00A6B6" w:themeColor="accent1"/>
      <w:sz w:val="18"/>
      <w:lang w:val="de-DE"/>
    </w:rPr>
  </w:style>
  <w:style w:type="paragraph" w:customStyle="1" w:styleId="adeAbkVerzeichnis">
    <w:name w:val="ade_AbkVerzeichnis"/>
    <w:basedOn w:val="Normal"/>
    <w:semiHidden/>
    <w:qFormat/>
    <w:rsid w:val="004041E0"/>
    <w:pPr>
      <w:tabs>
        <w:tab w:val="left" w:pos="851"/>
      </w:tabs>
      <w:spacing w:before="200" w:after="200" w:line="264" w:lineRule="auto"/>
      <w:ind w:left="851" w:right="1701" w:hanging="851"/>
      <w:contextualSpacing/>
      <w:jc w:val="left"/>
    </w:pPr>
    <w:rPr>
      <w:rFonts w:asciiTheme="minorHAnsi" w:hAnsiTheme="minorHAnsi"/>
      <w:color w:val="auto"/>
      <w:kern w:val="2"/>
      <w:lang w:val="de-DE"/>
      <w14:ligatures w14:val="standardContextual"/>
    </w:rPr>
  </w:style>
  <w:style w:type="paragraph" w:customStyle="1" w:styleId="adeberschrift1imKasten">
    <w:name w:val="ade_Überschrift_1_im_Kasten"/>
    <w:basedOn w:val="Heading1"/>
    <w:semiHidden/>
    <w:unhideWhenUsed/>
    <w:qFormat/>
    <w:rsid w:val="00412BAE"/>
    <w:pPr>
      <w:pageBreakBefore/>
      <w:framePr w:w="9639" w:wrap="around" w:hAnchor="margin" w:yAlign="top"/>
      <w:numPr>
        <w:numId w:val="0"/>
      </w:numPr>
      <w:pBdr>
        <w:bottom w:val="none" w:sz="0" w:space="0" w:color="auto"/>
      </w:pBdr>
      <w:spacing w:before="0" w:after="960" w:line="264" w:lineRule="auto"/>
      <w:ind w:left="2880" w:hanging="360"/>
      <w:jc w:val="left"/>
    </w:pPr>
    <w:rPr>
      <w:b/>
      <w:bCs/>
      <w:caps w:val="0"/>
      <w:color w:val="E97300" w:themeColor="accent4"/>
      <w:kern w:val="2"/>
      <w:sz w:val="44"/>
      <w:szCs w:val="28"/>
      <w:lang w:val="de-DE"/>
      <w14:ligatures w14:val="standardContextual"/>
    </w:rPr>
  </w:style>
  <w:style w:type="paragraph" w:customStyle="1" w:styleId="adeZwischentitel22ptimKasten">
    <w:name w:val="ade_Zwischentitel_22_pt_im_Kasten"/>
    <w:basedOn w:val="adeZwischentitel22pt"/>
    <w:semiHidden/>
    <w:qFormat/>
    <w:rsid w:val="004041E0"/>
    <w:pPr>
      <w:framePr w:w="9639" w:wrap="around" w:hAnchor="margin" w:yAlign="top"/>
    </w:pPr>
  </w:style>
  <w:style w:type="paragraph" w:customStyle="1" w:styleId="adeTextboxText">
    <w:name w:val="ade_Textbox_Text"/>
    <w:basedOn w:val="Normal"/>
    <w:semiHidden/>
    <w:unhideWhenUsed/>
    <w:qFormat/>
    <w:rsid w:val="004041E0"/>
    <w:pPr>
      <w:spacing w:after="0" w:line="264" w:lineRule="auto"/>
      <w:jc w:val="left"/>
    </w:pPr>
    <w:rPr>
      <w:rFonts w:asciiTheme="majorHAnsi" w:hAnsiTheme="majorHAnsi"/>
      <w:color w:val="auto"/>
      <w:sz w:val="18"/>
      <w:lang w:val="de-DE"/>
    </w:rPr>
  </w:style>
  <w:style w:type="paragraph" w:customStyle="1" w:styleId="adeEpilog">
    <w:name w:val="_ade_Epilog"/>
    <w:basedOn w:val="Normal"/>
    <w:semiHidden/>
    <w:qFormat/>
    <w:rsid w:val="004041E0"/>
    <w:pPr>
      <w:spacing w:before="200" w:after="200" w:line="264" w:lineRule="auto"/>
      <w:ind w:right="1701"/>
      <w:jc w:val="left"/>
    </w:pPr>
    <w:rPr>
      <w:rFonts w:asciiTheme="minorHAnsi" w:hAnsiTheme="minorHAnsi"/>
      <w:color w:val="auto"/>
      <w:kern w:val="2"/>
      <w:lang w:val="de-DE"/>
      <w14:ligatures w14:val="standardContextual"/>
    </w:rPr>
  </w:style>
  <w:style w:type="paragraph" w:customStyle="1" w:styleId="ade03Autorennamenfett">
    <w:name w:val="ade_03_Autorennamen_fett"/>
    <w:basedOn w:val="ade03Autorennamen"/>
    <w:semiHidden/>
    <w:qFormat/>
    <w:rsid w:val="004041E0"/>
    <w:rPr>
      <w:rFonts w:ascii="Segoe UI Semibold" w:hAnsi="Segoe UI Semibold"/>
    </w:rPr>
  </w:style>
  <w:style w:type="paragraph" w:customStyle="1" w:styleId="ade01Topline">
    <w:name w:val="ade_01_Topline"/>
    <w:basedOn w:val="Normal"/>
    <w:semiHidden/>
    <w:qFormat/>
    <w:rsid w:val="004041E0"/>
    <w:pPr>
      <w:spacing w:after="0" w:line="264" w:lineRule="auto"/>
      <w:jc w:val="left"/>
    </w:pPr>
    <w:rPr>
      <w:rFonts w:ascii="Segoe UI Semibold" w:hAnsi="Segoe UI Semibold"/>
      <w:caps/>
      <w:color w:val="FFFFFF" w:themeColor="background1"/>
      <w:kern w:val="2"/>
      <w:lang w:val="de-DE"/>
      <w14:ligatures w14:val="standardContextual"/>
    </w:rPr>
  </w:style>
  <w:style w:type="paragraph" w:customStyle="1" w:styleId="ade01Toplinerot">
    <w:name w:val="ade_01_Topline_rot"/>
    <w:basedOn w:val="ade01Topline"/>
    <w:semiHidden/>
    <w:qFormat/>
    <w:rsid w:val="004041E0"/>
    <w:rPr>
      <w:color w:val="E97300" w:themeColor="accent4"/>
    </w:rPr>
  </w:style>
  <w:style w:type="paragraph" w:customStyle="1" w:styleId="Titredocument">
    <w:name w:val="Titre document"/>
    <w:basedOn w:val="Normal"/>
    <w:next w:val="Normal"/>
    <w:rsid w:val="00E03B9A"/>
    <w:pPr>
      <w:overflowPunct w:val="0"/>
      <w:autoSpaceDE w:val="0"/>
      <w:autoSpaceDN w:val="0"/>
      <w:adjustRightInd w:val="0"/>
      <w:spacing w:after="0"/>
      <w:jc w:val="center"/>
    </w:pPr>
    <w:rPr>
      <w:rFonts w:ascii="Verdana" w:eastAsia="Times New Roman" w:hAnsi="Verdana"/>
      <w:b/>
      <w:color w:val="auto"/>
      <w:sz w:val="32"/>
      <w:lang w:val="fr-FR" w:eastAsia="fr-FR"/>
    </w:rPr>
  </w:style>
  <w:style w:type="paragraph" w:customStyle="1" w:styleId="Body">
    <w:name w:val="Body"/>
    <w:basedOn w:val="Normal"/>
    <w:link w:val="BodyChar"/>
    <w:qFormat/>
    <w:rsid w:val="00EB09E0"/>
    <w:rPr>
      <w:rFonts w:ascii="Verdana" w:eastAsia="Times New Roman" w:hAnsi="Verdana"/>
      <w:color w:val="auto"/>
    </w:rPr>
  </w:style>
  <w:style w:type="character" w:customStyle="1" w:styleId="BodyChar">
    <w:name w:val="Body Char"/>
    <w:link w:val="Body"/>
    <w:rsid w:val="00EB09E0"/>
    <w:rPr>
      <w:rFonts w:ascii="Verdana" w:eastAsia="Times New Roman" w:hAnsi="Verdana" w:cs="Times New Roman"/>
      <w:color w:val="auto"/>
      <w:sz w:val="24"/>
      <w:szCs w:val="24"/>
    </w:rPr>
  </w:style>
  <w:style w:type="paragraph" w:customStyle="1" w:styleId="Text3">
    <w:name w:val="Text 3"/>
    <w:basedOn w:val="Normal"/>
    <w:rsid w:val="00EB09E0"/>
    <w:pPr>
      <w:tabs>
        <w:tab w:val="left" w:pos="2302"/>
      </w:tabs>
      <w:spacing w:after="240"/>
      <w:ind w:left="1202"/>
    </w:pPr>
    <w:rPr>
      <w:rFonts w:eastAsia="Times New Roman"/>
      <w:color w:val="auto"/>
    </w:rPr>
  </w:style>
  <w:style w:type="table" w:customStyle="1" w:styleId="Tablereporttemplate">
    <w:name w:val="Table report template"/>
    <w:basedOn w:val="TableNormal"/>
    <w:uiPriority w:val="59"/>
    <w:rsid w:val="00EB09E0"/>
    <w:pPr>
      <w:spacing w:before="40" w:after="40" w:line="240" w:lineRule="auto"/>
      <w:jc w:val="center"/>
    </w:pPr>
    <w:rPr>
      <w:rFonts w:ascii="Verdana" w:eastAsia="Calibri" w:hAnsi="Verdana" w:cs="Times New Roman"/>
      <w:color w:val="auto"/>
      <w:sz w:val="16"/>
      <w:szCs w:val="22"/>
      <w:lang w:val="de-DE"/>
    </w:rPr>
    <w:tblPr>
      <w:tblStyleRowBandSize w:val="1"/>
      <w:tblStyleColBandSize w:val="1"/>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40" w:beforeAutospacing="0" w:afterLines="0" w:after="40" w:afterAutospacing="0"/>
        <w:jc w:val="center"/>
      </w:pPr>
      <w:rPr>
        <w:rFonts w:ascii="Verdana" w:hAnsi="Verdana" w:cs="Arial" w:hint="default"/>
        <w:b/>
        <w:color w:val="FFFFFF"/>
        <w:sz w:val="16"/>
        <w:szCs w:val="16"/>
      </w:rPr>
      <w:tblPr/>
      <w:tcPr>
        <w:shd w:val="clear" w:color="auto" w:fill="0070C0"/>
      </w:tcPr>
    </w:tblStylePr>
    <w:tblStylePr w:type="lastRow">
      <w:rPr>
        <w:rFonts w:ascii="Arial" w:hAnsi="Arial" w:cs="Arial" w:hint="default"/>
        <w:sz w:val="16"/>
        <w:szCs w:val="16"/>
      </w:rPr>
    </w:tblStylePr>
    <w:tblStylePr w:type="firstCol">
      <w:pPr>
        <w:jc w:val="left"/>
      </w:pPr>
      <w:rPr>
        <w:rFonts w:ascii="Arial" w:hAnsi="Arial" w:cs="Arial" w:hint="default"/>
        <w:sz w:val="16"/>
        <w:szCs w:val="16"/>
      </w:rPr>
    </w:tblStylePr>
    <w:tblStylePr w:type="lastCol">
      <w:rPr>
        <w:rFonts w:ascii="Arial" w:hAnsi="Arial" w:cs="Arial" w:hint="default"/>
        <w:sz w:val="16"/>
        <w:szCs w:val="16"/>
      </w:rPr>
    </w:tblStylePr>
    <w:tblStylePr w:type="band1Vert">
      <w:rPr>
        <w:rFonts w:ascii="Arial" w:hAnsi="Arial" w:cs="Arial" w:hint="default"/>
        <w:sz w:val="16"/>
        <w:szCs w:val="16"/>
      </w:rPr>
    </w:tblStylePr>
    <w:tblStylePr w:type="band2Vert">
      <w:rPr>
        <w:rFonts w:ascii="Arial" w:hAnsi="Arial" w:cs="Arial" w:hint="default"/>
        <w:sz w:val="16"/>
        <w:szCs w:val="16"/>
      </w:rPr>
    </w:tblStylePr>
    <w:tblStylePr w:type="band1Horz">
      <w:rPr>
        <w:rFonts w:ascii="Arial" w:hAnsi="Arial" w:cs="Arial" w:hint="default"/>
        <w:sz w:val="16"/>
        <w:szCs w:val="16"/>
      </w:rPr>
    </w:tblStylePr>
    <w:tblStylePr w:type="band2Horz">
      <w:rPr>
        <w:rFonts w:ascii="Arial" w:hAnsi="Arial" w:cs="Arial" w:hint="default"/>
        <w:sz w:val="16"/>
        <w:szCs w:val="16"/>
      </w:rPr>
    </w:tblStylePr>
  </w:style>
  <w:style w:type="paragraph" w:customStyle="1" w:styleId="Normaldense">
    <w:name w:val="Normal dense"/>
    <w:basedOn w:val="Normal"/>
    <w:link w:val="NormaldenseChar"/>
    <w:qFormat/>
    <w:rsid w:val="00EB09E0"/>
    <w:pPr>
      <w:numPr>
        <w:numId w:val="10"/>
      </w:numPr>
    </w:pPr>
    <w:rPr>
      <w:rFonts w:ascii="Verdana" w:hAnsi="Verdana"/>
      <w:color w:val="auto"/>
      <w:lang w:eastAsia="ja-JP"/>
    </w:rPr>
  </w:style>
  <w:style w:type="character" w:customStyle="1" w:styleId="NormaldenseChar">
    <w:name w:val="Normal dense Char"/>
    <w:basedOn w:val="DefaultParagraphFont"/>
    <w:link w:val="Normaldense"/>
    <w:rsid w:val="00EB09E0"/>
    <w:rPr>
      <w:rFonts w:ascii="Verdana" w:hAnsi="Verdana" w:cs="Times New Roman"/>
      <w:color w:val="auto"/>
      <w:sz w:val="24"/>
      <w:szCs w:val="24"/>
      <w:lang w:eastAsia="ja-JP"/>
    </w:rPr>
  </w:style>
  <w:style w:type="paragraph" w:customStyle="1" w:styleId="bullettext">
    <w:name w:val="bullet text"/>
    <w:basedOn w:val="Body"/>
    <w:link w:val="bullettextChar"/>
    <w:qFormat/>
    <w:rsid w:val="00EB09E0"/>
    <w:pPr>
      <w:numPr>
        <w:numId w:val="11"/>
      </w:numPr>
    </w:pPr>
  </w:style>
  <w:style w:type="character" w:customStyle="1" w:styleId="bullettextChar">
    <w:name w:val="bullet text Char"/>
    <w:basedOn w:val="BodyChar"/>
    <w:link w:val="bullettext"/>
    <w:rsid w:val="00EB09E0"/>
    <w:rPr>
      <w:rFonts w:ascii="Verdana" w:eastAsia="Times New Roman" w:hAnsi="Verdana" w:cs="Times New Roman"/>
      <w:color w:val="auto"/>
      <w:sz w:val="24"/>
      <w:szCs w:val="24"/>
    </w:rPr>
  </w:style>
  <w:style w:type="paragraph" w:customStyle="1" w:styleId="AddressTR">
    <w:name w:val="AddressTR"/>
    <w:basedOn w:val="Normal"/>
    <w:next w:val="Normal"/>
    <w:rsid w:val="00EB09E0"/>
    <w:pPr>
      <w:spacing w:after="720"/>
      <w:ind w:left="5103"/>
      <w:jc w:val="left"/>
    </w:pPr>
    <w:rPr>
      <w:rFonts w:eastAsia="Times New Roman"/>
      <w:color w:val="auto"/>
    </w:rPr>
  </w:style>
  <w:style w:type="table" w:customStyle="1" w:styleId="Ricardo-AEATableStyle">
    <w:name w:val="Ricardo-AEA Table Style"/>
    <w:basedOn w:val="TableNormal"/>
    <w:uiPriority w:val="99"/>
    <w:qFormat/>
    <w:rsid w:val="00EB09E0"/>
    <w:pPr>
      <w:spacing w:after="0" w:line="240" w:lineRule="auto"/>
      <w:jc w:val="left"/>
    </w:pPr>
    <w:rPr>
      <w:rFonts w:eastAsia="Times New Roman" w:cs="Times New Roman"/>
      <w:color w:val="auto"/>
      <w:lang w:eastAsia="en-GB"/>
    </w:rPr>
    <w:tblPr/>
    <w:tcPr>
      <w:tcBorders>
        <w:top w:val="single" w:sz="6" w:space="0" w:color="auto"/>
        <w:left w:val="single" w:sz="6" w:space="0" w:color="auto"/>
        <w:bottom w:val="single" w:sz="6" w:space="0" w:color="auto"/>
        <w:right w:val="single" w:sz="6" w:space="0" w:color="auto"/>
        <w:insideH w:val="nil"/>
        <w:insideV w:val="nil"/>
        <w:tl2br w:val="nil"/>
        <w:tr2bl w:val="nil"/>
      </w:tcBorders>
      <w:shd w:val="pct15" w:color="auto" w:fill="auto"/>
    </w:tcPr>
    <w:tblStylePr w:type="firstRow">
      <w:pPr>
        <w:wordWrap/>
        <w:spacing w:beforeLines="0" w:beforeAutospacing="0" w:afterLines="0" w:afterAutospacing="0" w:line="240" w:lineRule="auto"/>
        <w:contextualSpacing w:val="0"/>
      </w:pPr>
      <w:rPr>
        <w:rFonts w:ascii="Arial" w:hAnsi="Arial"/>
        <w:b/>
        <w:color w:val="FFFFFF" w:themeColor="background1"/>
        <w:sz w:val="20"/>
      </w:rPr>
      <w:tblPr/>
      <w:tcPr>
        <w:shd w:val="clear" w:color="auto" w:fill="008000"/>
        <w:vAlign w:val="center"/>
      </w:tcPr>
    </w:tblStylePr>
    <w:tblStylePr w:type="firstCol">
      <w:rPr>
        <w:rFonts w:ascii="Arial" w:hAnsi="Arial"/>
      </w:rPr>
    </w:tblStylePr>
  </w:style>
  <w:style w:type="character" w:customStyle="1" w:styleId="Hyperlink1">
    <w:name w:val="Hyperlink.1"/>
    <w:basedOn w:val="DefaultParagraphFont"/>
    <w:rsid w:val="00EB09E0"/>
    <w:rPr>
      <w:rFonts w:ascii="Times New Roman" w:eastAsia="Times New Roman" w:hAnsi="Times New Roman" w:cs="Times New Roman"/>
      <w:color w:val="0000FF"/>
      <w:u w:val="single" w:color="0000FF"/>
    </w:rPr>
  </w:style>
  <w:style w:type="paragraph" w:customStyle="1" w:styleId="X07Table-03TextNormal">
    <w:name w:val="X07 Table - 03 Text Normal"/>
    <w:basedOn w:val="Normal"/>
    <w:link w:val="X07Table-03TextNormalChar"/>
    <w:rsid w:val="003E41E2"/>
    <w:pPr>
      <w:spacing w:after="0" w:line="288" w:lineRule="auto"/>
      <w:jc w:val="left"/>
    </w:pPr>
    <w:rPr>
      <w:rFonts w:ascii="Montserrat" w:hAnsi="Montserrat"/>
      <w:color w:val="auto"/>
      <w:sz w:val="16"/>
      <w:szCs w:val="16"/>
    </w:rPr>
  </w:style>
  <w:style w:type="paragraph" w:customStyle="1" w:styleId="X07Table-01HeaderBoldWhite">
    <w:name w:val="X07 Table - 01 Header Bold White"/>
    <w:rsid w:val="003E41E2"/>
    <w:pPr>
      <w:spacing w:after="0"/>
      <w:jc w:val="center"/>
    </w:pPr>
    <w:rPr>
      <w:rFonts w:ascii="Montserrat" w:hAnsi="Montserrat"/>
      <w:b/>
      <w:color w:val="FFFFFF" w:themeColor="background1"/>
      <w:sz w:val="16"/>
      <w:szCs w:val="16"/>
      <w:lang w:val="en-US"/>
    </w:rPr>
  </w:style>
  <w:style w:type="paragraph" w:customStyle="1" w:styleId="x07Table-02SemiBlue">
    <w:name w:val="x07 Table - 02 Semi Blue"/>
    <w:basedOn w:val="Normal"/>
    <w:rsid w:val="003E41E2"/>
    <w:pPr>
      <w:spacing w:after="0" w:line="288" w:lineRule="auto"/>
      <w:jc w:val="center"/>
    </w:pPr>
    <w:rPr>
      <w:rFonts w:ascii="Montserrat SemiBold" w:hAnsi="Montserrat SemiBold"/>
      <w:b/>
      <w:color w:val="003CA7" w:themeColor="text2"/>
      <w:sz w:val="16"/>
    </w:rPr>
  </w:style>
  <w:style w:type="character" w:customStyle="1" w:styleId="X07Table-03TextNormalChar">
    <w:name w:val="X07 Table - 03 Text Normal Char"/>
    <w:basedOn w:val="DefaultParagraphFont"/>
    <w:link w:val="X07Table-03TextNormal"/>
    <w:rsid w:val="003E41E2"/>
    <w:rPr>
      <w:rFonts w:ascii="Montserrat" w:hAnsi="Montserrat" w:cs="Times New Roman"/>
      <w:color w:val="auto"/>
      <w:sz w:val="16"/>
      <w:szCs w:val="16"/>
    </w:rPr>
  </w:style>
  <w:style w:type="character" w:customStyle="1" w:styleId="mord">
    <w:name w:val="mord"/>
    <w:basedOn w:val="DefaultParagraphFont"/>
    <w:rsid w:val="003E41E2"/>
  </w:style>
  <w:style w:type="character" w:customStyle="1" w:styleId="vlist-s">
    <w:name w:val="vlist-s"/>
    <w:basedOn w:val="DefaultParagraphFont"/>
    <w:rsid w:val="003E41E2"/>
  </w:style>
  <w:style w:type="character" w:customStyle="1" w:styleId="mrel">
    <w:name w:val="mrel"/>
    <w:basedOn w:val="DefaultParagraphFont"/>
    <w:rsid w:val="003E41E2"/>
  </w:style>
  <w:style w:type="character" w:customStyle="1" w:styleId="mbin">
    <w:name w:val="mbin"/>
    <w:basedOn w:val="DefaultParagraphFont"/>
    <w:rsid w:val="003E41E2"/>
  </w:style>
  <w:style w:type="character" w:customStyle="1" w:styleId="CommentTextChar1">
    <w:name w:val="Comment Text Char1"/>
    <w:aliases w:val="Text poznámky Char1"/>
    <w:basedOn w:val="DefaultParagraphFont"/>
    <w:uiPriority w:val="99"/>
    <w:rsid w:val="003B27E6"/>
    <w:rPr>
      <w:sz w:val="20"/>
      <w:szCs w:val="20"/>
    </w:rPr>
  </w:style>
  <w:style w:type="character" w:customStyle="1" w:styleId="TOC211">
    <w:name w:val="TOC 211"/>
    <w:basedOn w:val="DefaultParagraphFont"/>
    <w:uiPriority w:val="99"/>
    <w:unhideWhenUsed/>
    <w:qFormat/>
    <w:rsid w:val="003B27E6"/>
    <w:rPr>
      <w:color w:val="003CA7"/>
      <w:u w:val="single"/>
    </w:rPr>
  </w:style>
  <w:style w:type="paragraph" w:customStyle="1" w:styleId="RSK-F1">
    <w:name w:val="RSK-F1"/>
    <w:basedOn w:val="Normal"/>
    <w:next w:val="FootnoteText"/>
    <w:uiPriority w:val="99"/>
    <w:qFormat/>
    <w:rsid w:val="003B27E6"/>
    <w:pPr>
      <w:spacing w:after="40"/>
    </w:pPr>
    <w:rPr>
      <w:rFonts w:asciiTheme="minorHAnsi" w:hAnsiTheme="minorHAnsi" w:cs="Arial"/>
      <w:color w:val="auto"/>
      <w:kern w:val="2"/>
      <w:sz w:val="16"/>
      <w:szCs w:val="22"/>
      <w:lang w:val="en-US"/>
      <w14:ligatures w14:val="standardContextual"/>
    </w:rPr>
  </w:style>
  <w:style w:type="character" w:customStyle="1" w:styleId="FootnoteTextChar1">
    <w:name w:val="Footnote Text Char1"/>
    <w:aliases w:val="Footnote Text (RMC) Char,Char Char1 Char,Char Car Char Char,Char Char Char,single space Char,Fußnotentextf Char1,Footnote text Char,fn Char,Schriftart: 9 pt Char,Schriftart: 10 pt Char,Schriftart: 8 pt Char,WB-Fußnotentext Char"/>
    <w:basedOn w:val="DefaultParagraphFont"/>
    <w:uiPriority w:val="99"/>
    <w:rsid w:val="003B27E6"/>
    <w:rPr>
      <w:sz w:val="20"/>
      <w:szCs w:val="20"/>
    </w:rPr>
  </w:style>
  <w:style w:type="character" w:customStyle="1" w:styleId="cf01">
    <w:name w:val="cf01"/>
    <w:basedOn w:val="DefaultParagraphFont"/>
    <w:rsid w:val="00747230"/>
    <w:rPr>
      <w:rFonts w:ascii="Segoe UI" w:hAnsi="Segoe UI" w:cs="Segoe UI" w:hint="default"/>
      <w:sz w:val="18"/>
      <w:szCs w:val="18"/>
    </w:rPr>
  </w:style>
  <w:style w:type="character" w:customStyle="1" w:styleId="cf11">
    <w:name w:val="cf11"/>
    <w:basedOn w:val="DefaultParagraphFont"/>
    <w:rsid w:val="00747230"/>
    <w:rPr>
      <w:rFonts w:ascii="Segoe UI" w:hAnsi="Segoe UI" w:cs="Segoe UI" w:hint="default"/>
      <w:i/>
      <w:iCs/>
      <w:sz w:val="18"/>
      <w:szCs w:val="18"/>
    </w:rPr>
  </w:style>
  <w:style w:type="paragraph" w:customStyle="1" w:styleId="Heading1COM">
    <w:name w:val="Heading 1_COM"/>
    <w:basedOn w:val="Heading1"/>
    <w:link w:val="Heading1COMChar"/>
    <w:uiPriority w:val="1"/>
    <w:qFormat/>
    <w:locked/>
    <w:rsid w:val="000D2D45"/>
    <w:pPr>
      <w:keepLines w:val="0"/>
      <w:numPr>
        <w:numId w:val="17"/>
      </w:numPr>
      <w:pBdr>
        <w:bottom w:val="none" w:sz="0" w:space="0" w:color="auto"/>
      </w:pBdr>
      <w:tabs>
        <w:tab w:val="left" w:pos="2302"/>
      </w:tabs>
    </w:pPr>
    <w:rPr>
      <w:rFonts w:ascii="Times New Roman" w:eastAsia="Times New Roman" w:hAnsi="Times New Roman" w:cs="Times New Roman"/>
      <w:b/>
      <w:caps w:val="0"/>
      <w:smallCaps/>
      <w:color w:val="auto"/>
      <w:sz w:val="28"/>
      <w:szCs w:val="22"/>
    </w:rPr>
  </w:style>
  <w:style w:type="character" w:customStyle="1" w:styleId="Heading1COMChar">
    <w:name w:val="Heading 1_COM Char"/>
    <w:basedOn w:val="DefaultParagraphFont"/>
    <w:link w:val="Heading1COM"/>
    <w:uiPriority w:val="1"/>
    <w:rsid w:val="000D2D45"/>
    <w:rPr>
      <w:rFonts w:ascii="Times New Roman" w:eastAsia="Times New Roman" w:hAnsi="Times New Roman" w:cs="Times New Roman"/>
      <w:b/>
      <w:smallCaps/>
      <w:color w:val="auto"/>
      <w:sz w:val="28"/>
      <w:szCs w:val="22"/>
    </w:rPr>
  </w:style>
  <w:style w:type="paragraph" w:customStyle="1" w:styleId="Heading2COM">
    <w:name w:val="Heading 2_COM"/>
    <w:basedOn w:val="Heading1COM"/>
    <w:link w:val="Heading2COMChar"/>
    <w:qFormat/>
    <w:locked/>
    <w:rsid w:val="00CD54F2"/>
    <w:pPr>
      <w:numPr>
        <w:ilvl w:val="1"/>
      </w:numPr>
      <w15:collapsed/>
    </w:pPr>
    <w:rPr>
      <w:smallCaps w:val="0"/>
    </w:rPr>
  </w:style>
  <w:style w:type="character" w:customStyle="1" w:styleId="Heading2COMChar">
    <w:name w:val="Heading 2_COM Char"/>
    <w:basedOn w:val="Heading1COMChar"/>
    <w:link w:val="Heading2COM"/>
    <w:rsid w:val="00CD54F2"/>
    <w:rPr>
      <w:rFonts w:ascii="Times New Roman" w:eastAsia="Times New Roman" w:hAnsi="Times New Roman" w:cs="Times New Roman"/>
      <w:b/>
      <w:smallCaps w:val="0"/>
      <w:color w:val="auto"/>
      <w:sz w:val="28"/>
      <w:szCs w:val="22"/>
    </w:rPr>
  </w:style>
  <w:style w:type="paragraph" w:customStyle="1" w:styleId="Heading3COM">
    <w:name w:val="Heading 3_COM"/>
    <w:basedOn w:val="Heading2COM"/>
    <w:link w:val="Heading3COMChar"/>
    <w:autoRedefine/>
    <w:qFormat/>
    <w:locked/>
    <w:rsid w:val="003055F2"/>
    <w:pPr>
      <w:numPr>
        <w:ilvl w:val="2"/>
      </w:numPr>
      <w:tabs>
        <w:tab w:val="clear" w:pos="2302"/>
        <w:tab w:val="left" w:pos="1080"/>
      </w:tabs>
      <w:outlineLvl w:val="2"/>
      <w15:collapsed w:val="0"/>
    </w:pPr>
    <w:rPr>
      <w:b w:val="0"/>
      <w:bCs/>
      <w:i/>
      <w:iCs/>
      <w:sz w:val="24"/>
    </w:rPr>
  </w:style>
  <w:style w:type="character" w:customStyle="1" w:styleId="Heading3COMChar">
    <w:name w:val="Heading 3_COM Char"/>
    <w:basedOn w:val="Heading2COMChar"/>
    <w:link w:val="Heading3COM"/>
    <w:rsid w:val="003055F2"/>
    <w:rPr>
      <w:rFonts w:ascii="Times New Roman" w:eastAsia="Times New Roman" w:hAnsi="Times New Roman" w:cs="Times New Roman"/>
      <w:b w:val="0"/>
      <w:bCs/>
      <w:i/>
      <w:iCs/>
      <w:smallCaps w:val="0"/>
      <w:color w:val="auto"/>
      <w:sz w:val="24"/>
      <w:szCs w:val="22"/>
    </w:rPr>
  </w:style>
  <w:style w:type="paragraph" w:customStyle="1" w:styleId="Heading4COM">
    <w:name w:val="Heading 4_COM"/>
    <w:basedOn w:val="Heading3COM"/>
    <w:link w:val="Heading4COMChar"/>
    <w:autoRedefine/>
    <w:qFormat/>
    <w:locked/>
    <w:rsid w:val="00AC6975"/>
    <w:pPr>
      <w:numPr>
        <w:ilvl w:val="3"/>
      </w:numPr>
    </w:pPr>
    <w:rPr>
      <w:rFonts w:eastAsiaTheme="majorEastAsia"/>
      <w:i w:val="0"/>
      <w:iCs w:val="0"/>
      <w:szCs w:val="24"/>
    </w:rPr>
  </w:style>
  <w:style w:type="character" w:customStyle="1" w:styleId="Heading4COMChar">
    <w:name w:val="Heading 4_COM Char"/>
    <w:basedOn w:val="Heading3COMChar"/>
    <w:link w:val="Heading4COM"/>
    <w:rsid w:val="00AC6975"/>
    <w:rPr>
      <w:rFonts w:ascii="Times New Roman" w:eastAsiaTheme="majorEastAsia" w:hAnsi="Times New Roman" w:cs="Times New Roman"/>
      <w:b w:val="0"/>
      <w:bCs/>
      <w:i w:val="0"/>
      <w:iCs w:val="0"/>
      <w:smallCaps w:val="0"/>
      <w:color w:val="auto"/>
      <w:sz w:val="24"/>
      <w:szCs w:val="24"/>
    </w:rPr>
  </w:style>
  <w:style w:type="paragraph" w:customStyle="1" w:styleId="Heading5COM">
    <w:name w:val="Heading 5_COM"/>
    <w:basedOn w:val="Heading4COM"/>
    <w:link w:val="Heading5COMChar"/>
    <w:qFormat/>
    <w:locked/>
    <w:rsid w:val="000D2D45"/>
    <w:pPr>
      <w:numPr>
        <w:ilvl w:val="4"/>
      </w:numPr>
    </w:pPr>
  </w:style>
  <w:style w:type="character" w:customStyle="1" w:styleId="Heading5COMChar">
    <w:name w:val="Heading 5_COM Char"/>
    <w:basedOn w:val="Heading4COMChar"/>
    <w:link w:val="Heading5COM"/>
    <w:rsid w:val="000D2D45"/>
    <w:rPr>
      <w:rFonts w:ascii="Times New Roman" w:eastAsiaTheme="majorEastAsia" w:hAnsi="Times New Roman" w:cs="Times New Roman"/>
      <w:b w:val="0"/>
      <w:bCs/>
      <w:i w:val="0"/>
      <w:iCs w:val="0"/>
      <w:smallCaps w:val="0"/>
      <w:color w:val="auto"/>
      <w:sz w:val="24"/>
      <w:szCs w:val="24"/>
    </w:rPr>
  </w:style>
  <w:style w:type="paragraph" w:customStyle="1" w:styleId="TOC11">
    <w:name w:val="TOC 11"/>
    <w:basedOn w:val="RRBaseHeadings"/>
    <w:next w:val="BodyText"/>
    <w:uiPriority w:val="1"/>
    <w:qFormat/>
    <w:rsid w:val="00A07417"/>
    <w:pPr>
      <w:tabs>
        <w:tab w:val="right" w:pos="9923"/>
      </w:tabs>
      <w:spacing w:before="60" w:after="60" w:line="240" w:lineRule="auto"/>
      <w:ind w:left="284" w:hanging="284"/>
    </w:pPr>
    <w:rPr>
      <w:rFonts w:ascii="Arial" w:eastAsia="MS PGothic" w:hAnsi="Arial"/>
      <w:caps/>
      <w:noProof/>
      <w:color w:val="1A4596"/>
    </w:rPr>
  </w:style>
  <w:style w:type="paragraph" w:customStyle="1" w:styleId="TOCHeading1">
    <w:name w:val="TOC Heading1"/>
    <w:basedOn w:val="RRBaseHeadings"/>
    <w:next w:val="BodyText"/>
    <w:uiPriority w:val="39"/>
    <w:unhideWhenUsed/>
    <w:qFormat/>
    <w:rsid w:val="00570BE3"/>
    <w:pPr>
      <w:spacing w:after="260" w:line="254" w:lineRule="auto"/>
    </w:pPr>
    <w:rPr>
      <w:rFonts w:ascii="Times New Roman" w:eastAsia="MS PGothic" w:hAnsi="Times New Roman"/>
      <w:b/>
      <w:color w:val="auto"/>
      <w:sz w:val="24"/>
    </w:rPr>
  </w:style>
  <w:style w:type="paragraph" w:customStyle="1" w:styleId="CMR-text">
    <w:name w:val="CMR - text"/>
    <w:basedOn w:val="Normal"/>
    <w:link w:val="CMR-textChar"/>
    <w:qFormat/>
    <w:rsid w:val="00AC6F6C"/>
    <w:pPr>
      <w:spacing w:before="240" w:after="240" w:line="276" w:lineRule="auto"/>
    </w:pPr>
    <w:rPr>
      <w:rFonts w:cstheme="minorBidi"/>
      <w:color w:val="auto"/>
      <w:sz w:val="22"/>
      <w:szCs w:val="22"/>
    </w:rPr>
  </w:style>
  <w:style w:type="character" w:customStyle="1" w:styleId="CMR-textChar">
    <w:name w:val="CMR - text Char"/>
    <w:basedOn w:val="DefaultParagraphFont"/>
    <w:link w:val="CMR-text"/>
    <w:rsid w:val="00AC6F6C"/>
    <w:rPr>
      <w:rFonts w:ascii="Times New Roman" w:hAnsi="Times New Roman"/>
      <w:color w:val="auto"/>
      <w:sz w:val="22"/>
      <w:szCs w:val="22"/>
    </w:rPr>
  </w:style>
  <w:style w:type="numbering" w:customStyle="1" w:styleId="NoList1">
    <w:name w:val="No List1"/>
    <w:next w:val="NoList"/>
    <w:uiPriority w:val="99"/>
    <w:semiHidden/>
    <w:unhideWhenUsed/>
    <w:rsid w:val="00A24B35"/>
  </w:style>
  <w:style w:type="paragraph" w:customStyle="1" w:styleId="BodyText1">
    <w:name w:val="Body Text1"/>
    <w:basedOn w:val="Normal"/>
    <w:next w:val="BodyText"/>
    <w:uiPriority w:val="1"/>
    <w:unhideWhenUsed/>
    <w:qFormat/>
    <w:rsid w:val="00A24B35"/>
    <w:pPr>
      <w:spacing w:line="276" w:lineRule="auto"/>
    </w:pPr>
    <w:rPr>
      <w:rFonts w:asciiTheme="minorHAnsi" w:hAnsiTheme="minorHAnsi" w:cs="Arial"/>
      <w:color w:val="auto"/>
      <w:kern w:val="2"/>
      <w:sz w:val="22"/>
      <w:szCs w:val="22"/>
      <w:lang w:val="en-US"/>
      <w14:ligatures w14:val="standardContextual"/>
    </w:rPr>
  </w:style>
  <w:style w:type="paragraph" w:customStyle="1" w:styleId="Tablelegend1">
    <w:name w:val="Table legend1"/>
    <w:basedOn w:val="RRBaseHeadings"/>
    <w:next w:val="BodyText"/>
    <w:uiPriority w:val="4"/>
    <w:qFormat/>
    <w:rsid w:val="00A24B35"/>
    <w:pPr>
      <w:pBdr>
        <w:top w:val="single" w:sz="4" w:space="3" w:color="A3AAAE"/>
        <w:bottom w:val="single" w:sz="4" w:space="3" w:color="A3AAAE"/>
      </w:pBdr>
      <w:spacing w:before="60" w:after="240" w:line="240" w:lineRule="auto"/>
    </w:pPr>
    <w:rPr>
      <w:rFonts w:ascii="Arial" w:eastAsia="MS PGothic" w:hAnsi="Arial"/>
      <w:bCs/>
      <w:color w:val="1A4596"/>
    </w:rPr>
  </w:style>
  <w:style w:type="paragraph" w:customStyle="1" w:styleId="Header1">
    <w:name w:val="Header1"/>
    <w:basedOn w:val="Normal"/>
    <w:next w:val="Header"/>
    <w:uiPriority w:val="99"/>
    <w:unhideWhenUsed/>
    <w:rsid w:val="00A24B35"/>
    <w:pPr>
      <w:spacing w:line="262" w:lineRule="auto"/>
    </w:pPr>
    <w:rPr>
      <w:rFonts w:asciiTheme="minorHAnsi" w:hAnsiTheme="minorHAnsi" w:cstheme="minorBidi"/>
      <w:color w:val="A3AAAE"/>
      <w:kern w:val="2"/>
      <w:sz w:val="16"/>
      <w:szCs w:val="22"/>
      <w:lang w:val="en-US"/>
      <w14:ligatures w14:val="standardContextual"/>
    </w:rPr>
  </w:style>
  <w:style w:type="paragraph" w:customStyle="1" w:styleId="Footer1">
    <w:name w:val="Footer1"/>
    <w:basedOn w:val="Normal"/>
    <w:next w:val="Footer"/>
    <w:uiPriority w:val="99"/>
    <w:unhideWhenUsed/>
    <w:rsid w:val="00A24B35"/>
    <w:pPr>
      <w:spacing w:line="262" w:lineRule="auto"/>
      <w:jc w:val="center"/>
    </w:pPr>
    <w:rPr>
      <w:rFonts w:asciiTheme="minorHAnsi" w:hAnsiTheme="minorHAnsi" w:cstheme="minorBidi"/>
      <w:color w:val="auto"/>
      <w:kern w:val="2"/>
      <w:sz w:val="16"/>
      <w:szCs w:val="22"/>
      <w:lang w:val="en-US"/>
      <w14:ligatures w14:val="standardContextual"/>
    </w:rPr>
  </w:style>
  <w:style w:type="paragraph" w:customStyle="1" w:styleId="TableofFigures1">
    <w:name w:val="Table of Figures1"/>
    <w:basedOn w:val="TOC1"/>
    <w:next w:val="Normal"/>
    <w:uiPriority w:val="99"/>
    <w:unhideWhenUsed/>
    <w:qFormat/>
    <w:rsid w:val="00A24B35"/>
    <w:pPr>
      <w:spacing w:before="0" w:after="100" w:line="259" w:lineRule="auto"/>
    </w:pPr>
    <w:rPr>
      <w:rFonts w:cstheme="minorBidi"/>
      <w:caps w:val="0"/>
      <w:color w:val="auto"/>
      <w:kern w:val="2"/>
      <w:sz w:val="22"/>
      <w:szCs w:val="22"/>
      <w:lang w:val="en-US"/>
      <w14:ligatures w14:val="standardContextual"/>
    </w:rPr>
  </w:style>
  <w:style w:type="paragraph" w:customStyle="1" w:styleId="TOC41">
    <w:name w:val="TOC 41"/>
    <w:basedOn w:val="TOC3"/>
    <w:next w:val="Normal"/>
    <w:autoRedefine/>
    <w:uiPriority w:val="1"/>
    <w:qFormat/>
    <w:rsid w:val="00A24B35"/>
    <w:pPr>
      <w:ind w:left="1531" w:hanging="1531"/>
    </w:pPr>
    <w:rPr>
      <w:rFonts w:ascii="Arial" w:eastAsia="MS PGothic" w:hAnsi="Arial"/>
      <w:color w:val="808080"/>
    </w:rPr>
  </w:style>
  <w:style w:type="table" w:customStyle="1" w:styleId="PlainTable21">
    <w:name w:val="Plain Table 21"/>
    <w:basedOn w:val="TableNormal"/>
    <w:next w:val="PlainTable2"/>
    <w:uiPriority w:val="42"/>
    <w:rsid w:val="00A24B35"/>
    <w:pPr>
      <w:spacing w:after="0" w:line="240" w:lineRule="auto"/>
    </w:pPr>
    <w:rPr>
      <w:color w:val="242828"/>
    </w:rPr>
    <w:tblPr>
      <w:tblStyleRowBandSize w:val="1"/>
      <w:tblStyleColBandSize w:val="1"/>
      <w:tblBorders>
        <w:top w:val="single" w:sz="4" w:space="0" w:color="8C9797"/>
        <w:bottom w:val="single" w:sz="4" w:space="0" w:color="8C9797"/>
      </w:tblBorders>
    </w:tblPr>
    <w:tblStylePr w:type="firstRow">
      <w:rPr>
        <w:b/>
        <w:bCs/>
      </w:rPr>
      <w:tblPr/>
      <w:tcPr>
        <w:tcBorders>
          <w:bottom w:val="single" w:sz="4" w:space="0" w:color="8C9797"/>
        </w:tcBorders>
      </w:tcPr>
    </w:tblStylePr>
    <w:tblStylePr w:type="lastRow">
      <w:rPr>
        <w:b/>
        <w:bCs/>
      </w:rPr>
      <w:tblPr/>
      <w:tcPr>
        <w:tcBorders>
          <w:top w:val="single" w:sz="4" w:space="0" w:color="8C9797"/>
        </w:tcBorders>
      </w:tcPr>
    </w:tblStylePr>
    <w:tblStylePr w:type="firstCol">
      <w:rPr>
        <w:b/>
        <w:bCs/>
      </w:rPr>
    </w:tblStylePr>
    <w:tblStylePr w:type="lastCol">
      <w:rPr>
        <w:b/>
        <w:bCs/>
      </w:rPr>
    </w:tblStylePr>
    <w:tblStylePr w:type="band1Vert">
      <w:tblPr/>
      <w:tcPr>
        <w:tcBorders>
          <w:left w:val="single" w:sz="4" w:space="0" w:color="8C9797"/>
          <w:right w:val="single" w:sz="4" w:space="0" w:color="8C9797"/>
        </w:tcBorders>
      </w:tcPr>
    </w:tblStylePr>
    <w:tblStylePr w:type="band2Vert">
      <w:tblPr/>
      <w:tcPr>
        <w:tcBorders>
          <w:left w:val="single" w:sz="4" w:space="0" w:color="8C9797"/>
          <w:right w:val="single" w:sz="4" w:space="0" w:color="8C9797"/>
        </w:tcBorders>
      </w:tcPr>
    </w:tblStylePr>
    <w:tblStylePr w:type="band1Horz">
      <w:tblPr/>
      <w:tcPr>
        <w:tcBorders>
          <w:top w:val="single" w:sz="4" w:space="0" w:color="8C9797"/>
          <w:bottom w:val="single" w:sz="4" w:space="0" w:color="8C9797"/>
        </w:tcBorders>
      </w:tcPr>
    </w:tblStylePr>
  </w:style>
  <w:style w:type="paragraph" w:customStyle="1" w:styleId="TOC31">
    <w:name w:val="TOC 31"/>
    <w:basedOn w:val="TOC2"/>
    <w:next w:val="Normal"/>
    <w:autoRedefine/>
    <w:uiPriority w:val="1"/>
    <w:qFormat/>
    <w:rsid w:val="00A24B35"/>
    <w:pPr>
      <w:spacing w:after="100" w:line="259" w:lineRule="auto"/>
      <w:ind w:left="220"/>
    </w:pPr>
    <w:rPr>
      <w:rFonts w:cstheme="minorBidi"/>
      <w:bCs/>
      <w:caps/>
      <w:color w:val="auto"/>
      <w:kern w:val="2"/>
      <w:sz w:val="22"/>
      <w:szCs w:val="22"/>
      <w:lang w:val="en-US"/>
      <w14:ligatures w14:val="standardContextual"/>
    </w:rPr>
  </w:style>
  <w:style w:type="table" w:customStyle="1" w:styleId="simpletable1">
    <w:name w:val="simple table1"/>
    <w:basedOn w:val="TableNormal"/>
    <w:next w:val="TableGrid"/>
    <w:uiPriority w:val="39"/>
    <w:rsid w:val="00A24B35"/>
    <w:pPr>
      <w:spacing w:after="0" w:line="240" w:lineRule="auto"/>
    </w:pPr>
    <w:rPr>
      <w:color w:val="242828"/>
    </w:rPr>
    <w:tblPr/>
  </w:style>
  <w:style w:type="table" w:customStyle="1" w:styleId="TableGrid11">
    <w:name w:val="Table Grid 11"/>
    <w:basedOn w:val="TableNormal"/>
    <w:next w:val="TableGrid1"/>
    <w:semiHidden/>
    <w:unhideWhenUsed/>
    <w:rsid w:val="00A24B35"/>
    <w:pPr>
      <w:ind w:left="737"/>
    </w:pPr>
    <w:rPr>
      <w:color w:val="242828"/>
    </w:rPr>
    <w:tblPr/>
    <w:tblStylePr w:type="lastRow">
      <w:rPr>
        <w:i/>
        <w:iCs/>
      </w:rPr>
    </w:tblStylePr>
    <w:tblStylePr w:type="lastCol">
      <w:rPr>
        <w:i/>
        <w:iCs/>
      </w:rPr>
    </w:tblStylePr>
  </w:style>
  <w:style w:type="paragraph" w:customStyle="1" w:styleId="Bibliography1">
    <w:name w:val="Bibliography1"/>
    <w:basedOn w:val="Normal"/>
    <w:next w:val="Normal"/>
    <w:uiPriority w:val="37"/>
    <w:unhideWhenUsed/>
    <w:rsid w:val="00A24B35"/>
    <w:rPr>
      <w:rFonts w:ascii="Arial" w:hAnsi="Arial" w:cs="Arial"/>
      <w:color w:val="242828"/>
      <w:sz w:val="20"/>
      <w:szCs w:val="22"/>
    </w:rPr>
  </w:style>
  <w:style w:type="paragraph" w:customStyle="1" w:styleId="TOC51">
    <w:name w:val="TOC 51"/>
    <w:basedOn w:val="Normal"/>
    <w:next w:val="Normal"/>
    <w:autoRedefine/>
    <w:uiPriority w:val="1"/>
    <w:unhideWhenUsed/>
    <w:qFormat/>
    <w:rsid w:val="00A24B35"/>
    <w:pPr>
      <w:spacing w:after="100"/>
      <w:ind w:left="800"/>
    </w:pPr>
    <w:rPr>
      <w:rFonts w:ascii="Arial" w:hAnsi="Arial" w:cstheme="minorBidi"/>
      <w:color w:val="242828"/>
      <w:sz w:val="20"/>
      <w:szCs w:val="20"/>
    </w:rPr>
  </w:style>
  <w:style w:type="paragraph" w:customStyle="1" w:styleId="Textpoznmky1">
    <w:name w:val="Text poznámky1"/>
    <w:basedOn w:val="Normal"/>
    <w:next w:val="CommentText"/>
    <w:uiPriority w:val="2"/>
    <w:unhideWhenUsed/>
    <w:rsid w:val="00A24B35"/>
    <w:rPr>
      <w:rFonts w:asciiTheme="minorHAnsi" w:hAnsiTheme="minorHAnsi" w:cstheme="minorBidi"/>
      <w:color w:val="auto"/>
      <w:kern w:val="2"/>
      <w:sz w:val="22"/>
      <w:szCs w:val="22"/>
      <w:lang w:val="en-US"/>
      <w14:ligatures w14:val="standardContextual"/>
    </w:rPr>
  </w:style>
  <w:style w:type="paragraph" w:customStyle="1" w:styleId="CommentSubject1">
    <w:name w:val="Comment Subject1"/>
    <w:basedOn w:val="CommentText"/>
    <w:next w:val="CommentText"/>
    <w:uiPriority w:val="99"/>
    <w:semiHidden/>
    <w:unhideWhenUsed/>
    <w:rsid w:val="00A24B35"/>
    <w:rPr>
      <w:rFonts w:ascii="Arial" w:hAnsi="Arial" w:cstheme="minorBidi"/>
      <w:b/>
      <w:bCs/>
      <w:color w:val="242828"/>
      <w:sz w:val="20"/>
      <w:szCs w:val="20"/>
    </w:rPr>
  </w:style>
  <w:style w:type="paragraph" w:customStyle="1" w:styleId="Revision1">
    <w:name w:val="Revision1"/>
    <w:next w:val="Revision"/>
    <w:hidden/>
    <w:uiPriority w:val="99"/>
    <w:semiHidden/>
    <w:rsid w:val="00A24B35"/>
    <w:pPr>
      <w:spacing w:after="0" w:line="240" w:lineRule="auto"/>
      <w:jc w:val="left"/>
    </w:pPr>
    <w:rPr>
      <w:color w:val="242828"/>
    </w:rPr>
  </w:style>
  <w:style w:type="paragraph" w:customStyle="1" w:styleId="BlockText1">
    <w:name w:val="Block Text1"/>
    <w:basedOn w:val="Normal"/>
    <w:next w:val="BlockText"/>
    <w:uiPriority w:val="99"/>
    <w:semiHidden/>
    <w:unhideWhenUsed/>
    <w:rsid w:val="00A24B35"/>
    <w:pPr>
      <w:pBdr>
        <w:top w:val="single" w:sz="2" w:space="10" w:color="007B88"/>
        <w:left w:val="single" w:sz="2" w:space="10" w:color="007B88"/>
        <w:bottom w:val="single" w:sz="2" w:space="10" w:color="007B88"/>
        <w:right w:val="single" w:sz="2" w:space="10" w:color="007B88"/>
      </w:pBdr>
      <w:spacing w:before="60" w:after="60" w:line="276" w:lineRule="auto"/>
      <w:ind w:left="1152" w:right="1152"/>
      <w:jc w:val="left"/>
    </w:pPr>
    <w:rPr>
      <w:rFonts w:ascii="Arial" w:eastAsia="MS PGothic" w:hAnsi="Arial" w:cs="Arial"/>
      <w:i/>
      <w:iCs/>
      <w:color w:val="007B88"/>
      <w:sz w:val="22"/>
      <w:szCs w:val="22"/>
      <w:lang w:val="en-US"/>
    </w:rPr>
  </w:style>
  <w:style w:type="paragraph" w:customStyle="1" w:styleId="EnvelopeReturn1">
    <w:name w:val="Envelope Return1"/>
    <w:basedOn w:val="Normal"/>
    <w:next w:val="EnvelopeReturn"/>
    <w:uiPriority w:val="99"/>
    <w:semiHidden/>
    <w:unhideWhenUsed/>
    <w:rsid w:val="00A24B35"/>
    <w:pPr>
      <w:spacing w:after="0"/>
      <w:jc w:val="left"/>
    </w:pPr>
    <w:rPr>
      <w:rFonts w:ascii="Arial" w:eastAsia="MS PGothic" w:hAnsi="Arial" w:cs="Arial"/>
      <w:color w:val="auto"/>
      <w:sz w:val="22"/>
      <w:szCs w:val="20"/>
      <w:lang w:val="en-US"/>
    </w:rPr>
  </w:style>
  <w:style w:type="paragraph" w:customStyle="1" w:styleId="MessageHeader1">
    <w:name w:val="Message Header1"/>
    <w:basedOn w:val="Normal"/>
    <w:next w:val="MessageHeader"/>
    <w:uiPriority w:val="99"/>
    <w:semiHidden/>
    <w:unhideWhenUsed/>
    <w:rsid w:val="00A24B35"/>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Theme="minorHAnsi" w:eastAsia="MS PGothic" w:hAnsiTheme="minorHAnsi" w:cs="Arial"/>
      <w:color w:val="auto"/>
      <w:kern w:val="2"/>
      <w:lang w:val="en-US"/>
      <w14:ligatures w14:val="standardContextual"/>
    </w:rPr>
  </w:style>
  <w:style w:type="paragraph" w:customStyle="1" w:styleId="TOAHeading1">
    <w:name w:val="TOA Heading1"/>
    <w:basedOn w:val="Normal"/>
    <w:next w:val="Normal"/>
    <w:uiPriority w:val="99"/>
    <w:semiHidden/>
    <w:unhideWhenUsed/>
    <w:rsid w:val="00A24B35"/>
    <w:pPr>
      <w:spacing w:after="60" w:line="276" w:lineRule="auto"/>
      <w:jc w:val="left"/>
    </w:pPr>
    <w:rPr>
      <w:rFonts w:ascii="Arial" w:eastAsia="MS PGothic" w:hAnsi="Arial" w:cs="Arial"/>
      <w:b/>
      <w:bCs/>
      <w:color w:val="auto"/>
      <w:lang w:val="en-US"/>
    </w:rPr>
  </w:style>
  <w:style w:type="table" w:customStyle="1" w:styleId="TableGridLight1">
    <w:name w:val="Table Grid Light1"/>
    <w:basedOn w:val="TableNormal"/>
    <w:next w:val="TableGridLight"/>
    <w:uiPriority w:val="40"/>
    <w:rsid w:val="00A24B35"/>
    <w:pPr>
      <w:spacing w:before="60" w:after="0" w:line="240" w:lineRule="auto"/>
      <w:jc w:val="left"/>
    </w:pPr>
    <w:rPr>
      <w:rFonts w:asciiTheme="minorHAnsi" w:eastAsia="Times New Roman" w:hAnsiTheme="minorHAnsi" w:cs="Times New Roman"/>
      <w:color w:val="auto"/>
      <w:sz w:val="22"/>
      <w:szCs w:val="22"/>
      <w:lang w:val="en-US"/>
    </w:rPr>
    <w:tblPr/>
  </w:style>
  <w:style w:type="table" w:customStyle="1" w:styleId="GridTable1Light-Accent41">
    <w:name w:val="Grid Table 1 Light - Accent 41"/>
    <w:basedOn w:val="TableNormal"/>
    <w:next w:val="GridTable1Light-Accent4"/>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FFC690"/>
        <w:left w:val="single" w:sz="4" w:space="0" w:color="FFC690"/>
        <w:bottom w:val="single" w:sz="4" w:space="0" w:color="FFC690"/>
        <w:right w:val="single" w:sz="4" w:space="0" w:color="FFC690"/>
        <w:insideH w:val="single" w:sz="4" w:space="0" w:color="FFC690"/>
        <w:insideV w:val="single" w:sz="4" w:space="0" w:color="FFC690"/>
      </w:tblBorders>
    </w:tblPr>
    <w:tblStylePr w:type="firstRow">
      <w:rPr>
        <w:b/>
        <w:bCs/>
      </w:rPr>
      <w:tblPr/>
      <w:tcPr>
        <w:tcBorders>
          <w:bottom w:val="single" w:sz="12" w:space="0" w:color="FFAA58"/>
        </w:tcBorders>
      </w:tcPr>
    </w:tblStylePr>
    <w:tblStylePr w:type="lastRow">
      <w:rPr>
        <w:b/>
        <w:bCs/>
      </w:rPr>
      <w:tblPr/>
      <w:tcPr>
        <w:tcBorders>
          <w:top w:val="double" w:sz="2" w:space="0" w:color="FFAA58"/>
        </w:tcBorders>
      </w:tcPr>
    </w:tblStylePr>
    <w:tblStylePr w:type="firstCol">
      <w:rPr>
        <w:b/>
        <w:bCs/>
      </w:rPr>
    </w:tblStylePr>
    <w:tblStylePr w:type="lastCol">
      <w:rPr>
        <w:b/>
        <w:bCs/>
      </w:rPr>
    </w:tblStylePr>
  </w:style>
  <w:style w:type="character" w:customStyle="1" w:styleId="BodyTextChar1">
    <w:name w:val="Body Text Char1"/>
    <w:basedOn w:val="DefaultParagraphFont"/>
    <w:uiPriority w:val="99"/>
    <w:semiHidden/>
    <w:rsid w:val="00A24B35"/>
  </w:style>
  <w:style w:type="table" w:customStyle="1" w:styleId="ColorfulGrid1">
    <w:name w:val="Colorful Grid1"/>
    <w:basedOn w:val="TableNormal"/>
    <w:next w:val="ColorfulGrid"/>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1D5D5"/>
    </w:tcPr>
    <w:tblStylePr w:type="firstRow">
      <w:rPr>
        <w:b/>
        <w:bCs/>
      </w:rPr>
      <w:tblPr/>
      <w:tcPr>
        <w:shd w:val="clear" w:color="auto" w:fill="A3ACAC"/>
      </w:tcPr>
    </w:tblStylePr>
    <w:tblStylePr w:type="lastRow">
      <w:rPr>
        <w:b/>
        <w:bCs/>
        <w:color w:val="242828"/>
      </w:rPr>
      <w:tblPr/>
      <w:tcPr>
        <w:shd w:val="clear" w:color="auto" w:fill="A3ACAC"/>
      </w:tcPr>
    </w:tblStylePr>
    <w:tblStylePr w:type="firstCol">
      <w:rPr>
        <w:color w:val="FFFFFF"/>
      </w:rPr>
    </w:tblStylePr>
    <w:tblStylePr w:type="lastCol">
      <w:rPr>
        <w:color w:val="FFFFFF"/>
      </w:rPr>
    </w:tblStylePr>
  </w:style>
  <w:style w:type="table" w:customStyle="1" w:styleId="ColorfulGrid-Accent11">
    <w:name w:val="Colorful Grid - Accent 11"/>
    <w:basedOn w:val="TableNormal"/>
    <w:next w:val="ColorfulGrid-Accent1"/>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BDF9FF"/>
    </w:tcPr>
    <w:tblStylePr w:type="firstRow">
      <w:rPr>
        <w:b/>
        <w:bCs/>
      </w:rPr>
      <w:tblPr/>
      <w:tcPr>
        <w:shd w:val="clear" w:color="auto" w:fill="7BF3FF"/>
      </w:tcPr>
    </w:tblStylePr>
    <w:tblStylePr w:type="lastRow">
      <w:rPr>
        <w:b/>
        <w:bCs/>
        <w:color w:val="242828"/>
      </w:rPr>
      <w:tblPr/>
      <w:tcPr>
        <w:shd w:val="clear" w:color="auto" w:fill="7BF3FF"/>
      </w:tcPr>
    </w:tblStylePr>
    <w:tblStylePr w:type="firstCol">
      <w:rPr>
        <w:color w:val="FFFFFF"/>
      </w:rPr>
      <w:tblPr/>
      <w:tcPr>
        <w:shd w:val="clear" w:color="auto" w:fill="007B88"/>
      </w:tcPr>
    </w:tblStylePr>
    <w:tblStylePr w:type="lastCol">
      <w:rPr>
        <w:color w:val="FFFFFF"/>
      </w:rPr>
    </w:tblStylePr>
  </w:style>
  <w:style w:type="table" w:customStyle="1" w:styleId="ColorfulGrid-Accent21">
    <w:name w:val="Colorful Grid - Accent 21"/>
    <w:basedOn w:val="TableNormal"/>
    <w:next w:val="ColorfulGrid-Accent2"/>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B6FFEB"/>
    </w:tcPr>
    <w:tblStylePr w:type="firstRow">
      <w:rPr>
        <w:b/>
        <w:bCs/>
      </w:rPr>
      <w:tblPr/>
      <w:tcPr>
        <w:shd w:val="clear" w:color="auto" w:fill="6EFFD8"/>
      </w:tcPr>
    </w:tblStylePr>
    <w:tblStylePr w:type="lastRow">
      <w:rPr>
        <w:b/>
        <w:bCs/>
        <w:color w:val="242828"/>
      </w:rPr>
      <w:tblPr/>
      <w:tcPr>
        <w:shd w:val="clear" w:color="auto" w:fill="6EFFD8"/>
      </w:tcPr>
    </w:tblStylePr>
    <w:tblStylePr w:type="firstCol">
      <w:rPr>
        <w:color w:val="FFFFFF"/>
      </w:rPr>
      <w:tblPr/>
      <w:tcPr>
        <w:shd w:val="clear" w:color="auto" w:fill="006F52"/>
      </w:tcPr>
    </w:tblStylePr>
    <w:tblStylePr w:type="lastCol">
      <w:rPr>
        <w:color w:val="FFFFFF"/>
      </w:rPr>
    </w:tblStylePr>
  </w:style>
  <w:style w:type="table" w:customStyle="1" w:styleId="ColorfulGrid-Accent31">
    <w:name w:val="Colorful Grid - Accent 31"/>
    <w:basedOn w:val="TableNormal"/>
    <w:next w:val="ColorfulGrid-Accent3"/>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EC7EA"/>
    </w:tcPr>
    <w:tblStylePr w:type="firstRow">
      <w:rPr>
        <w:b/>
        <w:bCs/>
      </w:rPr>
      <w:tblPr/>
      <w:tcPr>
        <w:shd w:val="clear" w:color="auto" w:fill="DE90D5"/>
      </w:tcPr>
    </w:tblStylePr>
    <w:tblStylePr w:type="lastRow">
      <w:rPr>
        <w:b/>
        <w:bCs/>
        <w:color w:val="242828"/>
      </w:rPr>
      <w:tblPr/>
      <w:tcPr>
        <w:shd w:val="clear" w:color="auto" w:fill="DE90D5"/>
      </w:tcPr>
    </w:tblStylePr>
    <w:tblStylePr w:type="firstCol">
      <w:rPr>
        <w:color w:val="FFFFFF"/>
      </w:rPr>
      <w:tblPr/>
      <w:tcPr>
        <w:shd w:val="clear" w:color="auto" w:fill="581A51"/>
      </w:tcPr>
    </w:tblStylePr>
    <w:tblStylePr w:type="lastCol">
      <w:rPr>
        <w:color w:val="FFFFFF"/>
      </w:rPr>
      <w:tblPr/>
      <w:tcPr>
        <w:shd w:val="clear" w:color="auto" w:fill="581A51"/>
      </w:tcPr>
    </w:tblStylePr>
  </w:style>
  <w:style w:type="table" w:customStyle="1" w:styleId="ColorfulGrid-Accent41">
    <w:name w:val="Colorful Grid - Accent 41"/>
    <w:basedOn w:val="TableNormal"/>
    <w:next w:val="ColorfulGrid-Accent4"/>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FE2C7"/>
    </w:tcPr>
    <w:tblStylePr w:type="firstRow">
      <w:rPr>
        <w:b/>
        <w:bCs/>
      </w:rPr>
      <w:tblPr/>
      <w:tcPr>
        <w:shd w:val="clear" w:color="auto" w:fill="FFC690"/>
      </w:tcPr>
    </w:tblStylePr>
    <w:tblStylePr w:type="lastRow">
      <w:rPr>
        <w:b/>
        <w:bCs/>
        <w:color w:val="242828"/>
      </w:rPr>
      <w:tblPr/>
      <w:tcPr>
        <w:shd w:val="clear" w:color="auto" w:fill="FFC690"/>
      </w:tcPr>
    </w:tblStylePr>
    <w:tblStylePr w:type="firstCol">
      <w:rPr>
        <w:color w:val="FFFFFF"/>
      </w:rPr>
      <w:tblPr/>
      <w:tcPr>
        <w:shd w:val="clear" w:color="auto" w:fill="AE5500"/>
      </w:tcPr>
    </w:tblStylePr>
    <w:tblStylePr w:type="lastCol">
      <w:rPr>
        <w:color w:val="FFFFFF"/>
      </w:rPr>
    </w:tblStylePr>
  </w:style>
  <w:style w:type="table" w:customStyle="1" w:styleId="ColorfulGrid-Accent51">
    <w:name w:val="Colorful Grid - Accent 51"/>
    <w:basedOn w:val="TableNormal"/>
    <w:next w:val="ColorfulGrid-Accent5"/>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5F6F6"/>
    </w:tcPr>
    <w:tblStylePr w:type="firstRow">
      <w:rPr>
        <w:b/>
        <w:bCs/>
      </w:rPr>
      <w:tblPr/>
      <w:tcPr>
        <w:shd w:val="clear" w:color="auto" w:fill="ECEDED"/>
      </w:tcPr>
    </w:tblStylePr>
    <w:tblStylePr w:type="lastRow">
      <w:rPr>
        <w:b/>
        <w:bCs/>
        <w:color w:val="242828"/>
      </w:rPr>
      <w:tblPr/>
      <w:tcPr>
        <w:shd w:val="clear" w:color="auto" w:fill="ECEDED"/>
      </w:tcPr>
    </w:tblStylePr>
    <w:tblStylePr w:type="firstCol">
      <w:rPr>
        <w:color w:val="FFFFFF"/>
      </w:rPr>
      <w:tblPr/>
      <w:tcPr>
        <w:shd w:val="clear" w:color="auto" w:fill="9A9E9E"/>
      </w:tcPr>
    </w:tblStylePr>
    <w:tblStylePr w:type="lastCol">
      <w:rPr>
        <w:color w:val="FFFFFF"/>
      </w:rPr>
    </w:tblStylePr>
  </w:style>
  <w:style w:type="table" w:customStyle="1" w:styleId="ColorfulGrid-Accent61">
    <w:name w:val="Colorful Grid - Accent 61"/>
    <w:basedOn w:val="TableNormal"/>
    <w:next w:val="ColorfulGrid-Accent6"/>
    <w:uiPriority w:val="73"/>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Pr w:type="firstRow">
      <w:rPr>
        <w:b/>
        <w:bCs/>
      </w:rPr>
    </w:tblStylePr>
    <w:tblStylePr w:type="lastRow">
      <w:rPr>
        <w:b/>
        <w:bCs/>
        <w:color w:val="242828"/>
      </w:rPr>
    </w:tblStylePr>
    <w:tblStylePr w:type="firstCol">
      <w:rPr>
        <w:color w:val="FFFFFF"/>
      </w:rPr>
    </w:tblStylePr>
    <w:tblStylePr w:type="lastCol">
      <w:rPr>
        <w:color w:val="FFFFFF"/>
      </w:rPr>
    </w:tblStylePr>
  </w:style>
  <w:style w:type="table" w:customStyle="1" w:styleId="ColorfulList1">
    <w:name w:val="Colorful List1"/>
    <w:basedOn w:val="TableNormal"/>
    <w:next w:val="ColorfulList"/>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8EAEA"/>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CCCC"/>
      </w:tcPr>
    </w:tblStylePr>
    <w:tblStylePr w:type="band1Horz">
      <w:tblPr/>
      <w:tcPr>
        <w:shd w:val="clear" w:color="auto" w:fill="D1D5D5"/>
      </w:tcPr>
    </w:tblStylePr>
  </w:style>
  <w:style w:type="table" w:customStyle="1" w:styleId="ColorfulList-Accent11">
    <w:name w:val="Colorful List - Accent 11"/>
    <w:basedOn w:val="TableNormal"/>
    <w:next w:val="ColorfulList-Accent1"/>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EFCFF"/>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7FF"/>
      </w:tcPr>
    </w:tblStylePr>
    <w:tblStylePr w:type="band1Horz">
      <w:tblPr/>
      <w:tcPr>
        <w:shd w:val="clear" w:color="auto" w:fill="BDF9FF"/>
      </w:tcPr>
    </w:tblStylePr>
  </w:style>
  <w:style w:type="table" w:customStyle="1" w:styleId="ColorfulList-Accent21">
    <w:name w:val="Colorful List - Accent 21"/>
    <w:basedOn w:val="TableNormal"/>
    <w:next w:val="ColorfulList-Accent2"/>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BFFF5"/>
    </w:tcPr>
    <w:tblStylePr w:type="firstRow">
      <w:rPr>
        <w:b/>
        <w:bCs/>
        <w:color w:val="FFFFFF"/>
      </w:rPr>
      <w:tblPr/>
      <w:tcPr>
        <w:tcBorders>
          <w:bottom w:val="single" w:sz="12" w:space="0" w:color="FFFFFF"/>
        </w:tcBorders>
        <w:shd w:val="clear" w:color="auto" w:fill="007757"/>
      </w:tcPr>
    </w:tblStylePr>
    <w:tblStylePr w:type="lastRow">
      <w:rPr>
        <w:b/>
        <w:bCs/>
        <w:color w:val="0077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E7"/>
      </w:tcPr>
    </w:tblStylePr>
    <w:tblStylePr w:type="band1Horz">
      <w:tblPr/>
      <w:tcPr>
        <w:shd w:val="clear" w:color="auto" w:fill="B6FFEB"/>
      </w:tcPr>
    </w:tblStylePr>
  </w:style>
  <w:style w:type="table" w:customStyle="1" w:styleId="ColorfulList-Accent31">
    <w:name w:val="Colorful List - Accent 31"/>
    <w:basedOn w:val="TableNormal"/>
    <w:next w:val="ColorfulList-Accent3"/>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7E4F4"/>
    </w:tcPr>
    <w:tblStylePr w:type="firstRow">
      <w:rPr>
        <w:b/>
        <w:bCs/>
        <w:color w:val="FFFFFF"/>
      </w:rPr>
      <w:tblPr/>
      <w:tcPr>
        <w:tcBorders>
          <w:bottom w:val="single" w:sz="12" w:space="0" w:color="FFFFFF"/>
        </w:tcBorders>
        <w:shd w:val="clear" w:color="auto" w:fill="BA5B00"/>
      </w:tcPr>
    </w:tblStylePr>
    <w:tblStylePr w:type="lastRow">
      <w:rPr>
        <w:b/>
        <w:bCs/>
        <w:color w:val="BA5B00"/>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BAE5"/>
      </w:tcPr>
    </w:tblStylePr>
    <w:tblStylePr w:type="band1Horz">
      <w:tblPr/>
      <w:tcPr>
        <w:shd w:val="clear" w:color="auto" w:fill="EEC7EA"/>
      </w:tcPr>
    </w:tblStylePr>
  </w:style>
  <w:style w:type="table" w:customStyle="1" w:styleId="ColorfulList-Accent41">
    <w:name w:val="Colorful List - Accent 41"/>
    <w:basedOn w:val="TableNormal"/>
    <w:next w:val="ColorfulList-Accent4"/>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FF1E3"/>
    </w:tcPr>
    <w:tblStylePr w:type="firstRow">
      <w:rPr>
        <w:b/>
        <w:bCs/>
        <w:color w:val="FFFFFF"/>
      </w:rPr>
      <w:tblPr/>
      <w:tcPr>
        <w:tcBorders>
          <w:bottom w:val="single" w:sz="12" w:space="0" w:color="FFFFFF"/>
        </w:tcBorders>
        <w:shd w:val="clear" w:color="auto" w:fill="5E1C57"/>
      </w:tcPr>
    </w:tblStylePr>
    <w:tblStylePr w:type="lastRow">
      <w:rPr>
        <w:b/>
        <w:bCs/>
        <w:color w:val="5E1C57"/>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BA"/>
      </w:tcPr>
    </w:tblStylePr>
    <w:tblStylePr w:type="band1Horz">
      <w:tblPr/>
      <w:tcPr>
        <w:shd w:val="clear" w:color="auto" w:fill="FFE2C7"/>
      </w:tcPr>
    </w:tblStylePr>
  </w:style>
  <w:style w:type="table" w:customStyle="1" w:styleId="ColorfulList-Accent51">
    <w:name w:val="Colorful List - Accent 51"/>
    <w:basedOn w:val="TableNormal"/>
    <w:next w:val="ColorfulList-Accent5"/>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AFAFA"/>
    </w:tcPr>
    <w:tblStylePr w:type="firstRow">
      <w:rPr>
        <w:b/>
        <w:bCs/>
        <w:color w:val="FFFFFF"/>
      </w:rPr>
      <w:tblPr/>
      <w:tcPr>
        <w:tcBorders>
          <w:bottom w:val="single" w:sz="12" w:space="0" w:color="FFFFFF"/>
        </w:tcBorders>
        <w:shd w:val="clear" w:color="auto" w:fill="007BB2"/>
      </w:tcPr>
    </w:tblStylePr>
    <w:tblStylePr w:type="lastRow">
      <w:rPr>
        <w:b/>
        <w:bCs/>
        <w:color w:val="007BB2"/>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F3F3"/>
      </w:tcPr>
    </w:tblStylePr>
    <w:tblStylePr w:type="band1Horz">
      <w:tblPr/>
      <w:tcPr>
        <w:shd w:val="clear" w:color="auto" w:fill="F5F6F6"/>
      </w:tcPr>
    </w:tblStylePr>
  </w:style>
  <w:style w:type="table" w:customStyle="1" w:styleId="ColorfulList-Accent61">
    <w:name w:val="Colorful List - Accent 61"/>
    <w:basedOn w:val="TableNormal"/>
    <w:next w:val="ColorfulList-Accent6"/>
    <w:uiPriority w:val="72"/>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2F6FF"/>
    </w:tcPr>
    <w:tblStylePr w:type="firstRow">
      <w:rPr>
        <w:b/>
        <w:bCs/>
        <w:color w:val="FFFFFF"/>
      </w:rPr>
      <w:tblPr/>
      <w:tcPr>
        <w:tcBorders>
          <w:bottom w:val="single" w:sz="12" w:space="0" w:color="FFFFFF"/>
        </w:tcBorders>
        <w:shd w:val="clear" w:color="auto" w:fill="A5A9A9"/>
      </w:tcPr>
    </w:tblStylePr>
    <w:tblStylePr w:type="lastRow">
      <w:rPr>
        <w:b/>
        <w:bCs/>
        <w:color w:val="A5A9A9"/>
      </w:rPr>
      <w:tblPr/>
      <w:tcPr>
        <w:tcBorders>
          <w:top w:val="single" w:sz="12" w:space="0" w:color="242828"/>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E9FF"/>
      </w:tcPr>
    </w:tblStylePr>
    <w:tblStylePr w:type="band1Horz">
      <w:tblPr/>
      <w:tcPr>
        <w:shd w:val="clear" w:color="auto" w:fill="C5EDFF"/>
      </w:tcPr>
    </w:tblStylePr>
  </w:style>
  <w:style w:type="table" w:customStyle="1" w:styleId="ColorfulShading1">
    <w:name w:val="Colorful Shading1"/>
    <w:basedOn w:val="TableNormal"/>
    <w:next w:val="ColorfulShading"/>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8EAEA"/>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51717"/>
      </w:tcPr>
    </w:tblStylePr>
    <w:tblStylePr w:type="firstCol">
      <w:rPr>
        <w:color w:val="FFFFFF"/>
      </w:rPr>
      <w:tblPr/>
      <w:tcPr>
        <w:tcBorders>
          <w:top w:val="nil"/>
          <w:left w:val="nil"/>
          <w:bottom w:val="nil"/>
          <w:right w:val="nil"/>
          <w:insideH w:val="single" w:sz="4" w:space="0" w:color="151717"/>
          <w:insideV w:val="nil"/>
        </w:tcBorders>
        <w:shd w:val="clear" w:color="auto" w:fill="151717"/>
      </w:tcPr>
    </w:tblStylePr>
    <w:tblStylePr w:type="lastCol">
      <w:rPr>
        <w:color w:val="FFFFFF"/>
      </w:rPr>
      <w:tblPr/>
      <w:tcPr>
        <w:tcBorders>
          <w:top w:val="nil"/>
          <w:left w:val="nil"/>
          <w:bottom w:val="nil"/>
          <w:right w:val="nil"/>
          <w:insideH w:val="nil"/>
          <w:insideV w:val="nil"/>
        </w:tcBorders>
        <w:shd w:val="clear" w:color="auto" w:fill="1B1D1D"/>
      </w:tcPr>
    </w:tblStylePr>
    <w:tblStylePr w:type="neCell">
      <w:rPr>
        <w:color w:val="242828"/>
      </w:rPr>
    </w:tblStylePr>
    <w:tblStylePr w:type="nwCell">
      <w:rPr>
        <w:color w:val="242828"/>
      </w:rPr>
    </w:tblStylePr>
  </w:style>
  <w:style w:type="table" w:customStyle="1" w:styleId="ColorfulShading-Accent11">
    <w:name w:val="Colorful Shading - Accent 11"/>
    <w:basedOn w:val="TableNormal"/>
    <w:next w:val="ColorfulShading-Accent1"/>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EFCFF"/>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636D"/>
      </w:tcPr>
    </w:tblStylePr>
    <w:tblStylePr w:type="firstCol">
      <w:rPr>
        <w:color w:val="FFFFFF"/>
      </w:rPr>
      <w:tblPr/>
      <w:tcPr>
        <w:tcBorders>
          <w:top w:val="nil"/>
          <w:left w:val="nil"/>
          <w:bottom w:val="nil"/>
          <w:right w:val="nil"/>
          <w:insideH w:val="single" w:sz="4" w:space="0" w:color="00636D"/>
          <w:insideV w:val="nil"/>
        </w:tcBorders>
        <w:shd w:val="clear" w:color="auto" w:fill="00636D"/>
      </w:tcPr>
    </w:tblStylePr>
    <w:tblStylePr w:type="lastCol">
      <w:rPr>
        <w:color w:val="FFFFFF"/>
      </w:rPr>
      <w:tblPr/>
      <w:tcPr>
        <w:tcBorders>
          <w:top w:val="nil"/>
          <w:left w:val="nil"/>
          <w:bottom w:val="nil"/>
          <w:right w:val="nil"/>
          <w:insideH w:val="nil"/>
          <w:insideV w:val="nil"/>
        </w:tcBorders>
        <w:shd w:val="clear" w:color="auto" w:fill="00636D"/>
      </w:tcPr>
    </w:tblStylePr>
    <w:tblStylePr w:type="band1Vert">
      <w:tblPr/>
      <w:tcPr>
        <w:shd w:val="clear" w:color="auto" w:fill="7BF3FF"/>
      </w:tcPr>
    </w:tblStylePr>
    <w:tblStylePr w:type="neCell">
      <w:rPr>
        <w:color w:val="242828"/>
      </w:rPr>
    </w:tblStylePr>
    <w:tblStylePr w:type="nwCell">
      <w:rPr>
        <w:color w:val="242828"/>
      </w:rPr>
    </w:tblStylePr>
  </w:style>
  <w:style w:type="table" w:customStyle="1" w:styleId="ColorfulShading-Accent21">
    <w:name w:val="Colorful Shading - Accent 21"/>
    <w:basedOn w:val="TableNormal"/>
    <w:next w:val="ColorfulShading-Accent2"/>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DBFFF5"/>
    </w:tcPr>
    <w:tblStylePr w:type="firstRow">
      <w:rPr>
        <w:b/>
        <w:bCs/>
      </w:rPr>
      <w:tblPr/>
      <w:tcPr>
        <w:tcBorders>
          <w:top w:val="nil"/>
          <w:left w:val="nil"/>
          <w:bottom w:val="single" w:sz="24" w:space="0" w:color="00956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5941"/>
      </w:tcPr>
    </w:tblStylePr>
    <w:tblStylePr w:type="firstCol">
      <w:rPr>
        <w:color w:val="FFFFFF"/>
      </w:rPr>
      <w:tblPr/>
      <w:tcPr>
        <w:tcBorders>
          <w:top w:val="nil"/>
          <w:left w:val="nil"/>
          <w:bottom w:val="nil"/>
          <w:right w:val="nil"/>
          <w:insideH w:val="single" w:sz="4" w:space="0" w:color="005941"/>
          <w:insideV w:val="nil"/>
        </w:tcBorders>
        <w:shd w:val="clear" w:color="auto" w:fill="005941"/>
      </w:tcPr>
    </w:tblStylePr>
    <w:tblStylePr w:type="lastCol">
      <w:rPr>
        <w:color w:val="FFFFFF"/>
      </w:rPr>
      <w:tblPr/>
      <w:tcPr>
        <w:tcBorders>
          <w:top w:val="nil"/>
          <w:left w:val="nil"/>
          <w:bottom w:val="nil"/>
          <w:right w:val="nil"/>
          <w:insideH w:val="nil"/>
          <w:insideV w:val="nil"/>
        </w:tcBorders>
        <w:shd w:val="clear" w:color="auto" w:fill="005941"/>
      </w:tcPr>
    </w:tblStylePr>
    <w:tblStylePr w:type="band1Vert">
      <w:tblPr/>
      <w:tcPr>
        <w:shd w:val="clear" w:color="auto" w:fill="6EFFD8"/>
      </w:tcPr>
    </w:tblStylePr>
    <w:tblStylePr w:type="neCell">
      <w:rPr>
        <w:color w:val="242828"/>
      </w:rPr>
    </w:tblStylePr>
    <w:tblStylePr w:type="nwCell">
      <w:rPr>
        <w:color w:val="242828"/>
      </w:rPr>
    </w:tblStylePr>
  </w:style>
  <w:style w:type="table" w:customStyle="1" w:styleId="ColorfulShading-Accent31">
    <w:name w:val="Colorful Shading - Accent 31"/>
    <w:basedOn w:val="TableNormal"/>
    <w:next w:val="ColorfulShading-Accent3"/>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7E4F4"/>
    </w:tcPr>
    <w:tblStylePr w:type="firstRow">
      <w:rPr>
        <w:b/>
        <w:bCs/>
      </w:rPr>
      <w:tblPr/>
      <w:tcPr>
        <w:tcBorders>
          <w:top w:val="nil"/>
          <w:left w:val="nil"/>
          <w:bottom w:val="single" w:sz="24" w:space="0" w:color="E973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61541"/>
      </w:tcPr>
    </w:tblStylePr>
    <w:tblStylePr w:type="firstCol">
      <w:rPr>
        <w:color w:val="FFFFFF"/>
      </w:rPr>
    </w:tblStylePr>
    <w:tblStylePr w:type="lastCol">
      <w:rPr>
        <w:color w:val="FFFFFF"/>
      </w:rPr>
    </w:tblStylePr>
  </w:style>
  <w:style w:type="table" w:customStyle="1" w:styleId="ColorfulShading-Accent41">
    <w:name w:val="Colorful Shading - Accent 41"/>
    <w:basedOn w:val="TableNormal"/>
    <w:next w:val="ColorfulShading-Accent4"/>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tcBorders>
        <w:top w:val="nil"/>
        <w:left w:val="nil"/>
        <w:bottom w:val="nil"/>
        <w:right w:val="nil"/>
      </w:tcBorders>
      <w:shd w:val="clear" w:color="auto" w:fill="FFF1E3"/>
    </w:tcPr>
    <w:tblStylePr w:type="firstRow">
      <w:rPr>
        <w:b/>
        <w:bCs/>
      </w:rPr>
      <w:tblPr/>
      <w:tcPr>
        <w:tcBorders>
          <w:top w:val="nil"/>
          <w:left w:val="nil"/>
          <w:bottom w:val="single" w:sz="24" w:space="0" w:color="76236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B4400"/>
      </w:tcPr>
    </w:tblStylePr>
    <w:tblStylePr w:type="firstCol">
      <w:rPr>
        <w:color w:val="FFFFFF"/>
      </w:rPr>
      <w:tblPr/>
      <w:tcPr>
        <w:tcBorders>
          <w:top w:val="nil"/>
          <w:left w:val="nil"/>
          <w:bottom w:val="nil"/>
          <w:right w:val="nil"/>
          <w:insideH w:val="single" w:sz="4" w:space="0" w:color="8B4400"/>
          <w:insideV w:val="nil"/>
        </w:tcBorders>
        <w:shd w:val="clear" w:color="auto" w:fill="8B4400"/>
      </w:tcPr>
    </w:tblStylePr>
    <w:tblStylePr w:type="lastCol">
      <w:rPr>
        <w:color w:val="FFFFFF"/>
      </w:rPr>
    </w:tblStylePr>
    <w:tblStylePr w:type="neCell">
      <w:rPr>
        <w:color w:val="242828"/>
      </w:rPr>
    </w:tblStylePr>
    <w:tblStylePr w:type="nwCell">
      <w:rPr>
        <w:color w:val="242828"/>
      </w:rPr>
    </w:tblStylePr>
  </w:style>
  <w:style w:type="table" w:customStyle="1" w:styleId="ColorfulShading-Accent51">
    <w:name w:val="Colorful Shading - Accent 51"/>
    <w:basedOn w:val="TableNormal"/>
    <w:next w:val="ColorfulShading-Accent5"/>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AFAFA"/>
    </w:tcPr>
    <w:tblStylePr w:type="firstRow">
      <w:rPr>
        <w:b/>
        <w:bCs/>
      </w:rPr>
      <w:tblPr/>
      <w:tcPr>
        <w:tcBorders>
          <w:top w:val="nil"/>
          <w:left w:val="nil"/>
          <w:bottom w:val="single" w:sz="24" w:space="0" w:color="009BDF"/>
          <w:right w:val="nil"/>
          <w:insideH w:val="nil"/>
          <w:insideV w:val="nil"/>
        </w:tcBorders>
        <w:shd w:val="clear" w:color="auto" w:fill="FFFFFF"/>
      </w:tcPr>
    </w:tblStylePr>
    <w:tblStylePr w:type="lastRow">
      <w:rPr>
        <w:b/>
        <w:bCs/>
        <w:color w:val="FFFFFF"/>
      </w:rPr>
    </w:tblStylePr>
    <w:tblStylePr w:type="firstCol">
      <w:rPr>
        <w:color w:val="FFFFFF"/>
      </w:rPr>
    </w:tblStylePr>
    <w:tblStylePr w:type="lastCol">
      <w:rPr>
        <w:color w:val="FFFFFF"/>
      </w:rPr>
    </w:tblStylePr>
    <w:tblStylePr w:type="neCell">
      <w:rPr>
        <w:color w:val="242828"/>
      </w:rPr>
    </w:tblStylePr>
    <w:tblStylePr w:type="nwCell">
      <w:rPr>
        <w:color w:val="242828"/>
      </w:rPr>
    </w:tblStylePr>
  </w:style>
  <w:style w:type="table" w:customStyle="1" w:styleId="ColorfulShading-Accent61">
    <w:name w:val="Colorful Shading - Accent 61"/>
    <w:basedOn w:val="TableNormal"/>
    <w:next w:val="ColorfulShading-Accent6"/>
    <w:uiPriority w:val="71"/>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2F6FF"/>
    </w:tcPr>
    <w:tblStylePr w:type="firstRow">
      <w:rPr>
        <w:b/>
        <w:bCs/>
      </w:rPr>
      <w:tblPr/>
      <w:tcPr>
        <w:tcBorders>
          <w:top w:val="nil"/>
          <w:left w:val="nil"/>
          <w:bottom w:val="single" w:sz="24" w:space="0" w:color="D0D2D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5C85"/>
      </w:tcPr>
    </w:tblStylePr>
    <w:tblStylePr w:type="firstCol">
      <w:rPr>
        <w:color w:val="FFFFFF"/>
      </w:rPr>
      <w:tblPr/>
      <w:tcPr>
        <w:tcBorders>
          <w:top w:val="nil"/>
          <w:left w:val="nil"/>
          <w:bottom w:val="nil"/>
          <w:right w:val="nil"/>
          <w:insideH w:val="single" w:sz="4" w:space="0" w:color="005C85"/>
          <w:insideV w:val="nil"/>
        </w:tcBorders>
        <w:shd w:val="clear" w:color="auto" w:fill="005C85"/>
      </w:tcPr>
    </w:tblStylePr>
    <w:tblStylePr w:type="lastCol">
      <w:rPr>
        <w:color w:val="FFFFFF"/>
      </w:rPr>
      <w:tblPr/>
      <w:tcPr>
        <w:tcBorders>
          <w:top w:val="nil"/>
          <w:left w:val="nil"/>
          <w:bottom w:val="nil"/>
          <w:right w:val="nil"/>
          <w:insideH w:val="nil"/>
          <w:insideV w:val="nil"/>
        </w:tcBorders>
        <w:shd w:val="clear" w:color="auto" w:fill="005C85"/>
      </w:tcPr>
    </w:tblStylePr>
    <w:tblStylePr w:type="neCell">
      <w:rPr>
        <w:color w:val="242828"/>
      </w:rPr>
    </w:tblStylePr>
    <w:tblStylePr w:type="nwCell">
      <w:rPr>
        <w:color w:val="242828"/>
      </w:rPr>
    </w:tblStylePr>
  </w:style>
  <w:style w:type="table" w:customStyle="1" w:styleId="DarkList1">
    <w:name w:val="Dark List1"/>
    <w:basedOn w:val="TableNormal"/>
    <w:next w:val="DarkList"/>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242828"/>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121313"/>
      </w:tcPr>
    </w:tblStylePr>
    <w:tblStylePr w:type="firstCol">
      <w:tblPr/>
      <w:tcPr>
        <w:tcBorders>
          <w:top w:val="nil"/>
          <w:left w:val="nil"/>
          <w:bottom w:val="nil"/>
          <w:right w:val="single" w:sz="18" w:space="0" w:color="FFFFFF"/>
          <w:insideH w:val="nil"/>
          <w:insideV w:val="nil"/>
        </w:tcBorders>
        <w:shd w:val="clear" w:color="auto" w:fill="1B1D1D"/>
      </w:tcPr>
    </w:tblStylePr>
    <w:tblStylePr w:type="lastCol">
      <w:tblPr/>
      <w:tcPr>
        <w:tcBorders>
          <w:top w:val="nil"/>
          <w:left w:val="single" w:sz="18" w:space="0" w:color="FFFFFF"/>
          <w:bottom w:val="nil"/>
          <w:right w:val="nil"/>
          <w:insideH w:val="nil"/>
          <w:insideV w:val="nil"/>
        </w:tcBorders>
        <w:shd w:val="clear" w:color="auto" w:fill="1B1D1D"/>
      </w:tcPr>
    </w:tblStylePr>
  </w:style>
  <w:style w:type="table" w:customStyle="1" w:styleId="DarkList-Accent11">
    <w:name w:val="Dark List - Accent 11"/>
    <w:basedOn w:val="TableNormal"/>
    <w:next w:val="DarkList-Accent1"/>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00A6B6"/>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00525A"/>
      </w:tcPr>
    </w:tblStylePr>
    <w:tblStylePr w:type="firstCol">
      <w:tblPr/>
      <w:tcPr>
        <w:tcBorders>
          <w:top w:val="nil"/>
          <w:left w:val="nil"/>
          <w:bottom w:val="nil"/>
          <w:right w:val="single" w:sz="18" w:space="0" w:color="FFFFFF"/>
          <w:insideH w:val="nil"/>
          <w:insideV w:val="nil"/>
        </w:tcBorders>
        <w:shd w:val="clear" w:color="auto" w:fill="007B88"/>
      </w:tcPr>
    </w:tblStylePr>
    <w:tblStylePr w:type="lastCol">
      <w:tblPr/>
      <w:tcPr>
        <w:tcBorders>
          <w:top w:val="nil"/>
          <w:left w:val="single" w:sz="18" w:space="0" w:color="FFFFFF"/>
          <w:bottom w:val="nil"/>
          <w:right w:val="nil"/>
          <w:insideH w:val="nil"/>
          <w:insideV w:val="nil"/>
        </w:tcBorders>
        <w:shd w:val="clear" w:color="auto" w:fill="007B88"/>
      </w:tcPr>
    </w:tblStylePr>
  </w:style>
  <w:style w:type="table" w:customStyle="1" w:styleId="DarkList-Accent21">
    <w:name w:val="Dark List - Accent 21"/>
    <w:basedOn w:val="TableNormal"/>
    <w:next w:val="DarkList-Accent2"/>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00956E"/>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004A36"/>
      </w:tcPr>
    </w:tblStylePr>
    <w:tblStylePr w:type="firstCol">
      <w:tblPr/>
      <w:tcPr>
        <w:tcBorders>
          <w:top w:val="nil"/>
          <w:left w:val="nil"/>
          <w:bottom w:val="nil"/>
          <w:right w:val="single" w:sz="18" w:space="0" w:color="FFFFFF"/>
          <w:insideH w:val="nil"/>
          <w:insideV w:val="nil"/>
        </w:tcBorders>
        <w:shd w:val="clear" w:color="auto" w:fill="006F52"/>
      </w:tcPr>
    </w:tblStylePr>
    <w:tblStylePr w:type="lastCol">
      <w:tblPr/>
      <w:tcPr>
        <w:tcBorders>
          <w:top w:val="nil"/>
          <w:left w:val="single" w:sz="18" w:space="0" w:color="FFFFFF"/>
          <w:bottom w:val="nil"/>
          <w:right w:val="nil"/>
          <w:insideH w:val="nil"/>
          <w:insideV w:val="nil"/>
        </w:tcBorders>
        <w:shd w:val="clear" w:color="auto" w:fill="006F52"/>
      </w:tcPr>
    </w:tblStylePr>
  </w:style>
  <w:style w:type="table" w:customStyle="1" w:styleId="DarkList-Accent31">
    <w:name w:val="Dark List - Accent 31"/>
    <w:basedOn w:val="TableNormal"/>
    <w:next w:val="DarkList-Accent3"/>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76236D"/>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3A1135"/>
      </w:tcPr>
    </w:tblStylePr>
    <w:tblStylePr w:type="firstCol">
      <w:tblPr/>
      <w:tcPr>
        <w:tcBorders>
          <w:top w:val="nil"/>
          <w:left w:val="nil"/>
          <w:bottom w:val="nil"/>
          <w:right w:val="single" w:sz="18" w:space="0" w:color="FFFFFF"/>
          <w:insideH w:val="nil"/>
          <w:insideV w:val="nil"/>
        </w:tcBorders>
        <w:shd w:val="clear" w:color="auto" w:fill="581A51"/>
      </w:tcPr>
    </w:tblStylePr>
    <w:tblStylePr w:type="lastCol">
      <w:tblPr/>
      <w:tcPr>
        <w:tcBorders>
          <w:top w:val="nil"/>
          <w:left w:val="single" w:sz="18" w:space="0" w:color="FFFFFF"/>
          <w:bottom w:val="nil"/>
          <w:right w:val="nil"/>
          <w:insideH w:val="nil"/>
          <w:insideV w:val="nil"/>
        </w:tcBorders>
        <w:shd w:val="clear" w:color="auto" w:fill="581A51"/>
      </w:tcPr>
    </w:tblStylePr>
  </w:style>
  <w:style w:type="table" w:customStyle="1" w:styleId="DarkList-Accent41">
    <w:name w:val="Dark List - Accent 41"/>
    <w:basedOn w:val="TableNormal"/>
    <w:next w:val="DarkList-Accent4"/>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nil"/>
        <w:left w:val="nil"/>
        <w:bottom w:val="nil"/>
        <w:right w:val="nil"/>
      </w:tcBorders>
      <w:shd w:val="clear" w:color="auto" w:fill="E97300"/>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743800"/>
      </w:tcPr>
    </w:tblStylePr>
    <w:tblStylePr w:type="firstCol">
      <w:tblPr/>
      <w:tcPr>
        <w:tcBorders>
          <w:top w:val="nil"/>
          <w:left w:val="nil"/>
          <w:bottom w:val="nil"/>
          <w:right w:val="single" w:sz="18" w:space="0" w:color="FFFFFF"/>
          <w:insideH w:val="nil"/>
          <w:insideV w:val="nil"/>
        </w:tcBorders>
        <w:shd w:val="clear" w:color="auto" w:fill="AE5500"/>
      </w:tcPr>
    </w:tblStylePr>
  </w:style>
  <w:style w:type="table" w:customStyle="1" w:styleId="DarkList-Accent51">
    <w:name w:val="Dark List - Accent 51"/>
    <w:basedOn w:val="TableNormal"/>
    <w:next w:val="DarkList-Accent5"/>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nil"/>
        <w:left w:val="nil"/>
        <w:bottom w:val="nil"/>
        <w:right w:val="nil"/>
      </w:tcBorders>
      <w:shd w:val="clear" w:color="auto" w:fill="D0D2D2"/>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656A6A"/>
      </w:tcPr>
    </w:tblStylePr>
    <w:tblStylePr w:type="firstCol">
      <w:tblPr/>
      <w:tcPr>
        <w:tcBorders>
          <w:top w:val="nil"/>
          <w:left w:val="nil"/>
          <w:bottom w:val="nil"/>
          <w:right w:val="single" w:sz="18" w:space="0" w:color="FFFFFF"/>
          <w:insideH w:val="nil"/>
          <w:insideV w:val="nil"/>
        </w:tcBorders>
        <w:shd w:val="clear" w:color="auto" w:fill="9A9E9E"/>
      </w:tcPr>
    </w:tblStylePr>
  </w:style>
  <w:style w:type="table" w:customStyle="1" w:styleId="DarkList-Accent61">
    <w:name w:val="Dark List - Accent 61"/>
    <w:basedOn w:val="TableNormal"/>
    <w:next w:val="DarkList-Accent6"/>
    <w:uiPriority w:val="70"/>
    <w:semiHidden/>
    <w:unhideWhenUsed/>
    <w:rsid w:val="00A24B35"/>
    <w:pPr>
      <w:spacing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shd w:val="clear" w:color="auto" w:fill="009BDF"/>
    </w:tcPr>
    <w:tblStylePr w:type="firstRow">
      <w:rPr>
        <w:b/>
        <w:bCs/>
      </w:rPr>
      <w:tblPr/>
      <w:tcPr>
        <w:tcBorders>
          <w:top w:val="nil"/>
          <w:left w:val="nil"/>
          <w:bottom w:val="single" w:sz="18" w:space="0" w:color="FFFFFF"/>
          <w:right w:val="nil"/>
          <w:insideH w:val="nil"/>
          <w:insideV w:val="nil"/>
        </w:tcBorders>
        <w:shd w:val="clear" w:color="auto" w:fill="242828"/>
      </w:tcPr>
    </w:tblStylePr>
    <w:tblStylePr w:type="lastRow">
      <w:tblPr/>
      <w:tcPr>
        <w:tcBorders>
          <w:top w:val="single" w:sz="18" w:space="0" w:color="FFFFFF"/>
          <w:left w:val="nil"/>
          <w:bottom w:val="nil"/>
          <w:right w:val="nil"/>
          <w:insideH w:val="nil"/>
          <w:insideV w:val="nil"/>
        </w:tcBorders>
        <w:shd w:val="clear" w:color="auto" w:fill="004D6F"/>
      </w:tcPr>
    </w:tblStylePr>
    <w:tblStylePr w:type="firstCol">
      <w:tblPr/>
      <w:tcPr>
        <w:tcBorders>
          <w:top w:val="nil"/>
          <w:left w:val="nil"/>
          <w:bottom w:val="nil"/>
          <w:right w:val="single" w:sz="18" w:space="0" w:color="FFFFFF"/>
          <w:insideH w:val="nil"/>
          <w:insideV w:val="nil"/>
        </w:tcBorders>
        <w:shd w:val="clear" w:color="auto" w:fill="0073A7"/>
      </w:tcPr>
    </w:tblStylePr>
    <w:tblStylePr w:type="lastCol">
      <w:tblPr/>
      <w:tcPr>
        <w:tcBorders>
          <w:top w:val="nil"/>
          <w:left w:val="single" w:sz="18" w:space="0" w:color="FFFFFF"/>
          <w:bottom w:val="nil"/>
          <w:right w:val="nil"/>
          <w:insideH w:val="nil"/>
          <w:insideV w:val="nil"/>
        </w:tcBorders>
        <w:shd w:val="clear" w:color="auto" w:fill="0073A7"/>
      </w:tcPr>
    </w:tblStylePr>
  </w:style>
  <w:style w:type="paragraph" w:customStyle="1" w:styleId="EnvelopeAddress1">
    <w:name w:val="Envelope Address1"/>
    <w:basedOn w:val="Normal"/>
    <w:next w:val="EnvelopeAddress"/>
    <w:uiPriority w:val="99"/>
    <w:semiHidden/>
    <w:unhideWhenUsed/>
    <w:rsid w:val="00A24B35"/>
    <w:pPr>
      <w:framePr w:w="7920" w:h="1980" w:hRule="exact" w:hSpace="180" w:wrap="auto" w:hAnchor="page" w:xAlign="center" w:yAlign="bottom"/>
      <w:spacing w:after="0"/>
      <w:ind w:left="2880"/>
      <w:jc w:val="left"/>
    </w:pPr>
    <w:rPr>
      <w:rFonts w:ascii="Arial" w:eastAsia="MS PGothic" w:hAnsi="Arial" w:cs="Arial"/>
      <w:color w:val="auto"/>
      <w:lang w:val="en-US"/>
    </w:rPr>
  </w:style>
  <w:style w:type="character" w:customStyle="1" w:styleId="FollowedHyperlink1">
    <w:name w:val="FollowedHyperlink1"/>
    <w:basedOn w:val="DefaultParagraphFont"/>
    <w:uiPriority w:val="99"/>
    <w:semiHidden/>
    <w:unhideWhenUsed/>
    <w:rsid w:val="00A24B35"/>
    <w:rPr>
      <w:rFonts w:ascii="Arial" w:hAnsi="Arial" w:cs="Arial"/>
      <w:color w:val="A3AAAE"/>
      <w:u w:val="single"/>
    </w:rPr>
  </w:style>
  <w:style w:type="table" w:customStyle="1" w:styleId="GridTable1Light1">
    <w:name w:val="Grid Table 1 Light1"/>
    <w:basedOn w:val="TableNormal"/>
    <w:next w:val="GridTable1Light"/>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A3ACAC"/>
        <w:left w:val="single" w:sz="4" w:space="0" w:color="A3ACAC"/>
        <w:bottom w:val="single" w:sz="4" w:space="0" w:color="A3ACAC"/>
        <w:right w:val="single" w:sz="4" w:space="0" w:color="A3ACAC"/>
        <w:insideH w:val="single" w:sz="4" w:space="0" w:color="A3ACAC"/>
        <w:insideV w:val="single" w:sz="4" w:space="0" w:color="A3ACAC"/>
      </w:tblBorders>
    </w:tblPr>
    <w:tblStylePr w:type="firstRow">
      <w:rPr>
        <w:b/>
        <w:bCs/>
      </w:rPr>
      <w:tblPr/>
      <w:tcPr>
        <w:tcBorders>
          <w:bottom w:val="single" w:sz="12" w:space="0" w:color="768383"/>
        </w:tcBorders>
      </w:tcPr>
    </w:tblStylePr>
    <w:tblStylePr w:type="lastRow">
      <w:rPr>
        <w:b/>
        <w:bCs/>
      </w:rPr>
      <w:tblPr/>
      <w:tcPr>
        <w:tcBorders>
          <w:top w:val="double" w:sz="2" w:space="0" w:color="768383"/>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BF3FF"/>
        <w:left w:val="single" w:sz="4" w:space="0" w:color="7BF3FF"/>
        <w:bottom w:val="single" w:sz="4" w:space="0" w:color="7BF3FF"/>
        <w:right w:val="single" w:sz="4" w:space="0" w:color="7BF3FF"/>
        <w:insideH w:val="single" w:sz="4" w:space="0" w:color="7BF3FF"/>
        <w:insideV w:val="single" w:sz="4" w:space="0" w:color="7BF3FF"/>
      </w:tblBorders>
    </w:tblPr>
    <w:tblStylePr w:type="firstRow">
      <w:rPr>
        <w:b/>
        <w:bCs/>
      </w:rPr>
      <w:tblPr/>
      <w:tcPr>
        <w:tcBorders>
          <w:bottom w:val="single" w:sz="12" w:space="0" w:color="3AEDFF"/>
        </w:tcBorders>
      </w:tcPr>
    </w:tblStylePr>
    <w:tblStylePr w:type="lastRow">
      <w:rPr>
        <w:b/>
        <w:bCs/>
      </w:rPr>
      <w:tblPr/>
      <w:tcPr>
        <w:tcBorders>
          <w:top w:val="double" w:sz="2" w:space="0" w:color="3AEDFF"/>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6EFFD8"/>
        <w:left w:val="single" w:sz="4" w:space="0" w:color="6EFFD8"/>
        <w:bottom w:val="single" w:sz="4" w:space="0" w:color="6EFFD8"/>
        <w:right w:val="single" w:sz="4" w:space="0" w:color="6EFFD8"/>
        <w:insideH w:val="single" w:sz="4" w:space="0" w:color="6EFFD8"/>
        <w:insideV w:val="single" w:sz="4" w:space="0" w:color="6EFFD8"/>
      </w:tblBorders>
    </w:tblPr>
    <w:tblStylePr w:type="firstRow">
      <w:rPr>
        <w:b/>
        <w:bCs/>
      </w:rPr>
      <w:tblPr/>
      <w:tcPr>
        <w:tcBorders>
          <w:bottom w:val="single" w:sz="12" w:space="0" w:color="26FFC6"/>
        </w:tcBorders>
      </w:tcPr>
    </w:tblStylePr>
    <w:tblStylePr w:type="lastRow">
      <w:rPr>
        <w:b/>
        <w:bCs/>
      </w:rPr>
      <w:tblPr/>
      <w:tcPr>
        <w:tcBorders>
          <w:top w:val="double" w:sz="2" w:space="0" w:color="26FFC6"/>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DE90D5"/>
        <w:left w:val="single" w:sz="4" w:space="0" w:color="DE90D5"/>
        <w:bottom w:val="single" w:sz="4" w:space="0" w:color="DE90D5"/>
        <w:right w:val="single" w:sz="4" w:space="0" w:color="DE90D5"/>
        <w:insideH w:val="single" w:sz="4" w:space="0" w:color="DE90D5"/>
        <w:insideV w:val="single" w:sz="4" w:space="0" w:color="DE90D5"/>
      </w:tblBorders>
    </w:tblPr>
    <w:tblStylePr w:type="firstRow">
      <w:rPr>
        <w:b/>
        <w:bCs/>
      </w:rPr>
      <w:tblPr/>
      <w:tcPr>
        <w:tcBorders>
          <w:bottom w:val="single" w:sz="12" w:space="0" w:color="CE59C1"/>
        </w:tcBorders>
      </w:tcPr>
    </w:tblStylePr>
    <w:tblStylePr w:type="lastRow">
      <w:rPr>
        <w:b/>
        <w:bCs/>
      </w:rPr>
      <w:tblPr/>
      <w:tcPr>
        <w:tcBorders>
          <w:top w:val="double" w:sz="2" w:space="0" w:color="CE59C1"/>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ECEDED"/>
        <w:left w:val="single" w:sz="4" w:space="0" w:color="ECEDED"/>
        <w:bottom w:val="single" w:sz="4" w:space="0" w:color="ECEDED"/>
        <w:right w:val="single" w:sz="4" w:space="0" w:color="ECEDED"/>
        <w:insideH w:val="single" w:sz="4" w:space="0" w:color="ECEDED"/>
        <w:insideV w:val="single" w:sz="4" w:space="0" w:color="ECEDED"/>
      </w:tblBorders>
    </w:tblPr>
    <w:tblStylePr w:type="firstRow">
      <w:rPr>
        <w:b/>
        <w:bCs/>
      </w:rPr>
      <w:tblPr/>
      <w:tcPr>
        <w:tcBorders>
          <w:bottom w:val="single" w:sz="12" w:space="0" w:color="E2E4E4"/>
        </w:tcBorders>
      </w:tcPr>
    </w:tblStylePr>
    <w:tblStylePr w:type="lastRow">
      <w:rPr>
        <w:b/>
        <w:bCs/>
      </w:rPr>
      <w:tblPr/>
      <w:tcPr>
        <w:tcBorders>
          <w:top w:val="double" w:sz="2" w:space="0" w:color="E2E4E4"/>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8CDBFF"/>
        <w:left w:val="single" w:sz="4" w:space="0" w:color="8CDBFF"/>
        <w:bottom w:val="single" w:sz="4" w:space="0" w:color="8CDBFF"/>
        <w:right w:val="single" w:sz="4" w:space="0" w:color="8CDBFF"/>
        <w:insideH w:val="single" w:sz="4" w:space="0" w:color="8CDBFF"/>
        <w:insideV w:val="single" w:sz="4" w:space="0" w:color="8CDBFF"/>
      </w:tblBorders>
    </w:tblPr>
    <w:tblStylePr w:type="firstRow">
      <w:rPr>
        <w:b/>
        <w:bCs/>
      </w:rPr>
      <w:tblPr/>
      <w:tcPr>
        <w:tcBorders>
          <w:bottom w:val="single" w:sz="12" w:space="0" w:color="52CAFF"/>
        </w:tcBorders>
      </w:tcPr>
    </w:tblStylePr>
    <w:tblStylePr w:type="lastRow">
      <w:rPr>
        <w:b/>
        <w:bCs/>
      </w:rPr>
      <w:tblPr/>
      <w:tcPr>
        <w:tcBorders>
          <w:top w:val="double" w:sz="2" w:space="0" w:color="52CAFF"/>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cPr>
    <w:tblStylePr w:type="firstRow">
      <w:rPr>
        <w:b/>
        <w:bCs/>
      </w:rPr>
      <w:tblPr/>
      <w:tcPr>
        <w:tcBorders>
          <w:top w:val="nil"/>
          <w:bottom w:val="single" w:sz="12" w:space="0" w:color="768383"/>
          <w:insideH w:val="nil"/>
          <w:insideV w:val="nil"/>
        </w:tcBorders>
        <w:shd w:val="clear" w:color="auto" w:fill="FFFFFF"/>
      </w:tcPr>
    </w:tblStylePr>
    <w:tblStylePr w:type="lastRow">
      <w:rPr>
        <w:b/>
        <w:bCs/>
      </w:rPr>
      <w:tblPr/>
      <w:tcPr>
        <w:tcBorders>
          <w:top w:val="double" w:sz="2" w:space="0" w:color="7683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1D5D5"/>
      </w:tcPr>
    </w:tblStylePr>
  </w:style>
  <w:style w:type="table" w:customStyle="1" w:styleId="GridTable2-Accent11">
    <w:name w:val="Grid Table 2 - Accent 11"/>
    <w:basedOn w:val="TableNormal"/>
    <w:next w:val="GridTable2-Accent1"/>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bottom w:val="single" w:sz="12" w:space="0" w:color="3AEDFF"/>
          <w:insideH w:val="nil"/>
          <w:insideV w:val="nil"/>
        </w:tcBorders>
        <w:shd w:val="clear" w:color="auto" w:fill="FFFFFF"/>
      </w:tcPr>
    </w:tblStylePr>
    <w:tblStylePr w:type="lastRow">
      <w:rPr>
        <w:b/>
        <w:bCs/>
      </w:rPr>
      <w:tblPr/>
      <w:tcPr>
        <w:tcBorders>
          <w:top w:val="double" w:sz="2" w:space="0" w:color="3AEDFF"/>
          <w:bottom w:val="nil"/>
          <w:insideH w:val="nil"/>
          <w:insideV w:val="nil"/>
        </w:tcBorders>
        <w:shd w:val="clear" w:color="auto" w:fill="FFFFFF"/>
      </w:tcPr>
    </w:tblStylePr>
    <w:tblStylePr w:type="firstCol">
      <w:rPr>
        <w:b/>
        <w:bCs/>
      </w:rPr>
    </w:tblStylePr>
    <w:tblStylePr w:type="lastCol">
      <w:rPr>
        <w:b/>
        <w:bCs/>
      </w:rPr>
    </w:tblStylePr>
  </w:style>
  <w:style w:type="table" w:customStyle="1" w:styleId="GridTable2-Accent21">
    <w:name w:val="Grid Table 2 - Accent 21"/>
    <w:basedOn w:val="TableNormal"/>
    <w:next w:val="GridTable2-Accent2"/>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bottom w:val="single" w:sz="12" w:space="0" w:color="26FFC6"/>
          <w:insideH w:val="nil"/>
          <w:insideV w:val="nil"/>
        </w:tcBorders>
        <w:shd w:val="clear" w:color="auto" w:fill="FFFFFF"/>
      </w:tcPr>
    </w:tblStylePr>
    <w:tblStylePr w:type="lastRow">
      <w:rPr>
        <w:b/>
        <w:bCs/>
      </w:rPr>
      <w:tblPr/>
      <w:tcPr>
        <w:tcBorders>
          <w:top w:val="double" w:sz="2" w:space="0" w:color="26FFC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6FFEB"/>
      </w:tcPr>
    </w:tblStylePr>
  </w:style>
  <w:style w:type="table" w:customStyle="1" w:styleId="GridTable2-Accent31">
    <w:name w:val="Grid Table 2 - Accent 31"/>
    <w:basedOn w:val="TableNormal"/>
    <w:next w:val="GridTable2-Accent3"/>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top w:val="nil"/>
          <w:bottom w:val="single" w:sz="12" w:space="0" w:color="CE59C1"/>
          <w:insideH w:val="nil"/>
          <w:insideV w:val="nil"/>
        </w:tcBorders>
        <w:shd w:val="clear" w:color="auto" w:fill="FFFFFF"/>
      </w:tcPr>
    </w:tblStylePr>
    <w:tblStylePr w:type="lastRow">
      <w:rPr>
        <w:b/>
        <w:bCs/>
      </w:rPr>
    </w:tblStylePr>
    <w:tblStylePr w:type="firstCol">
      <w:rPr>
        <w:b/>
        <w:bCs/>
      </w:rPr>
    </w:tblStylePr>
    <w:tblStylePr w:type="lastCol">
      <w:rPr>
        <w:b/>
        <w:bCs/>
      </w:rPr>
    </w:tblStylePr>
  </w:style>
  <w:style w:type="table" w:customStyle="1" w:styleId="GridTable2-Accent41">
    <w:name w:val="Grid Table 2 - Accent 41"/>
    <w:basedOn w:val="TableNormal"/>
    <w:next w:val="GridTable2-Accent4"/>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E2C7"/>
    </w:tcPr>
    <w:tblStylePr w:type="firstRow">
      <w:rPr>
        <w:b/>
        <w:bCs/>
      </w:rPr>
      <w:tblPr/>
      <w:tcPr>
        <w:tcBorders>
          <w:top w:val="nil"/>
          <w:bottom w:val="single" w:sz="12" w:space="0" w:color="FFAA58"/>
          <w:insideH w:val="nil"/>
          <w:insideV w:val="nil"/>
        </w:tcBorders>
        <w:shd w:val="clear" w:color="auto" w:fill="FFFFFF"/>
      </w:tcPr>
    </w:tblStylePr>
    <w:tblStylePr w:type="lastRow">
      <w:rPr>
        <w:b/>
        <w:bCs/>
      </w:rPr>
      <w:tblPr/>
      <w:tcPr>
        <w:tcBorders>
          <w:top w:val="double" w:sz="2" w:space="0" w:color="FFAA58"/>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E2C7"/>
      </w:tcPr>
    </w:tblStylePr>
  </w:style>
  <w:style w:type="table" w:customStyle="1" w:styleId="GridTable2-Accent51">
    <w:name w:val="Grid Table 2 - Accent 51"/>
    <w:basedOn w:val="TableNormal"/>
    <w:next w:val="GridTable2-Accent5"/>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5F6F6"/>
    </w:tcPr>
    <w:tblStylePr w:type="firstRow">
      <w:rPr>
        <w:b/>
        <w:bCs/>
      </w:rPr>
      <w:tblPr/>
      <w:tcPr>
        <w:tcBorders>
          <w:top w:val="nil"/>
          <w:bottom w:val="single" w:sz="12" w:space="0" w:color="E2E4E4"/>
          <w:insideH w:val="nil"/>
          <w:insideV w:val="nil"/>
        </w:tcBorders>
        <w:shd w:val="clear" w:color="auto" w:fill="FFFFFF"/>
      </w:tcPr>
    </w:tblStylePr>
    <w:tblStylePr w:type="lastRow">
      <w:rPr>
        <w:b/>
        <w:bCs/>
      </w:rPr>
      <w:tblPr/>
      <w:tcPr>
        <w:tcBorders>
          <w:top w:val="double" w:sz="2" w:space="0" w:color="E2E4E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F6F6"/>
      </w:tcPr>
    </w:tblStylePr>
  </w:style>
  <w:style w:type="table" w:customStyle="1" w:styleId="GridTable2-Accent61">
    <w:name w:val="Grid Table 2 - Accent 61"/>
    <w:basedOn w:val="TableNormal"/>
    <w:next w:val="GridTable2-Accent6"/>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31">
    <w:name w:val="Grid Table 31"/>
    <w:basedOn w:val="TableNormal"/>
    <w:next w:val="GridTable3"/>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insideV w:val="single" w:sz="4" w:space="0" w:color="7683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1D5D5"/>
      </w:tcPr>
    </w:tblStylePr>
    <w:tblStylePr w:type="band1Horz">
      <w:tblPr/>
      <w:tcPr>
        <w:shd w:val="clear" w:color="auto" w:fill="D1D5D5"/>
      </w:tcPr>
    </w:tblStylePr>
    <w:tblStylePr w:type="neCell">
      <w:tblPr/>
      <w:tcPr>
        <w:tcBorders>
          <w:bottom w:val="single" w:sz="4" w:space="0" w:color="768383"/>
        </w:tcBorders>
      </w:tcPr>
    </w:tblStylePr>
    <w:tblStylePr w:type="nwCell">
      <w:tblPr/>
      <w:tcPr>
        <w:tcBorders>
          <w:bottom w:val="single" w:sz="4" w:space="0" w:color="768383"/>
        </w:tcBorders>
      </w:tcPr>
    </w:tblStylePr>
    <w:tblStylePr w:type="seCell">
      <w:tblPr/>
      <w:tcPr>
        <w:tcBorders>
          <w:top w:val="single" w:sz="4" w:space="0" w:color="768383"/>
        </w:tcBorders>
      </w:tcPr>
    </w:tblStylePr>
    <w:tblStylePr w:type="swCell">
      <w:tblPr/>
      <w:tcPr>
        <w:tcBorders>
          <w:top w:val="single" w:sz="4" w:space="0" w:color="768383"/>
        </w:tcBorders>
      </w:tcPr>
    </w:tblStylePr>
  </w:style>
  <w:style w:type="table" w:customStyle="1" w:styleId="GridTable3-Accent11">
    <w:name w:val="Grid Table 3 - Accent 11"/>
    <w:basedOn w:val="TableNormal"/>
    <w:next w:val="GridTable3-Accent1"/>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insideV w:val="single" w:sz="4" w:space="0" w:color="3AED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DF9FF"/>
      </w:tcPr>
    </w:tblStylePr>
    <w:tblStylePr w:type="band1Horz">
      <w:tblPr/>
      <w:tcPr>
        <w:shd w:val="clear" w:color="auto" w:fill="BDF9FF"/>
      </w:tcPr>
    </w:tblStylePr>
    <w:tblStylePr w:type="neCell">
      <w:tblPr/>
      <w:tcPr>
        <w:tcBorders>
          <w:bottom w:val="single" w:sz="4" w:space="0" w:color="3AEDFF"/>
        </w:tcBorders>
      </w:tcPr>
    </w:tblStylePr>
    <w:tblStylePr w:type="nwCell">
      <w:tblPr/>
      <w:tcPr>
        <w:tcBorders>
          <w:bottom w:val="single" w:sz="4" w:space="0" w:color="3AEDFF"/>
        </w:tcBorders>
      </w:tcPr>
    </w:tblStylePr>
    <w:tblStylePr w:type="seCell">
      <w:tblPr/>
      <w:tcPr>
        <w:tcBorders>
          <w:top w:val="single" w:sz="4" w:space="0" w:color="3AEDFF"/>
        </w:tcBorders>
      </w:tcPr>
    </w:tblStylePr>
    <w:tblStylePr w:type="swCell">
      <w:tblPr/>
      <w:tcPr>
        <w:tcBorders>
          <w:top w:val="single" w:sz="4" w:space="0" w:color="3AEDFF"/>
        </w:tcBorders>
      </w:tcPr>
    </w:tblStylePr>
  </w:style>
  <w:style w:type="table" w:customStyle="1" w:styleId="GridTable3-Accent21">
    <w:name w:val="Grid Table 3 - Accent 21"/>
    <w:basedOn w:val="TableNormal"/>
    <w:next w:val="GridTable3-Accent2"/>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insideV w:val="single" w:sz="4" w:space="0" w:color="26FFC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6FFEB"/>
      </w:tcPr>
    </w:tblStylePr>
    <w:tblStylePr w:type="band1Horz">
      <w:tblPr/>
      <w:tcPr>
        <w:shd w:val="clear" w:color="auto" w:fill="B6FFEB"/>
      </w:tcPr>
    </w:tblStylePr>
    <w:tblStylePr w:type="neCell">
      <w:tblPr/>
      <w:tcPr>
        <w:tcBorders>
          <w:bottom w:val="single" w:sz="4" w:space="0" w:color="26FFC6"/>
        </w:tcBorders>
      </w:tcPr>
    </w:tblStylePr>
    <w:tblStylePr w:type="nwCell">
      <w:tblPr/>
      <w:tcPr>
        <w:tcBorders>
          <w:bottom w:val="single" w:sz="4" w:space="0" w:color="26FFC6"/>
        </w:tcBorders>
      </w:tcPr>
    </w:tblStylePr>
    <w:tblStylePr w:type="seCell">
      <w:tblPr/>
      <w:tcPr>
        <w:tcBorders>
          <w:top w:val="single" w:sz="4" w:space="0" w:color="26FFC6"/>
        </w:tcBorders>
      </w:tcPr>
    </w:tblStylePr>
    <w:tblStylePr w:type="swCell">
      <w:tblPr/>
      <w:tcPr>
        <w:tcBorders>
          <w:top w:val="single" w:sz="4" w:space="0" w:color="26FFC6"/>
        </w:tcBorders>
      </w:tcPr>
    </w:tblStylePr>
  </w:style>
  <w:style w:type="table" w:customStyle="1" w:styleId="GridTable3-Accent31">
    <w:name w:val="Grid Table 3 - Accent 31"/>
    <w:basedOn w:val="TableNormal"/>
    <w:next w:val="GridTable3-Accent3"/>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insideV w:val="single" w:sz="4" w:space="0" w:color="CE59C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EC7EA"/>
      </w:tcPr>
    </w:tblStylePr>
    <w:tblStylePr w:type="band1Horz">
      <w:tblPr/>
      <w:tcPr>
        <w:shd w:val="clear" w:color="auto" w:fill="EEC7EA"/>
      </w:tcPr>
    </w:tblStylePr>
    <w:tblStylePr w:type="neCell">
      <w:tblPr/>
      <w:tcPr>
        <w:tcBorders>
          <w:bottom w:val="single" w:sz="4" w:space="0" w:color="CE59C1"/>
        </w:tcBorders>
      </w:tcPr>
    </w:tblStylePr>
    <w:tblStylePr w:type="nwCell">
      <w:tblPr/>
      <w:tcPr>
        <w:tcBorders>
          <w:bottom w:val="single" w:sz="4" w:space="0" w:color="CE59C1"/>
        </w:tcBorders>
      </w:tcPr>
    </w:tblStylePr>
    <w:tblStylePr w:type="seCell">
      <w:tblPr/>
      <w:tcPr>
        <w:tcBorders>
          <w:top w:val="single" w:sz="4" w:space="0" w:color="CE59C1"/>
        </w:tcBorders>
      </w:tcPr>
    </w:tblStylePr>
    <w:tblStylePr w:type="swCell">
      <w:tblPr/>
      <w:tcPr>
        <w:tcBorders>
          <w:top w:val="single" w:sz="4" w:space="0" w:color="CE59C1"/>
        </w:tcBorders>
      </w:tcPr>
    </w:tblStylePr>
  </w:style>
  <w:style w:type="table" w:customStyle="1" w:styleId="GridTable3-Accent41">
    <w:name w:val="Grid Table 3 - Accent 41"/>
    <w:basedOn w:val="TableNormal"/>
    <w:next w:val="GridTable3-Accent4"/>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insideV w:val="single" w:sz="4" w:space="0" w:color="FFAA58"/>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C7"/>
      </w:tcPr>
    </w:tblStylePr>
    <w:tblStylePr w:type="band1Horz">
      <w:tblPr/>
      <w:tcPr>
        <w:shd w:val="clear" w:color="auto" w:fill="FFE2C7"/>
      </w:tcPr>
    </w:tblStylePr>
    <w:tblStylePr w:type="neCell">
      <w:tblPr/>
      <w:tcPr>
        <w:tcBorders>
          <w:bottom w:val="single" w:sz="4" w:space="0" w:color="FFAA58"/>
        </w:tcBorders>
      </w:tcPr>
    </w:tblStylePr>
    <w:tblStylePr w:type="nwCell">
      <w:tblPr/>
      <w:tcPr>
        <w:tcBorders>
          <w:bottom w:val="single" w:sz="4" w:space="0" w:color="FFAA58"/>
        </w:tcBorders>
      </w:tcPr>
    </w:tblStylePr>
    <w:tblStylePr w:type="seCell">
      <w:tblPr/>
      <w:tcPr>
        <w:tcBorders>
          <w:top w:val="single" w:sz="4" w:space="0" w:color="FFAA58"/>
        </w:tcBorders>
      </w:tcPr>
    </w:tblStylePr>
    <w:tblStylePr w:type="swCell">
      <w:tblPr/>
      <w:tcPr>
        <w:tcBorders>
          <w:top w:val="single" w:sz="4" w:space="0" w:color="FFAA58"/>
        </w:tcBorders>
      </w:tcPr>
    </w:tblStylePr>
  </w:style>
  <w:style w:type="table" w:customStyle="1" w:styleId="GridTable3-Accent51">
    <w:name w:val="Grid Table 3 - Accent 51"/>
    <w:basedOn w:val="TableNormal"/>
    <w:next w:val="GridTable3-Accent5"/>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insideV w:val="single" w:sz="4" w:space="0" w:color="E2E4E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F6F6"/>
      </w:tcPr>
    </w:tblStylePr>
    <w:tblStylePr w:type="band1Horz">
      <w:tblPr/>
      <w:tcPr>
        <w:shd w:val="clear" w:color="auto" w:fill="F5F6F6"/>
      </w:tcPr>
    </w:tblStylePr>
    <w:tblStylePr w:type="neCell">
      <w:tblPr/>
      <w:tcPr>
        <w:tcBorders>
          <w:bottom w:val="single" w:sz="4" w:space="0" w:color="E2E4E4"/>
        </w:tcBorders>
      </w:tcPr>
    </w:tblStylePr>
    <w:tblStylePr w:type="nwCell">
      <w:tblPr/>
      <w:tcPr>
        <w:tcBorders>
          <w:bottom w:val="single" w:sz="4" w:space="0" w:color="E2E4E4"/>
        </w:tcBorders>
      </w:tcPr>
    </w:tblStylePr>
    <w:tblStylePr w:type="seCell">
      <w:tblPr/>
      <w:tcPr>
        <w:tcBorders>
          <w:top w:val="single" w:sz="4" w:space="0" w:color="E2E4E4"/>
        </w:tcBorders>
      </w:tcPr>
    </w:tblStylePr>
    <w:tblStylePr w:type="swCell">
      <w:tblPr/>
      <w:tcPr>
        <w:tcBorders>
          <w:top w:val="single" w:sz="4" w:space="0" w:color="E2E4E4"/>
        </w:tcBorders>
      </w:tcPr>
    </w:tblStylePr>
  </w:style>
  <w:style w:type="table" w:customStyle="1" w:styleId="GridTable3-Accent61">
    <w:name w:val="Grid Table 3 - Accent 61"/>
    <w:basedOn w:val="TableNormal"/>
    <w:next w:val="GridTable3-Accent6"/>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insideV w:val="single" w:sz="4" w:space="0" w:color="52CA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5EDFF"/>
      </w:tcPr>
    </w:tblStylePr>
    <w:tblStylePr w:type="band1Horz">
      <w:tblPr/>
      <w:tcPr>
        <w:shd w:val="clear" w:color="auto" w:fill="C5EDFF"/>
      </w:tcPr>
    </w:tblStylePr>
    <w:tblStylePr w:type="neCell">
      <w:tblPr/>
      <w:tcPr>
        <w:tcBorders>
          <w:bottom w:val="single" w:sz="4" w:space="0" w:color="52CAFF"/>
        </w:tcBorders>
      </w:tcPr>
    </w:tblStylePr>
    <w:tblStylePr w:type="nwCell">
      <w:tblPr/>
      <w:tcPr>
        <w:tcBorders>
          <w:bottom w:val="single" w:sz="4" w:space="0" w:color="52CAFF"/>
        </w:tcBorders>
      </w:tcPr>
    </w:tblStylePr>
    <w:tblStylePr w:type="seCell">
      <w:tblPr/>
      <w:tcPr>
        <w:tcBorders>
          <w:top w:val="single" w:sz="4" w:space="0" w:color="52CAFF"/>
        </w:tcBorders>
      </w:tcPr>
    </w:tblStylePr>
    <w:tblStylePr w:type="swCell">
      <w:tblPr/>
      <w:tcPr>
        <w:tcBorders>
          <w:top w:val="single" w:sz="4" w:space="0" w:color="52CAFF"/>
        </w:tcBorders>
      </w:tcPr>
    </w:tblStylePr>
  </w:style>
  <w:style w:type="table" w:customStyle="1" w:styleId="GridTable41">
    <w:name w:val="Grid Table 41"/>
    <w:basedOn w:val="TableNormal"/>
    <w:next w:val="GridTable4"/>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cPr>
    <w:tblStylePr w:type="firstRow">
      <w:rPr>
        <w:b/>
        <w:bCs/>
        <w:color w:val="FFFFFF"/>
      </w:rPr>
      <w:tblPr/>
      <w:tcPr>
        <w:tcBorders>
          <w:top w:val="single" w:sz="4" w:space="0" w:color="242828"/>
          <w:left w:val="single" w:sz="4" w:space="0" w:color="242828"/>
          <w:bottom w:val="single" w:sz="4" w:space="0" w:color="242828"/>
          <w:right w:val="single" w:sz="4" w:space="0" w:color="242828"/>
          <w:insideH w:val="nil"/>
          <w:insideV w:val="nil"/>
        </w:tcBorders>
        <w:shd w:val="clear" w:color="auto" w:fill="242828"/>
      </w:tcPr>
    </w:tblStylePr>
    <w:tblStylePr w:type="lastRow">
      <w:rPr>
        <w:b/>
        <w:bCs/>
      </w:rPr>
      <w:tblPr/>
      <w:tcPr>
        <w:tcBorders>
          <w:top w:val="double" w:sz="4" w:space="0" w:color="242828"/>
        </w:tcBorders>
      </w:tcPr>
    </w:tblStylePr>
    <w:tblStylePr w:type="firstCol">
      <w:rPr>
        <w:b/>
        <w:bCs/>
      </w:rPr>
    </w:tblStylePr>
    <w:tblStylePr w:type="lastCol">
      <w:rPr>
        <w:b/>
        <w:bCs/>
      </w:rPr>
    </w:tblStylePr>
    <w:tblStylePr w:type="band1Vert">
      <w:tblPr/>
      <w:tcPr>
        <w:shd w:val="clear" w:color="auto" w:fill="D1D5D5"/>
      </w:tcPr>
    </w:tblStylePr>
  </w:style>
  <w:style w:type="table" w:customStyle="1" w:styleId="GridTable4-Accent11">
    <w:name w:val="Grid Table 4 - Accent 11"/>
    <w:basedOn w:val="TableNormal"/>
    <w:next w:val="GridTable4-Accent1"/>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color w:val="FFFFFF"/>
      </w:rPr>
      <w:tblPr/>
      <w:tcPr>
        <w:tcBorders>
          <w:top w:val="single" w:sz="4" w:space="0" w:color="00A6B6"/>
          <w:left w:val="single" w:sz="4" w:space="0" w:color="00A6B6"/>
          <w:bottom w:val="single" w:sz="4" w:space="0" w:color="00A6B6"/>
          <w:right w:val="single" w:sz="4" w:space="0" w:color="00A6B6"/>
          <w:insideH w:val="nil"/>
          <w:insideV w:val="nil"/>
        </w:tcBorders>
        <w:shd w:val="clear" w:color="auto" w:fill="00A6B6"/>
      </w:tcPr>
    </w:tblStylePr>
    <w:tblStylePr w:type="lastRow">
      <w:rPr>
        <w:b/>
        <w:bCs/>
      </w:rPr>
      <w:tblPr/>
      <w:tcPr>
        <w:tcBorders>
          <w:top w:val="double" w:sz="4" w:space="0" w:color="00A6B6"/>
        </w:tcBorders>
      </w:tcPr>
    </w:tblStylePr>
    <w:tblStylePr w:type="firstCol">
      <w:rPr>
        <w:b/>
        <w:bCs/>
      </w:rPr>
    </w:tblStylePr>
    <w:tblStylePr w:type="lastCol">
      <w:rPr>
        <w:b/>
        <w:bCs/>
      </w:rPr>
    </w:tblStylePr>
  </w:style>
  <w:style w:type="table" w:customStyle="1" w:styleId="GridTable4-Accent21">
    <w:name w:val="Grid Table 4 - Accent 21"/>
    <w:basedOn w:val="TableNormal"/>
    <w:next w:val="GridTable4-Accent2"/>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color w:val="FFFFFF"/>
      </w:rPr>
      <w:tblPr/>
      <w:tcPr>
        <w:tcBorders>
          <w:top w:val="single" w:sz="4" w:space="0" w:color="00956E"/>
          <w:left w:val="single" w:sz="4" w:space="0" w:color="00956E"/>
          <w:bottom w:val="single" w:sz="4" w:space="0" w:color="00956E"/>
          <w:right w:val="single" w:sz="4" w:space="0" w:color="00956E"/>
          <w:insideH w:val="nil"/>
          <w:insideV w:val="nil"/>
        </w:tcBorders>
        <w:shd w:val="clear" w:color="auto" w:fill="00956E"/>
      </w:tcPr>
    </w:tblStylePr>
    <w:tblStylePr w:type="lastRow">
      <w:rPr>
        <w:b/>
        <w:bCs/>
      </w:rPr>
      <w:tblPr/>
      <w:tcPr>
        <w:tcBorders>
          <w:top w:val="double" w:sz="4" w:space="0" w:color="00956E"/>
        </w:tcBorders>
      </w:tcPr>
    </w:tblStylePr>
    <w:tblStylePr w:type="firstCol">
      <w:rPr>
        <w:b/>
        <w:bCs/>
      </w:rPr>
    </w:tblStylePr>
    <w:tblStylePr w:type="lastCol">
      <w:rPr>
        <w:b/>
        <w:bCs/>
      </w:rPr>
    </w:tblStylePr>
    <w:tblStylePr w:type="band1Vert">
      <w:tblPr/>
      <w:tcPr>
        <w:shd w:val="clear" w:color="auto" w:fill="B6FFEB"/>
      </w:tcPr>
    </w:tblStylePr>
  </w:style>
  <w:style w:type="table" w:customStyle="1" w:styleId="GridTable4-Accent31">
    <w:name w:val="Grid Table 4 - Accent 31"/>
    <w:basedOn w:val="TableNormal"/>
    <w:next w:val="GridTable4-Accent3"/>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4-Accent41">
    <w:name w:val="Grid Table 4 - Accent 41"/>
    <w:basedOn w:val="TableNormal"/>
    <w:next w:val="GridTable4-Accent4"/>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E2C7"/>
    </w:tcPr>
    <w:tblStylePr w:type="firstRow">
      <w:rPr>
        <w:b/>
        <w:bCs/>
        <w:color w:val="FFFFFF"/>
      </w:rPr>
      <w:tblPr/>
      <w:tcPr>
        <w:tcBorders>
          <w:top w:val="single" w:sz="4" w:space="0" w:color="E97300"/>
          <w:left w:val="single" w:sz="4" w:space="0" w:color="E97300"/>
          <w:bottom w:val="single" w:sz="4" w:space="0" w:color="E97300"/>
          <w:right w:val="single" w:sz="4" w:space="0" w:color="E97300"/>
          <w:insideH w:val="nil"/>
          <w:insideV w:val="nil"/>
        </w:tcBorders>
        <w:shd w:val="clear" w:color="auto" w:fill="E97300"/>
      </w:tcPr>
    </w:tblStylePr>
    <w:tblStylePr w:type="lastRow">
      <w:rPr>
        <w:b/>
        <w:bCs/>
      </w:rPr>
      <w:tblPr/>
      <w:tcPr>
        <w:tcBorders>
          <w:top w:val="double" w:sz="4" w:space="0" w:color="E97300"/>
        </w:tcBorders>
      </w:tcPr>
    </w:tblStylePr>
    <w:tblStylePr w:type="firstCol">
      <w:rPr>
        <w:b/>
        <w:bCs/>
      </w:rPr>
    </w:tblStylePr>
    <w:tblStylePr w:type="lastCol">
      <w:rPr>
        <w:b/>
        <w:bCs/>
      </w:rPr>
    </w:tblStylePr>
    <w:tblStylePr w:type="band1Vert">
      <w:tblPr/>
      <w:tcPr>
        <w:shd w:val="clear" w:color="auto" w:fill="FFE2C7"/>
      </w:tcPr>
    </w:tblStylePr>
  </w:style>
  <w:style w:type="table" w:customStyle="1" w:styleId="GridTable4-Accent51">
    <w:name w:val="Grid Table 4 - Accent 51"/>
    <w:basedOn w:val="TableNormal"/>
    <w:next w:val="GridTable4-Accent5"/>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4" w:space="0" w:color="D0D2D2"/>
        <w:left w:val="single" w:sz="4" w:space="0" w:color="D0D2D2"/>
        <w:bottom w:val="single" w:sz="4" w:space="0" w:color="D0D2D2"/>
        <w:right w:val="single" w:sz="4" w:space="0" w:color="D0D2D2"/>
      </w:tcBorders>
      <w:shd w:val="clear" w:color="auto" w:fill="D0D2D2"/>
    </w:tc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4-Accent61">
    <w:name w:val="Grid Table 4 - Accent 61"/>
    <w:basedOn w:val="TableNormal"/>
    <w:next w:val="GridTable4-Accent6"/>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5Dark1">
    <w:name w:val="Grid Table 5 Dark1"/>
    <w:basedOn w:val="TableNormal"/>
    <w:next w:val="GridTable5Dark"/>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D1D5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4282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4282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4282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42828"/>
      </w:tcPr>
    </w:tblStylePr>
  </w:style>
  <w:style w:type="table" w:customStyle="1" w:styleId="GridTable5Dark-Accent11">
    <w:name w:val="Grid Table 5 Dark - Accent 11"/>
    <w:basedOn w:val="TableNormal"/>
    <w:next w:val="GridTable5Dark-Accent1"/>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bottom w:val="single" w:sz="4" w:space="0" w:color="FFFFFF"/>
        <w:right w:val="single" w:sz="4" w:space="0" w:color="FFFFFF"/>
      </w:tcBorders>
      <w:shd w:val="clear" w:color="auto" w:fill="BDF9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A6B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A6B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A6B6"/>
      </w:tcPr>
    </w:tblStylePr>
    <w:tblStylePr w:type="lastCol">
      <w:rPr>
        <w:b/>
        <w:bCs/>
        <w:color w:val="FFFFFF"/>
      </w:rPr>
    </w:tblStylePr>
  </w:style>
  <w:style w:type="table" w:customStyle="1" w:styleId="GridTable5Dark-Accent21">
    <w:name w:val="Grid Table 5 Dark - Accent 21"/>
    <w:basedOn w:val="TableNormal"/>
    <w:next w:val="GridTable5Dark-Accent2"/>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bottom w:val="single" w:sz="4" w:space="0" w:color="FFFFFF"/>
        <w:right w:val="single" w:sz="4" w:space="0" w:color="FFFFFF"/>
      </w:tcBorders>
      <w:shd w:val="clear" w:color="auto" w:fill="B6FFE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956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956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956E"/>
      </w:tcPr>
    </w:tblStylePr>
    <w:tblStylePr w:type="lastCol">
      <w:rPr>
        <w:b/>
        <w:bCs/>
        <w:color w:val="FFFFFF"/>
      </w:rPr>
    </w:tblStylePr>
  </w:style>
  <w:style w:type="table" w:customStyle="1" w:styleId="GridTable5Dark-Accent31">
    <w:name w:val="Grid Table 5 Dark - Accent 31"/>
    <w:basedOn w:val="TableNormal"/>
    <w:next w:val="GridTable5Dark-Accent3"/>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left w:val="single" w:sz="4" w:space="0" w:color="FFFFFF"/>
        <w:bottom w:val="single" w:sz="4" w:space="0" w:color="FFFFFF"/>
        <w:right w:val="single" w:sz="4" w:space="0" w:color="FFFFFF"/>
      </w:tcBorders>
      <w:shd w:val="clear" w:color="auto" w:fill="EEC7E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6236D"/>
      </w:tcPr>
    </w:tblStylePr>
    <w:tblStylePr w:type="lastRow">
      <w:rPr>
        <w:b/>
        <w:bCs/>
        <w:color w:val="FFFFFF"/>
      </w:rPr>
    </w:tblStylePr>
    <w:tblStylePr w:type="firstCol">
      <w:rPr>
        <w:b/>
        <w:bCs/>
        <w:color w:val="FFFFFF"/>
      </w:rPr>
    </w:tblStylePr>
    <w:tblStylePr w:type="lastCol">
      <w:rPr>
        <w:b/>
        <w:bCs/>
        <w:color w:val="FFFFFF"/>
      </w:rPr>
    </w:tblStylePr>
  </w:style>
  <w:style w:type="table" w:customStyle="1" w:styleId="GridTable5Dark-Accent41">
    <w:name w:val="Grid Table 5 Dark - Accent 41"/>
    <w:basedOn w:val="TableNormal"/>
    <w:next w:val="GridTable5Dark-Accent4"/>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left w:val="single" w:sz="4" w:space="0" w:color="FFFFFF"/>
        <w:bottom w:val="single" w:sz="4" w:space="0" w:color="FFFFFF"/>
        <w:right w:val="single" w:sz="4" w:space="0" w:color="FFFFFF"/>
      </w:tcBorders>
      <w:shd w:val="clear" w:color="auto" w:fill="FFE2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3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300"/>
      </w:tcPr>
    </w:tblStylePr>
    <w:tblStylePr w:type="firstCol">
      <w:rPr>
        <w:b/>
        <w:bCs/>
        <w:color w:val="FFFFFF"/>
      </w:rPr>
    </w:tblStylePr>
    <w:tblStylePr w:type="lastCol">
      <w:rPr>
        <w:b/>
        <w:bCs/>
        <w:color w:val="FFFFFF"/>
      </w:rPr>
    </w:tblStylePr>
  </w:style>
  <w:style w:type="table" w:customStyle="1" w:styleId="GridTable5Dark-Accent51">
    <w:name w:val="Grid Table 5 Dark - Accent 51"/>
    <w:basedOn w:val="TableNormal"/>
    <w:next w:val="GridTable5Dark-Accent5"/>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left w:val="single" w:sz="4" w:space="0" w:color="FFFFFF"/>
        <w:bottom w:val="single" w:sz="4" w:space="0" w:color="FFFFFF"/>
        <w:right w:val="single" w:sz="4" w:space="0" w:color="FFFFFF"/>
      </w:tcBorders>
      <w:shd w:val="clear" w:color="auto" w:fill="F5F6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D0D2D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D0D2D2"/>
      </w:tcPr>
    </w:tblStylePr>
    <w:tblStylePr w:type="firstCol">
      <w:rPr>
        <w:b/>
        <w:bCs/>
        <w:color w:val="FFFFFF"/>
      </w:rPr>
    </w:tblStylePr>
    <w:tblStylePr w:type="lastCol">
      <w:rPr>
        <w:b/>
        <w:bCs/>
        <w:color w:val="FFFFFF"/>
      </w:rPr>
    </w:tblStylePr>
  </w:style>
  <w:style w:type="table" w:customStyle="1" w:styleId="GridTable5Dark-Accent61">
    <w:name w:val="Grid Table 5 Dark - Accent 61"/>
    <w:basedOn w:val="TableNormal"/>
    <w:next w:val="GridTable5Dark-Accent6"/>
    <w:uiPriority w:val="50"/>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C5ED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9BD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9BD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9BD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9BDF"/>
      </w:tcPr>
    </w:tblStylePr>
  </w:style>
  <w:style w:type="table" w:customStyle="1" w:styleId="GridTable6Colorful1">
    <w:name w:val="Grid Table 6 Colorful1"/>
    <w:basedOn w:val="TableNormal"/>
    <w:next w:val="GridTable6Colorful"/>
    <w:uiPriority w:val="51"/>
    <w:rsid w:val="00A24B35"/>
    <w:pPr>
      <w:spacing w:before="60" w:after="0" w:line="240" w:lineRule="auto"/>
      <w:jc w:val="left"/>
    </w:pPr>
    <w:rPr>
      <w:rFonts w:asciiTheme="minorHAnsi" w:eastAsia="Times New Roman" w:hAnsiTheme="minorHAnsi" w:cs="Times New Roman"/>
      <w:color w:val="242828"/>
      <w:sz w:val="22"/>
      <w:szCs w:val="22"/>
      <w:lang w:val="en-US"/>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insideV w:val="single" w:sz="4" w:space="0" w:color="768383"/>
      </w:tblBorders>
    </w:tblPr>
    <w:tblStylePr w:type="firstRow">
      <w:rPr>
        <w:b/>
        <w:bCs/>
      </w:rPr>
      <w:tblPr/>
      <w:tcPr>
        <w:tcBorders>
          <w:bottom w:val="single" w:sz="12" w:space="0" w:color="768383"/>
        </w:tcBorders>
      </w:tcPr>
    </w:tblStylePr>
    <w:tblStylePr w:type="lastRow">
      <w:rPr>
        <w:b/>
        <w:bCs/>
      </w:rPr>
      <w:tblPr/>
      <w:tcPr>
        <w:tcBorders>
          <w:top w:val="double" w:sz="4" w:space="0" w:color="768383"/>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GridTable6Colorful-Accent11">
    <w:name w:val="Grid Table 6 Colorful - Accent 11"/>
    <w:basedOn w:val="TableNormal"/>
    <w:next w:val="GridTable6Colorful-Accent1"/>
    <w:uiPriority w:val="51"/>
    <w:rsid w:val="00A24B35"/>
    <w:pPr>
      <w:spacing w:before="60" w:after="0" w:line="240" w:lineRule="auto"/>
      <w:jc w:val="left"/>
    </w:pPr>
    <w:rPr>
      <w:rFonts w:asciiTheme="minorHAnsi" w:eastAsia="Times New Roman" w:hAnsiTheme="minorHAnsi" w:cs="Times New Roman"/>
      <w:color w:val="007B88"/>
      <w:sz w:val="22"/>
      <w:szCs w:val="22"/>
      <w:lang w:val="en-US"/>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insideV w:val="single" w:sz="4" w:space="0" w:color="3AEDFF"/>
      </w:tblBorders>
    </w:tblPr>
    <w:tblStylePr w:type="firstRow">
      <w:rPr>
        <w:b/>
        <w:bCs/>
      </w:rPr>
      <w:tblPr/>
      <w:tcPr>
        <w:tcBorders>
          <w:bottom w:val="single" w:sz="12" w:space="0" w:color="3AEDFF"/>
        </w:tcBorders>
      </w:tcPr>
    </w:tblStylePr>
    <w:tblStylePr w:type="lastRow">
      <w:rPr>
        <w:b/>
        <w:bCs/>
      </w:rPr>
      <w:tblPr/>
      <w:tcPr>
        <w:tcBorders>
          <w:top w:val="double" w:sz="4" w:space="0" w:color="3AEDFF"/>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GridTable6Colorful-Accent21">
    <w:name w:val="Grid Table 6 Colorful - Accent 21"/>
    <w:basedOn w:val="TableNormal"/>
    <w:next w:val="GridTable6Colorful-Accent2"/>
    <w:uiPriority w:val="51"/>
    <w:rsid w:val="00A24B35"/>
    <w:pPr>
      <w:spacing w:before="60" w:after="0" w:line="240" w:lineRule="auto"/>
      <w:jc w:val="left"/>
    </w:pPr>
    <w:rPr>
      <w:rFonts w:asciiTheme="minorHAnsi" w:eastAsia="Times New Roman" w:hAnsiTheme="minorHAnsi" w:cs="Times New Roman"/>
      <w:color w:val="006F52"/>
      <w:sz w:val="22"/>
      <w:szCs w:val="22"/>
      <w:lang w:val="en-US"/>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insideV w:val="single" w:sz="4" w:space="0" w:color="26FFC6"/>
      </w:tblBorders>
    </w:tblPr>
    <w:tblStylePr w:type="firstRow">
      <w:rPr>
        <w:b/>
        <w:bCs/>
      </w:rPr>
      <w:tblPr/>
      <w:tcPr>
        <w:tcBorders>
          <w:bottom w:val="single" w:sz="12" w:space="0" w:color="26FFC6"/>
        </w:tcBorders>
      </w:tcPr>
    </w:tblStylePr>
    <w:tblStylePr w:type="lastRow">
      <w:rPr>
        <w:b/>
        <w:bCs/>
      </w:rPr>
      <w:tblPr/>
      <w:tcPr>
        <w:tcBorders>
          <w:top w:val="double" w:sz="4" w:space="0" w:color="26FFC6"/>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GridTable6Colorful-Accent31">
    <w:name w:val="Grid Table 6 Colorful - Accent 31"/>
    <w:basedOn w:val="TableNormal"/>
    <w:next w:val="GridTable6Colorful-Accent3"/>
    <w:uiPriority w:val="51"/>
    <w:rsid w:val="00A24B35"/>
    <w:pPr>
      <w:spacing w:before="60" w:after="0" w:line="240" w:lineRule="auto"/>
      <w:jc w:val="left"/>
    </w:pPr>
    <w:rPr>
      <w:rFonts w:asciiTheme="minorHAnsi" w:eastAsia="Times New Roman" w:hAnsiTheme="minorHAnsi" w:cs="Times New Roman"/>
      <w:color w:val="581A51"/>
      <w:sz w:val="22"/>
      <w:szCs w:val="22"/>
      <w:lang w:val="en-US"/>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insideV w:val="single" w:sz="4" w:space="0" w:color="CE59C1"/>
      </w:tblBorders>
    </w:tblPr>
    <w:tblStylePr w:type="firstRow">
      <w:rPr>
        <w:b/>
        <w:bCs/>
      </w:rPr>
      <w:tblPr/>
      <w:tcPr>
        <w:tcBorders>
          <w:bottom w:val="single" w:sz="12" w:space="0" w:color="CE59C1"/>
        </w:tcBorders>
      </w:tcPr>
    </w:tblStylePr>
    <w:tblStylePr w:type="lastRow">
      <w:rPr>
        <w:b/>
        <w:bCs/>
      </w:rPr>
      <w:tblPr/>
      <w:tcPr>
        <w:tcBorders>
          <w:top w:val="double" w:sz="4" w:space="0" w:color="CE59C1"/>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GridTable6Colorful-Accent41">
    <w:name w:val="Grid Table 6 Colorful - Accent 41"/>
    <w:basedOn w:val="TableNormal"/>
    <w:next w:val="GridTable6Colorful-Accent4"/>
    <w:uiPriority w:val="51"/>
    <w:rsid w:val="00A24B35"/>
    <w:pPr>
      <w:spacing w:before="60" w:after="0" w:line="240" w:lineRule="auto"/>
      <w:jc w:val="left"/>
    </w:pPr>
    <w:rPr>
      <w:rFonts w:asciiTheme="minorHAnsi" w:eastAsia="Times New Roman" w:hAnsiTheme="minorHAnsi" w:cs="Times New Roman"/>
      <w:color w:val="AE5500"/>
      <w:sz w:val="22"/>
      <w:szCs w:val="22"/>
      <w:lang w:val="en-US"/>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insideV w:val="single" w:sz="4" w:space="0" w:color="FFAA58"/>
      </w:tblBorders>
    </w:tblPr>
    <w:tblStylePr w:type="firstRow">
      <w:rPr>
        <w:b/>
        <w:bCs/>
      </w:rPr>
      <w:tblPr/>
      <w:tcPr>
        <w:tcBorders>
          <w:bottom w:val="single" w:sz="12" w:space="0" w:color="FFAA58"/>
        </w:tcBorders>
      </w:tcPr>
    </w:tblStylePr>
    <w:tblStylePr w:type="lastRow">
      <w:rPr>
        <w:b/>
        <w:bCs/>
      </w:rPr>
      <w:tblPr/>
      <w:tcPr>
        <w:tcBorders>
          <w:top w:val="double" w:sz="4" w:space="0" w:color="FFAA58"/>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GridTable6Colorful-Accent51">
    <w:name w:val="Grid Table 6 Colorful - Accent 51"/>
    <w:basedOn w:val="TableNormal"/>
    <w:next w:val="GridTable6Colorful-Accent5"/>
    <w:uiPriority w:val="51"/>
    <w:rsid w:val="00A24B35"/>
    <w:pPr>
      <w:spacing w:before="60" w:after="0" w:line="240" w:lineRule="auto"/>
      <w:jc w:val="left"/>
    </w:pPr>
    <w:rPr>
      <w:rFonts w:asciiTheme="minorHAnsi" w:eastAsia="Times New Roman" w:hAnsiTheme="minorHAnsi" w:cs="Times New Roman"/>
      <w:color w:val="9A9E9E"/>
      <w:sz w:val="22"/>
      <w:szCs w:val="22"/>
      <w:lang w:val="en-US"/>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insideV w:val="single" w:sz="4" w:space="0" w:color="E2E4E4"/>
      </w:tblBorders>
    </w:tblPr>
    <w:tblStylePr w:type="firstRow">
      <w:rPr>
        <w:b/>
        <w:bCs/>
      </w:rPr>
      <w:tblPr/>
      <w:tcPr>
        <w:tcBorders>
          <w:bottom w:val="single" w:sz="12" w:space="0" w:color="E2E4E4"/>
        </w:tcBorders>
      </w:tcPr>
    </w:tblStylePr>
    <w:tblStylePr w:type="lastRow">
      <w:rPr>
        <w:b/>
        <w:bCs/>
      </w:rPr>
      <w:tblPr/>
      <w:tcPr>
        <w:tcBorders>
          <w:top w:val="double" w:sz="4" w:space="0" w:color="E2E4E4"/>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GridTable6Colorful-Accent61">
    <w:name w:val="Grid Table 6 Colorful - Accent 61"/>
    <w:basedOn w:val="TableNormal"/>
    <w:next w:val="GridTable6Colorful-Accent6"/>
    <w:uiPriority w:val="51"/>
    <w:rsid w:val="00A24B35"/>
    <w:pPr>
      <w:spacing w:before="60" w:after="0" w:line="240" w:lineRule="auto"/>
      <w:jc w:val="left"/>
    </w:pPr>
    <w:rPr>
      <w:rFonts w:asciiTheme="minorHAnsi" w:eastAsia="Times New Roman" w:hAnsiTheme="minorHAnsi" w:cs="Times New Roman"/>
      <w:color w:val="0073A7"/>
      <w:sz w:val="22"/>
      <w:szCs w:val="22"/>
      <w:lang w:val="en-US"/>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insideV w:val="single" w:sz="4" w:space="0" w:color="52CAFF"/>
      </w:tblBorders>
    </w:tblPr>
    <w:tblStylePr w:type="firstRow">
      <w:rPr>
        <w:b/>
        <w:bCs/>
      </w:rPr>
      <w:tblPr/>
      <w:tcPr>
        <w:tcBorders>
          <w:bottom w:val="single" w:sz="12" w:space="0" w:color="52CAFF"/>
        </w:tcBorders>
      </w:tcPr>
    </w:tblStylePr>
    <w:tblStylePr w:type="lastRow">
      <w:rPr>
        <w:b/>
        <w:bCs/>
      </w:rPr>
      <w:tblPr/>
      <w:tcPr>
        <w:tcBorders>
          <w:top w:val="double" w:sz="4" w:space="0" w:color="52CAF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GridTable7Colorful1">
    <w:name w:val="Grid Table 7 Colorful1"/>
    <w:basedOn w:val="TableNormal"/>
    <w:next w:val="GridTable7Colorful"/>
    <w:uiPriority w:val="52"/>
    <w:rsid w:val="00A24B35"/>
    <w:pPr>
      <w:spacing w:before="60" w:after="0" w:line="240" w:lineRule="auto"/>
      <w:jc w:val="left"/>
    </w:pPr>
    <w:rPr>
      <w:rFonts w:asciiTheme="minorHAnsi" w:eastAsia="Times New Roman" w:hAnsiTheme="minorHAnsi" w:cs="Times New Roman"/>
      <w:color w:val="242828"/>
      <w:sz w:val="22"/>
      <w:szCs w:val="22"/>
      <w:lang w:val="en-US"/>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insideV w:val="single" w:sz="4" w:space="0" w:color="7683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1D5D5"/>
      </w:tcPr>
    </w:tblStylePr>
    <w:tblStylePr w:type="band1Horz">
      <w:tblPr/>
      <w:tcPr>
        <w:shd w:val="clear" w:color="auto" w:fill="D1D5D5"/>
      </w:tcPr>
    </w:tblStylePr>
    <w:tblStylePr w:type="neCell">
      <w:tblPr/>
      <w:tcPr>
        <w:tcBorders>
          <w:bottom w:val="single" w:sz="4" w:space="0" w:color="768383"/>
        </w:tcBorders>
      </w:tcPr>
    </w:tblStylePr>
    <w:tblStylePr w:type="nwCell">
      <w:tblPr/>
      <w:tcPr>
        <w:tcBorders>
          <w:bottom w:val="single" w:sz="4" w:space="0" w:color="768383"/>
        </w:tcBorders>
      </w:tcPr>
    </w:tblStylePr>
    <w:tblStylePr w:type="seCell">
      <w:tblPr/>
      <w:tcPr>
        <w:tcBorders>
          <w:top w:val="single" w:sz="4" w:space="0" w:color="768383"/>
        </w:tcBorders>
      </w:tcPr>
    </w:tblStylePr>
    <w:tblStylePr w:type="swCell">
      <w:tblPr/>
      <w:tcPr>
        <w:tcBorders>
          <w:top w:val="single" w:sz="4" w:space="0" w:color="768383"/>
        </w:tcBorders>
      </w:tcPr>
    </w:tblStylePr>
  </w:style>
  <w:style w:type="table" w:customStyle="1" w:styleId="GridTable7Colorful-Accent11">
    <w:name w:val="Grid Table 7 Colorful - Accent 11"/>
    <w:basedOn w:val="TableNormal"/>
    <w:next w:val="GridTable7Colorful-Accent1"/>
    <w:uiPriority w:val="52"/>
    <w:rsid w:val="00A24B35"/>
    <w:pPr>
      <w:spacing w:before="60" w:after="0" w:line="240" w:lineRule="auto"/>
      <w:jc w:val="left"/>
    </w:pPr>
    <w:rPr>
      <w:rFonts w:asciiTheme="minorHAnsi" w:eastAsia="Times New Roman" w:hAnsiTheme="minorHAnsi" w:cs="Times New Roman"/>
      <w:color w:val="007B88"/>
      <w:sz w:val="22"/>
      <w:szCs w:val="22"/>
      <w:lang w:val="en-US"/>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insideV w:val="single" w:sz="4" w:space="0" w:color="3AED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DF9FF"/>
      </w:tcPr>
    </w:tblStylePr>
    <w:tblStylePr w:type="band1Horz">
      <w:tblPr/>
      <w:tcPr>
        <w:shd w:val="clear" w:color="auto" w:fill="BDF9FF"/>
      </w:tcPr>
    </w:tblStylePr>
    <w:tblStylePr w:type="neCell">
      <w:tblPr/>
      <w:tcPr>
        <w:tcBorders>
          <w:bottom w:val="single" w:sz="4" w:space="0" w:color="3AEDFF"/>
        </w:tcBorders>
      </w:tcPr>
    </w:tblStylePr>
    <w:tblStylePr w:type="nwCell">
      <w:tblPr/>
      <w:tcPr>
        <w:tcBorders>
          <w:bottom w:val="single" w:sz="4" w:space="0" w:color="3AEDFF"/>
        </w:tcBorders>
      </w:tcPr>
    </w:tblStylePr>
    <w:tblStylePr w:type="seCell">
      <w:tblPr/>
      <w:tcPr>
        <w:tcBorders>
          <w:top w:val="single" w:sz="4" w:space="0" w:color="3AEDFF"/>
        </w:tcBorders>
      </w:tcPr>
    </w:tblStylePr>
    <w:tblStylePr w:type="swCell">
      <w:tblPr/>
      <w:tcPr>
        <w:tcBorders>
          <w:top w:val="single" w:sz="4" w:space="0" w:color="3AEDFF"/>
        </w:tcBorders>
      </w:tcPr>
    </w:tblStylePr>
  </w:style>
  <w:style w:type="table" w:customStyle="1" w:styleId="GridTable7Colorful-Accent21">
    <w:name w:val="Grid Table 7 Colorful - Accent 21"/>
    <w:basedOn w:val="TableNormal"/>
    <w:next w:val="GridTable7Colorful-Accent2"/>
    <w:uiPriority w:val="52"/>
    <w:rsid w:val="00A24B35"/>
    <w:pPr>
      <w:spacing w:before="60" w:after="0" w:line="240" w:lineRule="auto"/>
      <w:jc w:val="left"/>
    </w:pPr>
    <w:rPr>
      <w:rFonts w:asciiTheme="minorHAnsi" w:eastAsia="Times New Roman" w:hAnsiTheme="minorHAnsi" w:cs="Times New Roman"/>
      <w:color w:val="006F52"/>
      <w:sz w:val="22"/>
      <w:szCs w:val="22"/>
      <w:lang w:val="en-US"/>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insideV w:val="single" w:sz="4" w:space="0" w:color="26FFC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6FFEB"/>
      </w:tcPr>
    </w:tblStylePr>
    <w:tblStylePr w:type="band1Horz">
      <w:tblPr/>
      <w:tcPr>
        <w:shd w:val="clear" w:color="auto" w:fill="B6FFEB"/>
      </w:tcPr>
    </w:tblStylePr>
    <w:tblStylePr w:type="neCell">
      <w:tblPr/>
      <w:tcPr>
        <w:tcBorders>
          <w:bottom w:val="single" w:sz="4" w:space="0" w:color="26FFC6"/>
        </w:tcBorders>
      </w:tcPr>
    </w:tblStylePr>
    <w:tblStylePr w:type="nwCell">
      <w:tblPr/>
      <w:tcPr>
        <w:tcBorders>
          <w:bottom w:val="single" w:sz="4" w:space="0" w:color="26FFC6"/>
        </w:tcBorders>
      </w:tcPr>
    </w:tblStylePr>
    <w:tblStylePr w:type="seCell">
      <w:tblPr/>
      <w:tcPr>
        <w:tcBorders>
          <w:top w:val="single" w:sz="4" w:space="0" w:color="26FFC6"/>
        </w:tcBorders>
      </w:tcPr>
    </w:tblStylePr>
    <w:tblStylePr w:type="swCell">
      <w:tblPr/>
      <w:tcPr>
        <w:tcBorders>
          <w:top w:val="single" w:sz="4" w:space="0" w:color="26FFC6"/>
        </w:tcBorders>
      </w:tcPr>
    </w:tblStylePr>
  </w:style>
  <w:style w:type="table" w:customStyle="1" w:styleId="GridTable7Colorful-Accent31">
    <w:name w:val="Grid Table 7 Colorful - Accent 31"/>
    <w:basedOn w:val="TableNormal"/>
    <w:next w:val="GridTable7Colorful-Accent3"/>
    <w:uiPriority w:val="52"/>
    <w:rsid w:val="00A24B35"/>
    <w:pPr>
      <w:spacing w:before="60" w:after="0" w:line="240" w:lineRule="auto"/>
      <w:jc w:val="left"/>
    </w:pPr>
    <w:rPr>
      <w:rFonts w:asciiTheme="minorHAnsi" w:eastAsia="Times New Roman" w:hAnsiTheme="minorHAnsi" w:cs="Times New Roman"/>
      <w:color w:val="581A51"/>
      <w:sz w:val="22"/>
      <w:szCs w:val="22"/>
      <w:lang w:val="en-US"/>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insideV w:val="single" w:sz="4" w:space="0" w:color="CE59C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EC7EA"/>
      </w:tcPr>
    </w:tblStylePr>
    <w:tblStylePr w:type="band1Horz">
      <w:tblPr/>
      <w:tcPr>
        <w:shd w:val="clear" w:color="auto" w:fill="EEC7EA"/>
      </w:tcPr>
    </w:tblStylePr>
    <w:tblStylePr w:type="neCell">
      <w:tblPr/>
      <w:tcPr>
        <w:tcBorders>
          <w:bottom w:val="single" w:sz="4" w:space="0" w:color="CE59C1"/>
        </w:tcBorders>
      </w:tcPr>
    </w:tblStylePr>
    <w:tblStylePr w:type="nwCell">
      <w:tblPr/>
      <w:tcPr>
        <w:tcBorders>
          <w:bottom w:val="single" w:sz="4" w:space="0" w:color="CE59C1"/>
        </w:tcBorders>
      </w:tcPr>
    </w:tblStylePr>
    <w:tblStylePr w:type="seCell">
      <w:tblPr/>
      <w:tcPr>
        <w:tcBorders>
          <w:top w:val="single" w:sz="4" w:space="0" w:color="CE59C1"/>
        </w:tcBorders>
      </w:tcPr>
    </w:tblStylePr>
    <w:tblStylePr w:type="swCell">
      <w:tblPr/>
      <w:tcPr>
        <w:tcBorders>
          <w:top w:val="single" w:sz="4" w:space="0" w:color="CE59C1"/>
        </w:tcBorders>
      </w:tcPr>
    </w:tblStylePr>
  </w:style>
  <w:style w:type="table" w:customStyle="1" w:styleId="GridTable7Colorful-Accent41">
    <w:name w:val="Grid Table 7 Colorful - Accent 41"/>
    <w:basedOn w:val="TableNormal"/>
    <w:next w:val="GridTable7Colorful-Accent4"/>
    <w:uiPriority w:val="52"/>
    <w:rsid w:val="00A24B35"/>
    <w:pPr>
      <w:spacing w:before="60" w:after="0" w:line="240" w:lineRule="auto"/>
      <w:jc w:val="left"/>
    </w:pPr>
    <w:rPr>
      <w:rFonts w:asciiTheme="minorHAnsi" w:eastAsia="Times New Roman" w:hAnsiTheme="minorHAnsi" w:cs="Times New Roman"/>
      <w:color w:val="AE5500"/>
      <w:sz w:val="22"/>
      <w:szCs w:val="22"/>
      <w:lang w:val="en-US"/>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insideV w:val="single" w:sz="4" w:space="0" w:color="FFAA58"/>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C7"/>
      </w:tcPr>
    </w:tblStylePr>
    <w:tblStylePr w:type="band1Horz">
      <w:tblPr/>
      <w:tcPr>
        <w:shd w:val="clear" w:color="auto" w:fill="FFE2C7"/>
      </w:tcPr>
    </w:tblStylePr>
    <w:tblStylePr w:type="neCell">
      <w:tblPr/>
      <w:tcPr>
        <w:tcBorders>
          <w:bottom w:val="single" w:sz="4" w:space="0" w:color="FFAA58"/>
        </w:tcBorders>
      </w:tcPr>
    </w:tblStylePr>
    <w:tblStylePr w:type="nwCell">
      <w:tblPr/>
      <w:tcPr>
        <w:tcBorders>
          <w:bottom w:val="single" w:sz="4" w:space="0" w:color="FFAA58"/>
        </w:tcBorders>
      </w:tcPr>
    </w:tblStylePr>
    <w:tblStylePr w:type="seCell">
      <w:tblPr/>
      <w:tcPr>
        <w:tcBorders>
          <w:top w:val="single" w:sz="4" w:space="0" w:color="FFAA58"/>
        </w:tcBorders>
      </w:tcPr>
    </w:tblStylePr>
    <w:tblStylePr w:type="swCell">
      <w:tblPr/>
      <w:tcPr>
        <w:tcBorders>
          <w:top w:val="single" w:sz="4" w:space="0" w:color="FFAA58"/>
        </w:tcBorders>
      </w:tcPr>
    </w:tblStylePr>
  </w:style>
  <w:style w:type="table" w:customStyle="1" w:styleId="GridTable7Colorful-Accent51">
    <w:name w:val="Grid Table 7 Colorful - Accent 51"/>
    <w:basedOn w:val="TableNormal"/>
    <w:next w:val="GridTable7Colorful-Accent5"/>
    <w:uiPriority w:val="52"/>
    <w:rsid w:val="00A24B35"/>
    <w:pPr>
      <w:spacing w:before="60" w:after="0" w:line="240" w:lineRule="auto"/>
      <w:jc w:val="left"/>
    </w:pPr>
    <w:rPr>
      <w:rFonts w:asciiTheme="minorHAnsi" w:eastAsia="Times New Roman" w:hAnsiTheme="minorHAnsi" w:cs="Times New Roman"/>
      <w:color w:val="9A9E9E"/>
      <w:sz w:val="22"/>
      <w:szCs w:val="22"/>
      <w:lang w:val="en-US"/>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insideV w:val="single" w:sz="4" w:space="0" w:color="E2E4E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F6F6"/>
      </w:tcPr>
    </w:tblStylePr>
    <w:tblStylePr w:type="band1Horz">
      <w:tblPr/>
      <w:tcPr>
        <w:shd w:val="clear" w:color="auto" w:fill="F5F6F6"/>
      </w:tcPr>
    </w:tblStylePr>
    <w:tblStylePr w:type="neCell">
      <w:tblPr/>
      <w:tcPr>
        <w:tcBorders>
          <w:bottom w:val="single" w:sz="4" w:space="0" w:color="E2E4E4"/>
        </w:tcBorders>
      </w:tcPr>
    </w:tblStylePr>
    <w:tblStylePr w:type="nwCell">
      <w:tblPr/>
      <w:tcPr>
        <w:tcBorders>
          <w:bottom w:val="single" w:sz="4" w:space="0" w:color="E2E4E4"/>
        </w:tcBorders>
      </w:tcPr>
    </w:tblStylePr>
    <w:tblStylePr w:type="seCell">
      <w:tblPr/>
      <w:tcPr>
        <w:tcBorders>
          <w:top w:val="single" w:sz="4" w:space="0" w:color="E2E4E4"/>
        </w:tcBorders>
      </w:tcPr>
    </w:tblStylePr>
    <w:tblStylePr w:type="swCell">
      <w:tblPr/>
      <w:tcPr>
        <w:tcBorders>
          <w:top w:val="single" w:sz="4" w:space="0" w:color="E2E4E4"/>
        </w:tcBorders>
      </w:tcPr>
    </w:tblStylePr>
  </w:style>
  <w:style w:type="table" w:customStyle="1" w:styleId="GridTable7Colorful-Accent61">
    <w:name w:val="Grid Table 7 Colorful - Accent 61"/>
    <w:basedOn w:val="TableNormal"/>
    <w:next w:val="GridTable7Colorful-Accent6"/>
    <w:uiPriority w:val="52"/>
    <w:rsid w:val="00A24B35"/>
    <w:pPr>
      <w:spacing w:before="60" w:after="0" w:line="240" w:lineRule="auto"/>
      <w:jc w:val="left"/>
    </w:pPr>
    <w:rPr>
      <w:rFonts w:asciiTheme="minorHAnsi" w:eastAsia="Times New Roman" w:hAnsiTheme="minorHAnsi" w:cs="Times New Roman"/>
      <w:color w:val="0073A7"/>
      <w:sz w:val="22"/>
      <w:szCs w:val="22"/>
      <w:lang w:val="en-US"/>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insideV w:val="single" w:sz="4" w:space="0" w:color="52CA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5EDFF"/>
      </w:tcPr>
    </w:tblStylePr>
    <w:tblStylePr w:type="band1Horz">
      <w:tblPr/>
      <w:tcPr>
        <w:shd w:val="clear" w:color="auto" w:fill="C5EDFF"/>
      </w:tcPr>
    </w:tblStylePr>
    <w:tblStylePr w:type="neCell">
      <w:tblPr/>
      <w:tcPr>
        <w:tcBorders>
          <w:bottom w:val="single" w:sz="4" w:space="0" w:color="52CAFF"/>
        </w:tcBorders>
      </w:tcPr>
    </w:tblStylePr>
    <w:tblStylePr w:type="nwCell">
      <w:tblPr/>
      <w:tcPr>
        <w:tcBorders>
          <w:bottom w:val="single" w:sz="4" w:space="0" w:color="52CAFF"/>
        </w:tcBorders>
      </w:tcPr>
    </w:tblStylePr>
    <w:tblStylePr w:type="seCell">
      <w:tblPr/>
      <w:tcPr>
        <w:tcBorders>
          <w:top w:val="single" w:sz="4" w:space="0" w:color="52CAFF"/>
        </w:tcBorders>
      </w:tcPr>
    </w:tblStylePr>
    <w:tblStylePr w:type="swCell">
      <w:tblPr/>
      <w:tcPr>
        <w:tcBorders>
          <w:top w:val="single" w:sz="4" w:space="0" w:color="52CAFF"/>
        </w:tcBorders>
      </w:tcPr>
    </w:tblStylePr>
  </w:style>
  <w:style w:type="paragraph" w:customStyle="1" w:styleId="IndexHeading1">
    <w:name w:val="Index Heading1"/>
    <w:basedOn w:val="Normal"/>
    <w:next w:val="Index1"/>
    <w:uiPriority w:val="99"/>
    <w:semiHidden/>
    <w:unhideWhenUsed/>
    <w:rsid w:val="00A24B35"/>
    <w:pPr>
      <w:spacing w:before="60" w:after="60" w:line="276" w:lineRule="auto"/>
      <w:jc w:val="left"/>
    </w:pPr>
    <w:rPr>
      <w:rFonts w:ascii="Arial" w:eastAsia="MS PGothic" w:hAnsi="Arial" w:cs="Arial"/>
      <w:b/>
      <w:bCs/>
      <w:color w:val="auto"/>
      <w:sz w:val="22"/>
      <w:szCs w:val="22"/>
      <w:lang w:val="en-US"/>
    </w:rPr>
  </w:style>
  <w:style w:type="table" w:customStyle="1" w:styleId="LightGrid1">
    <w:name w:val="Light Grid1"/>
    <w:basedOn w:val="TableNormal"/>
    <w:next w:val="LightGrid"/>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242828"/>
        <w:left w:val="single" w:sz="8" w:space="0" w:color="242828"/>
        <w:bottom w:val="single" w:sz="8" w:space="0" w:color="242828"/>
        <w:right w:val="single" w:sz="8" w:space="0" w:color="242828"/>
        <w:insideH w:val="single" w:sz="8" w:space="0" w:color="242828"/>
        <w:insideV w:val="single" w:sz="8" w:space="0" w:color="242828"/>
      </w:tblBorders>
    </w:tblPr>
    <w:tblStylePr w:type="firstRow">
      <w:pPr>
        <w:spacing w:before="0" w:after="0" w:line="240" w:lineRule="auto"/>
      </w:pPr>
      <w:rPr>
        <w:rFonts w:ascii="Arial" w:eastAsia="Times New Roman Bold" w:hAnsi="Arial" w:cs="Arial"/>
        <w:b/>
        <w:bCs/>
      </w:rPr>
      <w:tblPr/>
      <w:tcPr>
        <w:tcBorders>
          <w:top w:val="single" w:sz="8" w:space="0" w:color="242828"/>
          <w:left w:val="single" w:sz="8" w:space="0" w:color="242828"/>
          <w:bottom w:val="single" w:sz="18" w:space="0" w:color="242828"/>
          <w:right w:val="single" w:sz="8" w:space="0" w:color="242828"/>
          <w:insideH w:val="nil"/>
          <w:insideV w:val="single" w:sz="8" w:space="0" w:color="242828"/>
        </w:tcBorders>
      </w:tcPr>
    </w:tblStylePr>
    <w:tblStylePr w:type="lastRow">
      <w:pPr>
        <w:spacing w:before="0" w:after="0" w:line="240" w:lineRule="auto"/>
      </w:pPr>
      <w:rPr>
        <w:rFonts w:ascii="Arial" w:eastAsia="Times New Roman Bold" w:hAnsi="Arial" w:cs="Arial"/>
        <w:b/>
        <w:bCs/>
      </w:rPr>
      <w:tblPr/>
      <w:tcPr>
        <w:tcBorders>
          <w:top w:val="double" w:sz="6" w:space="0" w:color="242828"/>
          <w:left w:val="single" w:sz="8" w:space="0" w:color="242828"/>
          <w:bottom w:val="single" w:sz="8" w:space="0" w:color="242828"/>
          <w:right w:val="single" w:sz="8" w:space="0" w:color="242828"/>
          <w:insideH w:val="nil"/>
          <w:insideV w:val="single" w:sz="8" w:space="0" w:color="242828"/>
        </w:tcBorders>
      </w:tcPr>
    </w:tblStylePr>
    <w:tblStylePr w:type="firstCol">
      <w:rPr>
        <w:rFonts w:ascii="Arial" w:eastAsia="Times New Roman Bold" w:hAnsi="Arial" w:cs="Arial"/>
        <w:b/>
        <w:bCs/>
      </w:rPr>
    </w:tblStylePr>
    <w:tblStylePr w:type="lastCol">
      <w:rPr>
        <w:rFonts w:ascii="Arial" w:eastAsia="Times New Roman Bold" w:hAnsi="Arial" w:cs="Arial"/>
        <w:b/>
        <w:bCs/>
      </w:rPr>
      <w:tblPr/>
      <w:tcPr>
        <w:tcBorders>
          <w:top w:val="single" w:sz="8" w:space="0" w:color="242828"/>
          <w:left w:val="single" w:sz="8" w:space="0" w:color="242828"/>
          <w:bottom w:val="single" w:sz="8" w:space="0" w:color="242828"/>
          <w:right w:val="single" w:sz="8" w:space="0" w:color="242828"/>
        </w:tcBorders>
      </w:tcPr>
    </w:tblStylePr>
    <w:tblStylePr w:type="band1Vert">
      <w:tblPr/>
      <w:tcPr>
        <w:tcBorders>
          <w:top w:val="single" w:sz="8" w:space="0" w:color="242828"/>
          <w:left w:val="single" w:sz="8" w:space="0" w:color="242828"/>
          <w:bottom w:val="single" w:sz="8" w:space="0" w:color="242828"/>
          <w:right w:val="single" w:sz="8" w:space="0" w:color="242828"/>
        </w:tcBorders>
        <w:shd w:val="clear" w:color="auto" w:fill="C6CCCC"/>
      </w:tcPr>
    </w:tblStylePr>
    <w:tblStylePr w:type="band1Horz">
      <w:tblPr/>
      <w:tcPr>
        <w:tcBorders>
          <w:top w:val="single" w:sz="8" w:space="0" w:color="242828"/>
          <w:left w:val="single" w:sz="8" w:space="0" w:color="242828"/>
          <w:bottom w:val="single" w:sz="8" w:space="0" w:color="242828"/>
          <w:right w:val="single" w:sz="8" w:space="0" w:color="242828"/>
          <w:insideV w:val="single" w:sz="8" w:space="0" w:color="242828"/>
        </w:tcBorders>
        <w:shd w:val="clear" w:color="auto" w:fill="C6CCCC"/>
      </w:tcPr>
    </w:tblStylePr>
    <w:tblStylePr w:type="band2Horz">
      <w:tblPr/>
      <w:tcPr>
        <w:tcBorders>
          <w:top w:val="single" w:sz="8" w:space="0" w:color="242828"/>
          <w:left w:val="single" w:sz="8" w:space="0" w:color="242828"/>
          <w:bottom w:val="single" w:sz="8" w:space="0" w:color="242828"/>
          <w:right w:val="single" w:sz="8" w:space="0" w:color="242828"/>
          <w:insideV w:val="single" w:sz="8" w:space="0" w:color="242828"/>
        </w:tcBorders>
      </w:tcPr>
    </w:tblStylePr>
  </w:style>
  <w:style w:type="table" w:customStyle="1" w:styleId="LightGrid-Accent11">
    <w:name w:val="Light Grid - Accent 11"/>
    <w:basedOn w:val="TableNormal"/>
    <w:next w:val="LightGrid-Accent1"/>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A6B6"/>
        <w:left w:val="single" w:sz="8" w:space="0" w:color="00A6B6"/>
        <w:bottom w:val="single" w:sz="8" w:space="0" w:color="00A6B6"/>
        <w:right w:val="single" w:sz="8" w:space="0" w:color="00A6B6"/>
        <w:insideH w:val="single" w:sz="8" w:space="0" w:color="00A6B6"/>
        <w:insideV w:val="single" w:sz="8" w:space="0" w:color="00A6B6"/>
      </w:tblBorders>
    </w:tblPr>
    <w:tblStylePr w:type="firstRow">
      <w:pPr>
        <w:spacing w:before="0" w:after="0" w:line="240" w:lineRule="auto"/>
      </w:pPr>
      <w:rPr>
        <w:rFonts w:ascii="Arial" w:eastAsia="Times New Roman Bold" w:hAnsi="Arial" w:cs="Arial"/>
        <w:b/>
        <w:bCs/>
      </w:rPr>
      <w:tblPr/>
      <w:tcPr>
        <w:tcBorders>
          <w:top w:val="single" w:sz="8" w:space="0" w:color="00A6B6"/>
          <w:left w:val="single" w:sz="8" w:space="0" w:color="00A6B6"/>
          <w:bottom w:val="single" w:sz="18" w:space="0" w:color="00A6B6"/>
          <w:right w:val="single" w:sz="8" w:space="0" w:color="00A6B6"/>
          <w:insideH w:val="nil"/>
          <w:insideV w:val="single" w:sz="8" w:space="0" w:color="00A6B6"/>
        </w:tcBorders>
      </w:tcPr>
    </w:tblStylePr>
    <w:tblStylePr w:type="lastRow">
      <w:pPr>
        <w:spacing w:before="0" w:after="0" w:line="240" w:lineRule="auto"/>
      </w:pPr>
      <w:rPr>
        <w:rFonts w:ascii="Arial" w:eastAsia="Times New Roman Bold" w:hAnsi="Arial" w:cs="Arial"/>
        <w:b/>
        <w:bCs/>
      </w:rPr>
      <w:tblPr/>
      <w:tcPr>
        <w:tcBorders>
          <w:top w:val="double" w:sz="6" w:space="0" w:color="00A6B6"/>
          <w:left w:val="single" w:sz="8" w:space="0" w:color="00A6B6"/>
          <w:bottom w:val="single" w:sz="8" w:space="0" w:color="00A6B6"/>
          <w:right w:val="single" w:sz="8" w:space="0" w:color="00A6B6"/>
          <w:insideH w:val="nil"/>
          <w:insideV w:val="single" w:sz="8" w:space="0" w:color="00A6B6"/>
        </w:tcBorders>
      </w:tcPr>
    </w:tblStylePr>
    <w:tblStylePr w:type="firstCol">
      <w:rPr>
        <w:rFonts w:ascii="Arial" w:eastAsia="Times New Roman Bold" w:hAnsi="Arial" w:cs="Arial"/>
        <w:b/>
        <w:bCs/>
      </w:rPr>
    </w:tblStylePr>
    <w:tblStylePr w:type="lastCol">
      <w:rPr>
        <w:rFonts w:ascii="Arial" w:eastAsia="Times New Roman Bold" w:hAnsi="Arial" w:cs="Arial"/>
        <w:b/>
        <w:bCs/>
      </w:rPr>
      <w:tblPr/>
      <w:tcPr>
        <w:tcBorders>
          <w:top w:val="single" w:sz="8" w:space="0" w:color="00A6B6"/>
          <w:left w:val="single" w:sz="8" w:space="0" w:color="00A6B6"/>
          <w:bottom w:val="single" w:sz="8" w:space="0" w:color="00A6B6"/>
          <w:right w:val="single" w:sz="8" w:space="0" w:color="00A6B6"/>
        </w:tcBorders>
      </w:tcPr>
    </w:tblStylePr>
    <w:tblStylePr w:type="band1Vert">
      <w:tblPr/>
      <w:tcPr>
        <w:tcBorders>
          <w:top w:val="single" w:sz="8" w:space="0" w:color="00A6B6"/>
          <w:left w:val="single" w:sz="8" w:space="0" w:color="00A6B6"/>
          <w:bottom w:val="single" w:sz="8" w:space="0" w:color="00A6B6"/>
          <w:right w:val="single" w:sz="8" w:space="0" w:color="00A6B6"/>
        </w:tcBorders>
        <w:shd w:val="clear" w:color="auto" w:fill="ADF7FF"/>
      </w:tcPr>
    </w:tblStylePr>
    <w:tblStylePr w:type="band1Horz">
      <w:tblPr/>
      <w:tcPr>
        <w:tcBorders>
          <w:top w:val="single" w:sz="8" w:space="0" w:color="00A6B6"/>
          <w:left w:val="single" w:sz="8" w:space="0" w:color="00A6B6"/>
          <w:bottom w:val="single" w:sz="8" w:space="0" w:color="00A6B6"/>
          <w:right w:val="single" w:sz="8" w:space="0" w:color="00A6B6"/>
          <w:insideV w:val="single" w:sz="8" w:space="0" w:color="00A6B6"/>
        </w:tcBorders>
        <w:shd w:val="clear" w:color="auto" w:fill="ADF7FF"/>
      </w:tcPr>
    </w:tblStylePr>
    <w:tblStylePr w:type="band2Horz">
      <w:tblPr/>
      <w:tcPr>
        <w:tcBorders>
          <w:top w:val="single" w:sz="8" w:space="0" w:color="00A6B6"/>
          <w:left w:val="single" w:sz="8" w:space="0" w:color="00A6B6"/>
          <w:bottom w:val="single" w:sz="8" w:space="0" w:color="00A6B6"/>
          <w:right w:val="single" w:sz="8" w:space="0" w:color="00A6B6"/>
          <w:insideV w:val="single" w:sz="8" w:space="0" w:color="00A6B6"/>
        </w:tcBorders>
      </w:tcPr>
    </w:tblStylePr>
  </w:style>
  <w:style w:type="table" w:customStyle="1" w:styleId="LightGrid-Accent21">
    <w:name w:val="Light Grid - Accent 21"/>
    <w:basedOn w:val="TableNormal"/>
    <w:next w:val="LightGrid-Accent2"/>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956E"/>
        <w:left w:val="single" w:sz="8" w:space="0" w:color="00956E"/>
        <w:bottom w:val="single" w:sz="8" w:space="0" w:color="00956E"/>
        <w:right w:val="single" w:sz="8" w:space="0" w:color="00956E"/>
        <w:insideH w:val="single" w:sz="8" w:space="0" w:color="00956E"/>
        <w:insideV w:val="single" w:sz="8" w:space="0" w:color="00956E"/>
      </w:tblBorders>
    </w:tblPr>
    <w:tblStylePr w:type="firstRow">
      <w:pPr>
        <w:spacing w:before="0" w:after="0" w:line="240" w:lineRule="auto"/>
      </w:pPr>
      <w:rPr>
        <w:rFonts w:ascii="Arial" w:eastAsia="Times New Roman Bold" w:hAnsi="Arial" w:cs="Arial"/>
        <w:b/>
        <w:bCs/>
      </w:rPr>
      <w:tblPr/>
      <w:tcPr>
        <w:tcBorders>
          <w:top w:val="single" w:sz="8" w:space="0" w:color="00956E"/>
          <w:left w:val="single" w:sz="8" w:space="0" w:color="00956E"/>
          <w:bottom w:val="single" w:sz="18" w:space="0" w:color="00956E"/>
          <w:right w:val="single" w:sz="8" w:space="0" w:color="00956E"/>
          <w:insideH w:val="nil"/>
          <w:insideV w:val="single" w:sz="8" w:space="0" w:color="00956E"/>
        </w:tcBorders>
      </w:tcPr>
    </w:tblStylePr>
    <w:tblStylePr w:type="lastRow">
      <w:pPr>
        <w:spacing w:before="0" w:after="0" w:line="240" w:lineRule="auto"/>
      </w:pPr>
      <w:rPr>
        <w:rFonts w:ascii="Arial" w:eastAsia="Times New Roman Bold" w:hAnsi="Arial" w:cs="Arial"/>
        <w:b/>
        <w:bCs/>
      </w:rPr>
      <w:tblPr/>
      <w:tcPr>
        <w:tcBorders>
          <w:top w:val="double" w:sz="6" w:space="0" w:color="00956E"/>
          <w:left w:val="single" w:sz="8" w:space="0" w:color="00956E"/>
          <w:bottom w:val="single" w:sz="8" w:space="0" w:color="00956E"/>
          <w:right w:val="single" w:sz="8" w:space="0" w:color="00956E"/>
          <w:insideH w:val="nil"/>
          <w:insideV w:val="single" w:sz="8" w:space="0" w:color="00956E"/>
        </w:tcBorders>
      </w:tcPr>
    </w:tblStylePr>
    <w:tblStylePr w:type="firstCol">
      <w:rPr>
        <w:rFonts w:ascii="Arial" w:eastAsia="Times New Roman Bold" w:hAnsi="Arial" w:cs="Arial"/>
        <w:b/>
        <w:bCs/>
      </w:rPr>
    </w:tblStylePr>
    <w:tblStylePr w:type="lastCol">
      <w:rPr>
        <w:rFonts w:ascii="Arial" w:eastAsia="Times New Roman Bold" w:hAnsi="Arial" w:cs="Arial"/>
        <w:b/>
        <w:bCs/>
      </w:rPr>
      <w:tblPr/>
      <w:tcPr>
        <w:tcBorders>
          <w:top w:val="single" w:sz="8" w:space="0" w:color="00956E"/>
          <w:left w:val="single" w:sz="8" w:space="0" w:color="00956E"/>
          <w:bottom w:val="single" w:sz="8" w:space="0" w:color="00956E"/>
          <w:right w:val="single" w:sz="8" w:space="0" w:color="00956E"/>
        </w:tcBorders>
      </w:tcPr>
    </w:tblStylePr>
    <w:tblStylePr w:type="band1Vert">
      <w:tblPr/>
      <w:tcPr>
        <w:tcBorders>
          <w:top w:val="single" w:sz="8" w:space="0" w:color="00956E"/>
          <w:left w:val="single" w:sz="8" w:space="0" w:color="00956E"/>
          <w:bottom w:val="single" w:sz="8" w:space="0" w:color="00956E"/>
          <w:right w:val="single" w:sz="8" w:space="0" w:color="00956E"/>
        </w:tcBorders>
        <w:shd w:val="clear" w:color="auto" w:fill="A5FFE7"/>
      </w:tcPr>
    </w:tblStylePr>
    <w:tblStylePr w:type="band1Horz">
      <w:tblPr/>
      <w:tcPr>
        <w:tcBorders>
          <w:top w:val="single" w:sz="8" w:space="0" w:color="00956E"/>
          <w:left w:val="single" w:sz="8" w:space="0" w:color="00956E"/>
          <w:bottom w:val="single" w:sz="8" w:space="0" w:color="00956E"/>
          <w:right w:val="single" w:sz="8" w:space="0" w:color="00956E"/>
          <w:insideV w:val="single" w:sz="8" w:space="0" w:color="00956E"/>
        </w:tcBorders>
        <w:shd w:val="clear" w:color="auto" w:fill="A5FFE7"/>
      </w:tcPr>
    </w:tblStylePr>
    <w:tblStylePr w:type="band2Horz">
      <w:tblPr/>
      <w:tcPr>
        <w:tcBorders>
          <w:top w:val="single" w:sz="8" w:space="0" w:color="00956E"/>
          <w:left w:val="single" w:sz="8" w:space="0" w:color="00956E"/>
          <w:bottom w:val="single" w:sz="8" w:space="0" w:color="00956E"/>
          <w:right w:val="single" w:sz="8" w:space="0" w:color="00956E"/>
          <w:insideV w:val="single" w:sz="8" w:space="0" w:color="00956E"/>
        </w:tcBorders>
      </w:tcPr>
    </w:tblStylePr>
  </w:style>
  <w:style w:type="table" w:customStyle="1" w:styleId="LightGrid-Accent31">
    <w:name w:val="Light Grid - Accent 31"/>
    <w:basedOn w:val="TableNormal"/>
    <w:next w:val="LightGrid-Accent3"/>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76236D"/>
        <w:left w:val="single" w:sz="8" w:space="0" w:color="76236D"/>
        <w:bottom w:val="single" w:sz="8" w:space="0" w:color="76236D"/>
        <w:right w:val="single" w:sz="8" w:space="0" w:color="76236D"/>
        <w:insideH w:val="single" w:sz="8" w:space="0" w:color="76236D"/>
        <w:insideV w:val="single" w:sz="8" w:space="0" w:color="76236D"/>
      </w:tblBorders>
    </w:tblPr>
    <w:tblStylePr w:type="firstRow">
      <w:pPr>
        <w:spacing w:before="0" w:after="0" w:line="240" w:lineRule="auto"/>
      </w:pPr>
      <w:rPr>
        <w:rFonts w:ascii="Arial" w:eastAsia="Times New Roman Bold" w:hAnsi="Arial" w:cs="Arial"/>
        <w:b/>
        <w:bCs/>
      </w:rPr>
      <w:tblPr/>
      <w:tcPr>
        <w:tcBorders>
          <w:top w:val="single" w:sz="8" w:space="0" w:color="76236D"/>
          <w:left w:val="single" w:sz="8" w:space="0" w:color="76236D"/>
          <w:bottom w:val="single" w:sz="18" w:space="0" w:color="76236D"/>
          <w:right w:val="single" w:sz="8" w:space="0" w:color="76236D"/>
          <w:insideH w:val="nil"/>
          <w:insideV w:val="single" w:sz="8" w:space="0" w:color="76236D"/>
        </w:tcBorders>
      </w:tcPr>
    </w:tblStylePr>
    <w:tblStylePr w:type="lastRow">
      <w:pPr>
        <w:spacing w:before="0" w:after="0" w:line="240" w:lineRule="auto"/>
      </w:pPr>
      <w:rPr>
        <w:rFonts w:ascii="Arial" w:eastAsia="Times New Roman Bold" w:hAnsi="Arial" w:cs="Arial"/>
        <w:b/>
        <w:bCs/>
      </w:rPr>
      <w:tblPr/>
      <w:tcPr>
        <w:tcBorders>
          <w:top w:val="double" w:sz="6" w:space="0" w:color="76236D"/>
          <w:left w:val="single" w:sz="8" w:space="0" w:color="76236D"/>
          <w:bottom w:val="single" w:sz="8" w:space="0" w:color="76236D"/>
          <w:right w:val="single" w:sz="8" w:space="0" w:color="76236D"/>
          <w:insideH w:val="nil"/>
          <w:insideV w:val="single" w:sz="8" w:space="0" w:color="76236D"/>
        </w:tcBorders>
      </w:tcPr>
    </w:tblStylePr>
    <w:tblStylePr w:type="firstCol">
      <w:rPr>
        <w:rFonts w:ascii="Arial" w:eastAsia="Times New Roman Bold" w:hAnsi="Arial" w:cs="Arial"/>
        <w:b/>
        <w:bCs/>
      </w:rPr>
    </w:tblStylePr>
    <w:tblStylePr w:type="lastCol">
      <w:rPr>
        <w:rFonts w:ascii="Arial" w:eastAsia="Times New Roman Bold" w:hAnsi="Arial" w:cs="Arial"/>
        <w:b/>
        <w:bCs/>
      </w:rPr>
      <w:tblPr/>
      <w:tcPr>
        <w:tcBorders>
          <w:top w:val="single" w:sz="8" w:space="0" w:color="76236D"/>
          <w:left w:val="single" w:sz="8" w:space="0" w:color="76236D"/>
          <w:bottom w:val="single" w:sz="8" w:space="0" w:color="76236D"/>
          <w:right w:val="single" w:sz="8" w:space="0" w:color="76236D"/>
        </w:tcBorders>
      </w:tcPr>
    </w:tblStylePr>
    <w:tblStylePr w:type="band1Vert">
      <w:tblPr/>
      <w:tcPr>
        <w:tcBorders>
          <w:top w:val="single" w:sz="8" w:space="0" w:color="76236D"/>
          <w:left w:val="single" w:sz="8" w:space="0" w:color="76236D"/>
          <w:bottom w:val="single" w:sz="8" w:space="0" w:color="76236D"/>
          <w:right w:val="single" w:sz="8" w:space="0" w:color="76236D"/>
        </w:tcBorders>
        <w:shd w:val="clear" w:color="auto" w:fill="EABAE5"/>
      </w:tcPr>
    </w:tblStylePr>
    <w:tblStylePr w:type="band1Horz">
      <w:tblPr/>
      <w:tcPr>
        <w:tcBorders>
          <w:top w:val="single" w:sz="8" w:space="0" w:color="76236D"/>
          <w:left w:val="single" w:sz="8" w:space="0" w:color="76236D"/>
          <w:bottom w:val="single" w:sz="8" w:space="0" w:color="76236D"/>
          <w:right w:val="single" w:sz="8" w:space="0" w:color="76236D"/>
          <w:insideV w:val="single" w:sz="8" w:space="0" w:color="76236D"/>
        </w:tcBorders>
        <w:shd w:val="clear" w:color="auto" w:fill="EABAE5"/>
      </w:tcPr>
    </w:tblStylePr>
    <w:tblStylePr w:type="band2Horz">
      <w:tblPr/>
      <w:tcPr>
        <w:tcBorders>
          <w:top w:val="single" w:sz="8" w:space="0" w:color="76236D"/>
          <w:left w:val="single" w:sz="8" w:space="0" w:color="76236D"/>
          <w:bottom w:val="single" w:sz="8" w:space="0" w:color="76236D"/>
          <w:right w:val="single" w:sz="8" w:space="0" w:color="76236D"/>
          <w:insideV w:val="single" w:sz="8" w:space="0" w:color="76236D"/>
        </w:tcBorders>
      </w:tcPr>
    </w:tblStylePr>
  </w:style>
  <w:style w:type="table" w:customStyle="1" w:styleId="LightGrid-Accent41">
    <w:name w:val="Light Grid - Accent 41"/>
    <w:basedOn w:val="TableNormal"/>
    <w:next w:val="LightGrid-Accent4"/>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E97300"/>
        <w:left w:val="single" w:sz="8" w:space="0" w:color="E97300"/>
        <w:bottom w:val="single" w:sz="8" w:space="0" w:color="E97300"/>
        <w:right w:val="single" w:sz="8" w:space="0" w:color="E97300"/>
        <w:insideH w:val="single" w:sz="8" w:space="0" w:color="E97300"/>
        <w:insideV w:val="single" w:sz="8" w:space="0" w:color="E97300"/>
      </w:tblBorders>
    </w:tblPr>
    <w:tblStylePr w:type="firstRow">
      <w:pPr>
        <w:spacing w:before="0" w:after="0" w:line="240" w:lineRule="auto"/>
      </w:pPr>
      <w:rPr>
        <w:rFonts w:ascii="Arial" w:eastAsia="Times New Roman Bold" w:hAnsi="Arial" w:cs="Arial"/>
        <w:b/>
        <w:bCs/>
      </w:rPr>
      <w:tblPr/>
      <w:tcPr>
        <w:tcBorders>
          <w:top w:val="single" w:sz="8" w:space="0" w:color="E97300"/>
          <w:left w:val="single" w:sz="8" w:space="0" w:color="E97300"/>
          <w:bottom w:val="single" w:sz="18" w:space="0" w:color="E97300"/>
          <w:right w:val="single" w:sz="8" w:space="0" w:color="E97300"/>
          <w:insideH w:val="nil"/>
          <w:insideV w:val="single" w:sz="8" w:space="0" w:color="E97300"/>
        </w:tcBorders>
      </w:tcPr>
    </w:tblStylePr>
    <w:tblStylePr w:type="lastRow">
      <w:pPr>
        <w:spacing w:before="0" w:after="0" w:line="240" w:lineRule="auto"/>
      </w:pPr>
      <w:rPr>
        <w:rFonts w:ascii="Arial" w:eastAsia="Times New Roman Bold" w:hAnsi="Arial" w:cs="Arial"/>
        <w:b/>
        <w:bCs/>
      </w:rPr>
      <w:tblPr/>
      <w:tcPr>
        <w:tcBorders>
          <w:top w:val="double" w:sz="6" w:space="0" w:color="E97300"/>
          <w:left w:val="single" w:sz="8" w:space="0" w:color="E97300"/>
          <w:bottom w:val="single" w:sz="8" w:space="0" w:color="E97300"/>
          <w:right w:val="single" w:sz="8" w:space="0" w:color="E97300"/>
          <w:insideH w:val="nil"/>
          <w:insideV w:val="single" w:sz="8" w:space="0" w:color="E97300"/>
        </w:tcBorders>
      </w:tcPr>
    </w:tblStylePr>
    <w:tblStylePr w:type="firstCol">
      <w:rPr>
        <w:rFonts w:ascii="Arial" w:eastAsia="Times New Roman Bold" w:hAnsi="Arial" w:cs="Arial"/>
        <w:b/>
        <w:bCs/>
      </w:rPr>
    </w:tblStylePr>
    <w:tblStylePr w:type="lastCol">
      <w:rPr>
        <w:rFonts w:ascii="Arial" w:eastAsia="Times New Roman Bold" w:hAnsi="Arial" w:cs="Arial"/>
        <w:b/>
        <w:bCs/>
      </w:rPr>
      <w:tblPr/>
      <w:tcPr>
        <w:tcBorders>
          <w:top w:val="single" w:sz="8" w:space="0" w:color="E97300"/>
          <w:left w:val="single" w:sz="8" w:space="0" w:color="E97300"/>
          <w:bottom w:val="single" w:sz="8" w:space="0" w:color="E97300"/>
          <w:right w:val="single" w:sz="8" w:space="0" w:color="E97300"/>
        </w:tcBorders>
      </w:tcPr>
    </w:tblStylePr>
    <w:tblStylePr w:type="band1Vert">
      <w:tblPr/>
      <w:tcPr>
        <w:tcBorders>
          <w:top w:val="single" w:sz="8" w:space="0" w:color="E97300"/>
          <w:left w:val="single" w:sz="8" w:space="0" w:color="E97300"/>
          <w:bottom w:val="single" w:sz="8" w:space="0" w:color="E97300"/>
          <w:right w:val="single" w:sz="8" w:space="0" w:color="E97300"/>
        </w:tcBorders>
        <w:shd w:val="clear" w:color="auto" w:fill="FFDBBA"/>
      </w:tcPr>
    </w:tblStylePr>
    <w:tblStylePr w:type="band1Horz">
      <w:tblPr/>
      <w:tcPr>
        <w:tcBorders>
          <w:top w:val="single" w:sz="8" w:space="0" w:color="E97300"/>
          <w:left w:val="single" w:sz="8" w:space="0" w:color="E97300"/>
          <w:bottom w:val="single" w:sz="8" w:space="0" w:color="E97300"/>
          <w:right w:val="single" w:sz="8" w:space="0" w:color="E97300"/>
          <w:insideV w:val="single" w:sz="8" w:space="0" w:color="E97300"/>
        </w:tcBorders>
        <w:shd w:val="clear" w:color="auto" w:fill="FFDBBA"/>
      </w:tcPr>
    </w:tblStylePr>
    <w:tblStylePr w:type="band2Horz">
      <w:tblPr/>
      <w:tcPr>
        <w:tcBorders>
          <w:top w:val="single" w:sz="8" w:space="0" w:color="E97300"/>
          <w:left w:val="single" w:sz="8" w:space="0" w:color="E97300"/>
          <w:bottom w:val="single" w:sz="8" w:space="0" w:color="E97300"/>
          <w:right w:val="single" w:sz="8" w:space="0" w:color="E97300"/>
          <w:insideV w:val="single" w:sz="8" w:space="0" w:color="E97300"/>
        </w:tcBorders>
      </w:tcPr>
    </w:tblStylePr>
  </w:style>
  <w:style w:type="table" w:customStyle="1" w:styleId="LightGrid-Accent51">
    <w:name w:val="Light Grid - Accent 51"/>
    <w:basedOn w:val="TableNormal"/>
    <w:next w:val="LightGrid-Accent5"/>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D0D2D2"/>
        <w:left w:val="single" w:sz="8" w:space="0" w:color="D0D2D2"/>
        <w:bottom w:val="single" w:sz="8" w:space="0" w:color="D0D2D2"/>
        <w:right w:val="single" w:sz="8" w:space="0" w:color="D0D2D2"/>
        <w:insideH w:val="single" w:sz="8" w:space="0" w:color="D0D2D2"/>
        <w:insideV w:val="single" w:sz="8" w:space="0" w:color="D0D2D2"/>
      </w:tblBorders>
    </w:tblPr>
    <w:tblStylePr w:type="firstRow">
      <w:pPr>
        <w:spacing w:before="0" w:after="0" w:line="240" w:lineRule="auto"/>
      </w:pPr>
      <w:rPr>
        <w:rFonts w:ascii="Arial" w:eastAsia="Times New Roman Bold" w:hAnsi="Arial" w:cs="Arial"/>
        <w:b/>
        <w:bCs/>
      </w:rPr>
      <w:tblPr/>
      <w:tcPr>
        <w:tcBorders>
          <w:top w:val="single" w:sz="8" w:space="0" w:color="D0D2D2"/>
          <w:left w:val="single" w:sz="8" w:space="0" w:color="D0D2D2"/>
          <w:bottom w:val="single" w:sz="18" w:space="0" w:color="D0D2D2"/>
          <w:right w:val="single" w:sz="8" w:space="0" w:color="D0D2D2"/>
          <w:insideH w:val="nil"/>
          <w:insideV w:val="single" w:sz="8" w:space="0" w:color="D0D2D2"/>
        </w:tcBorders>
      </w:tcPr>
    </w:tblStylePr>
    <w:tblStylePr w:type="lastRow">
      <w:pPr>
        <w:spacing w:before="0" w:after="0" w:line="240" w:lineRule="auto"/>
      </w:pPr>
      <w:rPr>
        <w:rFonts w:ascii="Arial" w:eastAsia="Times New Roman Bold" w:hAnsi="Arial" w:cs="Arial"/>
        <w:b/>
        <w:bCs/>
      </w:rPr>
      <w:tblPr/>
      <w:tcPr>
        <w:tcBorders>
          <w:top w:val="double" w:sz="6" w:space="0" w:color="D0D2D2"/>
          <w:left w:val="single" w:sz="8" w:space="0" w:color="D0D2D2"/>
          <w:bottom w:val="single" w:sz="8" w:space="0" w:color="D0D2D2"/>
          <w:right w:val="single" w:sz="8" w:space="0" w:color="D0D2D2"/>
          <w:insideH w:val="nil"/>
          <w:insideV w:val="single" w:sz="8" w:space="0" w:color="D0D2D2"/>
        </w:tcBorders>
      </w:tcPr>
    </w:tblStylePr>
    <w:tblStylePr w:type="firstCol">
      <w:rPr>
        <w:rFonts w:ascii="Arial" w:eastAsia="Times New Roman Bold" w:hAnsi="Arial" w:cs="Arial"/>
        <w:b/>
        <w:bCs/>
      </w:rPr>
    </w:tblStylePr>
    <w:tblStylePr w:type="lastCol">
      <w:rPr>
        <w:rFonts w:ascii="Arial" w:eastAsia="Times New Roman Bold" w:hAnsi="Arial" w:cs="Arial"/>
        <w:b/>
        <w:bCs/>
      </w:rPr>
      <w:tblPr/>
      <w:tcPr>
        <w:tcBorders>
          <w:top w:val="single" w:sz="8" w:space="0" w:color="D0D2D2"/>
          <w:left w:val="single" w:sz="8" w:space="0" w:color="D0D2D2"/>
          <w:bottom w:val="single" w:sz="8" w:space="0" w:color="D0D2D2"/>
          <w:right w:val="single" w:sz="8" w:space="0" w:color="D0D2D2"/>
        </w:tcBorders>
      </w:tcPr>
    </w:tblStylePr>
    <w:tblStylePr w:type="band1Vert">
      <w:tblPr/>
      <w:tcPr>
        <w:tcBorders>
          <w:top w:val="single" w:sz="8" w:space="0" w:color="D0D2D2"/>
          <w:left w:val="single" w:sz="8" w:space="0" w:color="D0D2D2"/>
          <w:bottom w:val="single" w:sz="8" w:space="0" w:color="D0D2D2"/>
          <w:right w:val="single" w:sz="8" w:space="0" w:color="D0D2D2"/>
        </w:tcBorders>
        <w:shd w:val="clear" w:color="auto" w:fill="F3F3F3"/>
      </w:tcPr>
    </w:tblStylePr>
    <w:tblStylePr w:type="band1Horz">
      <w:tblPr/>
      <w:tcPr>
        <w:tcBorders>
          <w:top w:val="single" w:sz="8" w:space="0" w:color="D0D2D2"/>
          <w:left w:val="single" w:sz="8" w:space="0" w:color="D0D2D2"/>
          <w:bottom w:val="single" w:sz="8" w:space="0" w:color="D0D2D2"/>
          <w:right w:val="single" w:sz="8" w:space="0" w:color="D0D2D2"/>
          <w:insideV w:val="single" w:sz="8" w:space="0" w:color="D0D2D2"/>
        </w:tcBorders>
        <w:shd w:val="clear" w:color="auto" w:fill="F3F3F3"/>
      </w:tcPr>
    </w:tblStylePr>
    <w:tblStylePr w:type="band2Horz">
      <w:tblPr/>
      <w:tcPr>
        <w:tcBorders>
          <w:top w:val="single" w:sz="8" w:space="0" w:color="D0D2D2"/>
          <w:left w:val="single" w:sz="8" w:space="0" w:color="D0D2D2"/>
          <w:bottom w:val="single" w:sz="8" w:space="0" w:color="D0D2D2"/>
          <w:right w:val="single" w:sz="8" w:space="0" w:color="D0D2D2"/>
          <w:insideV w:val="single" w:sz="8" w:space="0" w:color="D0D2D2"/>
        </w:tcBorders>
      </w:tcPr>
    </w:tblStylePr>
  </w:style>
  <w:style w:type="table" w:customStyle="1" w:styleId="LightGrid-Accent61">
    <w:name w:val="Light Grid - Accent 61"/>
    <w:basedOn w:val="TableNormal"/>
    <w:next w:val="LightGrid-Accent6"/>
    <w:uiPriority w:val="62"/>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9BDF"/>
        <w:left w:val="single" w:sz="8" w:space="0" w:color="009BDF"/>
        <w:bottom w:val="single" w:sz="8" w:space="0" w:color="009BDF"/>
        <w:right w:val="single" w:sz="8" w:space="0" w:color="009BDF"/>
        <w:insideH w:val="single" w:sz="8" w:space="0" w:color="009BDF"/>
        <w:insideV w:val="single" w:sz="8" w:space="0" w:color="009BDF"/>
      </w:tblBorders>
    </w:tblPr>
    <w:tblStylePr w:type="firstRow">
      <w:pPr>
        <w:spacing w:before="0" w:after="0" w:line="240" w:lineRule="auto"/>
      </w:pPr>
      <w:rPr>
        <w:rFonts w:ascii="Arial" w:eastAsia="Times New Roman Bold" w:hAnsi="Arial" w:cs="Arial"/>
        <w:b/>
        <w:bCs/>
      </w:rPr>
      <w:tblPr/>
      <w:tcPr>
        <w:tcBorders>
          <w:top w:val="single" w:sz="8" w:space="0" w:color="009BDF"/>
          <w:left w:val="single" w:sz="8" w:space="0" w:color="009BDF"/>
          <w:bottom w:val="single" w:sz="18" w:space="0" w:color="009BDF"/>
          <w:right w:val="single" w:sz="8" w:space="0" w:color="009BDF"/>
          <w:insideH w:val="nil"/>
          <w:insideV w:val="single" w:sz="8" w:space="0" w:color="009BDF"/>
        </w:tcBorders>
      </w:tcPr>
    </w:tblStylePr>
    <w:tblStylePr w:type="lastRow">
      <w:pPr>
        <w:spacing w:before="0" w:after="0" w:line="240" w:lineRule="auto"/>
      </w:pPr>
      <w:rPr>
        <w:rFonts w:ascii="Arial" w:eastAsia="Times New Roman Bold" w:hAnsi="Arial" w:cs="Arial"/>
        <w:b/>
        <w:bCs/>
      </w:rPr>
      <w:tblPr/>
      <w:tcPr>
        <w:tcBorders>
          <w:top w:val="double" w:sz="6" w:space="0" w:color="009BDF"/>
          <w:left w:val="single" w:sz="8" w:space="0" w:color="009BDF"/>
          <w:bottom w:val="single" w:sz="8" w:space="0" w:color="009BDF"/>
          <w:right w:val="single" w:sz="8" w:space="0" w:color="009BDF"/>
          <w:insideH w:val="nil"/>
          <w:insideV w:val="single" w:sz="8" w:space="0" w:color="009BDF"/>
        </w:tcBorders>
      </w:tcPr>
    </w:tblStylePr>
    <w:tblStylePr w:type="firstCol">
      <w:rPr>
        <w:rFonts w:ascii="Arial" w:eastAsia="Times New Roman Bold" w:hAnsi="Arial" w:cs="Arial"/>
        <w:b/>
        <w:bCs/>
      </w:rPr>
    </w:tblStylePr>
    <w:tblStylePr w:type="lastCol">
      <w:rPr>
        <w:rFonts w:ascii="Arial" w:eastAsia="Times New Roman Bold" w:hAnsi="Arial" w:cs="Arial"/>
        <w:b/>
        <w:bCs/>
      </w:rPr>
      <w:tblPr/>
      <w:tcPr>
        <w:tcBorders>
          <w:top w:val="single" w:sz="8" w:space="0" w:color="009BDF"/>
          <w:left w:val="single" w:sz="8" w:space="0" w:color="009BDF"/>
          <w:bottom w:val="single" w:sz="8" w:space="0" w:color="009BDF"/>
          <w:right w:val="single" w:sz="8" w:space="0" w:color="009BDF"/>
        </w:tcBorders>
      </w:tcPr>
    </w:tblStylePr>
    <w:tblStylePr w:type="band1Vert">
      <w:tblPr/>
      <w:tcPr>
        <w:tcBorders>
          <w:top w:val="single" w:sz="8" w:space="0" w:color="009BDF"/>
          <w:left w:val="single" w:sz="8" w:space="0" w:color="009BDF"/>
          <w:bottom w:val="single" w:sz="8" w:space="0" w:color="009BDF"/>
          <w:right w:val="single" w:sz="8" w:space="0" w:color="009BDF"/>
        </w:tcBorders>
        <w:shd w:val="clear" w:color="auto" w:fill="B8E9FF"/>
      </w:tcPr>
    </w:tblStylePr>
    <w:tblStylePr w:type="band1Horz">
      <w:tblPr/>
      <w:tcPr>
        <w:tcBorders>
          <w:top w:val="single" w:sz="8" w:space="0" w:color="009BDF"/>
          <w:left w:val="single" w:sz="8" w:space="0" w:color="009BDF"/>
          <w:bottom w:val="single" w:sz="8" w:space="0" w:color="009BDF"/>
          <w:right w:val="single" w:sz="8" w:space="0" w:color="009BDF"/>
          <w:insideV w:val="single" w:sz="8" w:space="0" w:color="009BDF"/>
        </w:tcBorders>
        <w:shd w:val="clear" w:color="auto" w:fill="B8E9FF"/>
      </w:tcPr>
    </w:tblStylePr>
    <w:tblStylePr w:type="band2Horz">
      <w:tblPr/>
      <w:tcPr>
        <w:tcBorders>
          <w:top w:val="single" w:sz="8" w:space="0" w:color="009BDF"/>
          <w:left w:val="single" w:sz="8" w:space="0" w:color="009BDF"/>
          <w:bottom w:val="single" w:sz="8" w:space="0" w:color="009BDF"/>
          <w:right w:val="single" w:sz="8" w:space="0" w:color="009BDF"/>
          <w:insideV w:val="single" w:sz="8" w:space="0" w:color="009BDF"/>
        </w:tcBorders>
      </w:tcPr>
    </w:tblStylePr>
  </w:style>
  <w:style w:type="table" w:customStyle="1" w:styleId="LightList1">
    <w:name w:val="Light List1"/>
    <w:basedOn w:val="TableNormal"/>
    <w:next w:val="LightList"/>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242828"/>
        <w:left w:val="single" w:sz="8" w:space="0" w:color="242828"/>
        <w:bottom w:val="single" w:sz="8" w:space="0" w:color="242828"/>
        <w:right w:val="single" w:sz="8" w:space="0" w:color="242828"/>
      </w:tcBorders>
    </w:tcPr>
    <w:tblStylePr w:type="firstRow">
      <w:pPr>
        <w:spacing w:before="0" w:after="0" w:line="240" w:lineRule="auto"/>
      </w:pPr>
      <w:rPr>
        <w:b/>
        <w:bCs/>
        <w:color w:val="FFFFFF"/>
      </w:rPr>
      <w:tblPr/>
      <w:tcPr>
        <w:shd w:val="clear" w:color="auto" w:fill="242828"/>
      </w:tcPr>
    </w:tblStylePr>
    <w:tblStylePr w:type="lastRow">
      <w:pPr>
        <w:spacing w:before="0" w:after="0" w:line="240" w:lineRule="auto"/>
      </w:pPr>
      <w:rPr>
        <w:b/>
        <w:bCs/>
      </w:rPr>
      <w:tblPr/>
      <w:tcPr>
        <w:tcBorders>
          <w:top w:val="double" w:sz="6" w:space="0" w:color="242828"/>
          <w:left w:val="single" w:sz="8" w:space="0" w:color="242828"/>
          <w:bottom w:val="single" w:sz="8" w:space="0" w:color="242828"/>
          <w:right w:val="single" w:sz="8" w:space="0" w:color="242828"/>
        </w:tcBorders>
      </w:tcPr>
    </w:tblStylePr>
    <w:tblStylePr w:type="firstCol">
      <w:rPr>
        <w:b/>
        <w:bCs/>
      </w:rPr>
    </w:tblStylePr>
    <w:tblStylePr w:type="lastCol">
      <w:rPr>
        <w:b/>
        <w:bCs/>
      </w:rPr>
    </w:tblStylePr>
  </w:style>
  <w:style w:type="table" w:customStyle="1" w:styleId="LightList-Accent11">
    <w:name w:val="Light List - Accent 11"/>
    <w:basedOn w:val="TableNormal"/>
    <w:next w:val="LightList-Accent1"/>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A6B6"/>
        <w:left w:val="single" w:sz="8" w:space="0" w:color="00A6B6"/>
        <w:bottom w:val="single" w:sz="8" w:space="0" w:color="00A6B6"/>
        <w:right w:val="single" w:sz="8" w:space="0" w:color="00A6B6"/>
      </w:tcBorders>
    </w:tcPr>
    <w:tblStylePr w:type="firstRow">
      <w:pPr>
        <w:spacing w:before="0" w:after="0" w:line="240" w:lineRule="auto"/>
      </w:pPr>
      <w:rPr>
        <w:b/>
        <w:bCs/>
        <w:color w:val="FFFFFF"/>
      </w:rPr>
      <w:tblPr/>
      <w:tcPr>
        <w:shd w:val="clear" w:color="auto" w:fill="00A6B6"/>
      </w:tcPr>
    </w:tblStylePr>
    <w:tblStylePr w:type="lastRow">
      <w:pPr>
        <w:spacing w:before="0" w:after="0" w:line="240" w:lineRule="auto"/>
      </w:pPr>
      <w:rPr>
        <w:b/>
        <w:bCs/>
      </w:rPr>
      <w:tblPr/>
      <w:tcPr>
        <w:tcBorders>
          <w:top w:val="double" w:sz="6" w:space="0" w:color="00A6B6"/>
          <w:left w:val="single" w:sz="8" w:space="0" w:color="00A6B6"/>
          <w:bottom w:val="single" w:sz="8" w:space="0" w:color="00A6B6"/>
          <w:right w:val="single" w:sz="8" w:space="0" w:color="00A6B6"/>
        </w:tcBorders>
      </w:tcPr>
    </w:tblStylePr>
    <w:tblStylePr w:type="firstCol">
      <w:rPr>
        <w:b/>
        <w:bCs/>
      </w:rPr>
    </w:tblStylePr>
    <w:tblStylePr w:type="lastCol">
      <w:rPr>
        <w:b/>
        <w:bCs/>
      </w:rPr>
    </w:tblStylePr>
  </w:style>
  <w:style w:type="table" w:customStyle="1" w:styleId="LightList-Accent21">
    <w:name w:val="Light List - Accent 21"/>
    <w:basedOn w:val="TableNormal"/>
    <w:next w:val="LightList-Accent2"/>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956E"/>
        <w:left w:val="single" w:sz="8" w:space="0" w:color="00956E"/>
        <w:bottom w:val="single" w:sz="8" w:space="0" w:color="00956E"/>
        <w:right w:val="single" w:sz="8" w:space="0" w:color="00956E"/>
      </w:tcBorders>
    </w:tcPr>
    <w:tblStylePr w:type="firstRow">
      <w:pPr>
        <w:spacing w:before="0" w:after="0" w:line="240" w:lineRule="auto"/>
      </w:pPr>
      <w:rPr>
        <w:b/>
        <w:bCs/>
        <w:color w:val="FFFFFF"/>
      </w:rPr>
      <w:tblPr/>
      <w:tcPr>
        <w:shd w:val="clear" w:color="auto" w:fill="00956E"/>
      </w:tcPr>
    </w:tblStylePr>
    <w:tblStylePr w:type="lastRow">
      <w:pPr>
        <w:spacing w:before="0" w:after="0" w:line="240" w:lineRule="auto"/>
      </w:pPr>
      <w:rPr>
        <w:b/>
        <w:bCs/>
      </w:rPr>
      <w:tblPr/>
      <w:tcPr>
        <w:tcBorders>
          <w:top w:val="double" w:sz="6" w:space="0" w:color="00956E"/>
          <w:left w:val="single" w:sz="8" w:space="0" w:color="00956E"/>
          <w:bottom w:val="single" w:sz="8" w:space="0" w:color="00956E"/>
          <w:right w:val="single" w:sz="8" w:space="0" w:color="00956E"/>
        </w:tcBorders>
      </w:tcPr>
    </w:tblStylePr>
    <w:tblStylePr w:type="firstCol">
      <w:rPr>
        <w:b/>
        <w:bCs/>
      </w:rPr>
    </w:tblStylePr>
    <w:tblStylePr w:type="lastCol">
      <w:rPr>
        <w:b/>
        <w:bCs/>
      </w:rPr>
    </w:tblStylePr>
  </w:style>
  <w:style w:type="table" w:customStyle="1" w:styleId="LightList-Accent31">
    <w:name w:val="Light List - Accent 31"/>
    <w:basedOn w:val="TableNormal"/>
    <w:next w:val="LightList-Accent3"/>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76236D"/>
        <w:left w:val="single" w:sz="8" w:space="0" w:color="76236D"/>
        <w:bottom w:val="single" w:sz="8" w:space="0" w:color="76236D"/>
        <w:right w:val="single" w:sz="8" w:space="0" w:color="76236D"/>
      </w:tcBorders>
    </w:tcPr>
    <w:tblStylePr w:type="firstRow">
      <w:pPr>
        <w:spacing w:before="0" w:after="0" w:line="240" w:lineRule="auto"/>
      </w:pPr>
      <w:rPr>
        <w:b/>
        <w:bCs/>
        <w:color w:val="FFFFFF"/>
      </w:rPr>
      <w:tblPr/>
      <w:tcPr>
        <w:shd w:val="clear" w:color="auto" w:fill="76236D"/>
      </w:tcPr>
    </w:tblStylePr>
    <w:tblStylePr w:type="lastRow">
      <w:pPr>
        <w:spacing w:before="0" w:after="0" w:line="240" w:lineRule="auto"/>
      </w:pPr>
      <w:rPr>
        <w:b/>
        <w:bCs/>
      </w:rPr>
      <w:tblPr/>
      <w:tcPr>
        <w:tcBorders>
          <w:top w:val="double" w:sz="6" w:space="0" w:color="76236D"/>
          <w:left w:val="single" w:sz="8" w:space="0" w:color="76236D"/>
          <w:bottom w:val="single" w:sz="8" w:space="0" w:color="76236D"/>
          <w:right w:val="single" w:sz="8" w:space="0" w:color="76236D"/>
        </w:tcBorders>
      </w:tcPr>
    </w:tblStylePr>
    <w:tblStylePr w:type="firstCol">
      <w:rPr>
        <w:b/>
        <w:bCs/>
      </w:rPr>
    </w:tblStylePr>
    <w:tblStylePr w:type="lastCol">
      <w:rPr>
        <w:b/>
        <w:bCs/>
      </w:rPr>
    </w:tblStylePr>
  </w:style>
  <w:style w:type="table" w:customStyle="1" w:styleId="LightList-Accent41">
    <w:name w:val="Light List - Accent 41"/>
    <w:basedOn w:val="TableNormal"/>
    <w:next w:val="LightList-Accent4"/>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E97300"/>
        <w:left w:val="single" w:sz="8" w:space="0" w:color="E97300"/>
        <w:bottom w:val="single" w:sz="8" w:space="0" w:color="E97300"/>
        <w:right w:val="single" w:sz="8" w:space="0" w:color="E97300"/>
      </w:tcBorders>
    </w:tcPr>
    <w:tblStylePr w:type="firstRow">
      <w:pPr>
        <w:spacing w:before="0" w:after="0" w:line="240" w:lineRule="auto"/>
      </w:pPr>
      <w:rPr>
        <w:b/>
        <w:bCs/>
        <w:color w:val="FFFFFF"/>
      </w:rPr>
      <w:tblPr/>
      <w:tcPr>
        <w:shd w:val="clear" w:color="auto" w:fill="E97300"/>
      </w:tcPr>
    </w:tblStylePr>
    <w:tblStylePr w:type="lastRow">
      <w:pPr>
        <w:spacing w:before="0" w:after="0" w:line="240" w:lineRule="auto"/>
      </w:pPr>
      <w:rPr>
        <w:b/>
        <w:bCs/>
      </w:rPr>
      <w:tblPr/>
      <w:tcPr>
        <w:tcBorders>
          <w:top w:val="double" w:sz="6" w:space="0" w:color="E97300"/>
          <w:left w:val="single" w:sz="8" w:space="0" w:color="E97300"/>
          <w:bottom w:val="single" w:sz="8" w:space="0" w:color="E97300"/>
          <w:right w:val="single" w:sz="8" w:space="0" w:color="E97300"/>
        </w:tcBorders>
      </w:tcPr>
    </w:tblStylePr>
    <w:tblStylePr w:type="firstCol">
      <w:rPr>
        <w:b/>
        <w:bCs/>
      </w:rPr>
    </w:tblStylePr>
    <w:tblStylePr w:type="lastCol">
      <w:rPr>
        <w:b/>
        <w:bCs/>
      </w:rPr>
    </w:tblStylePr>
  </w:style>
  <w:style w:type="table" w:customStyle="1" w:styleId="LightList-Accent51">
    <w:name w:val="Light List - Accent 51"/>
    <w:basedOn w:val="TableNormal"/>
    <w:next w:val="LightList-Accent5"/>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LightList-Accent61">
    <w:name w:val="Light List - Accent 61"/>
    <w:basedOn w:val="TableNormal"/>
    <w:next w:val="LightList-Accent6"/>
    <w:uiPriority w:val="61"/>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009BDF"/>
        <w:left w:val="single" w:sz="8" w:space="0" w:color="009BDF"/>
        <w:bottom w:val="single" w:sz="8" w:space="0" w:color="009BDF"/>
        <w:right w:val="single" w:sz="8" w:space="0" w:color="009BDF"/>
      </w:tcBorders>
    </w:tcPr>
    <w:tblStylePr w:type="firstRow">
      <w:pPr>
        <w:spacing w:before="0" w:after="0" w:line="240" w:lineRule="auto"/>
      </w:pPr>
      <w:rPr>
        <w:b/>
        <w:bCs/>
        <w:color w:val="FFFFFF"/>
      </w:rPr>
      <w:tblPr/>
      <w:tcPr>
        <w:shd w:val="clear" w:color="auto" w:fill="009BDF"/>
      </w:tcPr>
    </w:tblStylePr>
    <w:tblStylePr w:type="lastRow">
      <w:pPr>
        <w:spacing w:before="0" w:after="0" w:line="240" w:lineRule="auto"/>
      </w:pPr>
      <w:rPr>
        <w:b/>
        <w:bCs/>
      </w:rPr>
      <w:tblPr/>
      <w:tcPr>
        <w:tcBorders>
          <w:top w:val="double" w:sz="6" w:space="0" w:color="009BDF"/>
          <w:left w:val="single" w:sz="8" w:space="0" w:color="009BDF"/>
          <w:bottom w:val="single" w:sz="8" w:space="0" w:color="009BDF"/>
          <w:right w:val="single" w:sz="8" w:space="0" w:color="009BDF"/>
        </w:tcBorders>
      </w:tcPr>
    </w:tblStylePr>
    <w:tblStylePr w:type="firstCol">
      <w:rPr>
        <w:b/>
        <w:bCs/>
      </w:rPr>
    </w:tblStylePr>
    <w:tblStylePr w:type="lastCol">
      <w:rPr>
        <w:b/>
        <w:bCs/>
      </w:rPr>
    </w:tblStylePr>
  </w:style>
  <w:style w:type="table" w:customStyle="1" w:styleId="LightShading1">
    <w:name w:val="Light Shading1"/>
    <w:basedOn w:val="TableNormal"/>
    <w:next w:val="LightShading"/>
    <w:uiPriority w:val="60"/>
    <w:semiHidden/>
    <w:unhideWhenUsed/>
    <w:rsid w:val="00A24B35"/>
    <w:pPr>
      <w:spacing w:after="0" w:line="240" w:lineRule="auto"/>
      <w:jc w:val="left"/>
    </w:pPr>
    <w:rPr>
      <w:rFonts w:asciiTheme="minorHAnsi" w:eastAsia="Times New Roman" w:hAnsiTheme="minorHAnsi" w:cs="Times New Roman"/>
      <w:color w:val="1B1D1D"/>
      <w:sz w:val="22"/>
      <w:szCs w:val="22"/>
      <w:lang w:val="en-US"/>
    </w:rPr>
    <w:tblPr>
      <w:tblStyleRowBandSize w:val="1"/>
      <w:tblStyleColBandSize w:val="1"/>
      <w:tblBorders>
        <w:top w:val="single" w:sz="8" w:space="0" w:color="242828"/>
        <w:bottom w:val="single" w:sz="8" w:space="0" w:color="242828"/>
      </w:tblBorders>
    </w:tblPr>
    <w:tblStylePr w:type="firstRow">
      <w:pPr>
        <w:spacing w:before="0" w:after="0" w:line="240" w:lineRule="auto"/>
      </w:pPr>
      <w:rPr>
        <w:b/>
        <w:bCs/>
      </w:rPr>
      <w:tblPr/>
      <w:tcPr>
        <w:tcBorders>
          <w:top w:val="single" w:sz="8" w:space="0" w:color="242828"/>
          <w:left w:val="nil"/>
          <w:bottom w:val="single" w:sz="8" w:space="0" w:color="242828"/>
          <w:right w:val="nil"/>
          <w:insideH w:val="nil"/>
          <w:insideV w:val="nil"/>
        </w:tcBorders>
      </w:tcPr>
    </w:tblStylePr>
    <w:tblStylePr w:type="lastRow">
      <w:pPr>
        <w:spacing w:before="0" w:after="0" w:line="240" w:lineRule="auto"/>
      </w:pPr>
      <w:rPr>
        <w:b/>
        <w:bCs/>
      </w:rPr>
      <w:tblPr/>
      <w:tcPr>
        <w:tcBorders>
          <w:top w:val="single" w:sz="8" w:space="0" w:color="242828"/>
          <w:left w:val="nil"/>
          <w:bottom w:val="single" w:sz="8" w:space="0" w:color="24282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CCCC"/>
      </w:tcPr>
    </w:tblStylePr>
    <w:tblStylePr w:type="band1Horz">
      <w:tblPr/>
      <w:tcPr>
        <w:tcBorders>
          <w:left w:val="nil"/>
          <w:right w:val="nil"/>
          <w:insideH w:val="nil"/>
          <w:insideV w:val="nil"/>
        </w:tcBorders>
        <w:shd w:val="clear" w:color="auto" w:fill="C6CCCC"/>
      </w:tcPr>
    </w:tblStylePr>
  </w:style>
  <w:style w:type="table" w:customStyle="1" w:styleId="LightShading-Accent11">
    <w:name w:val="Light Shading - Accent 11"/>
    <w:basedOn w:val="TableNormal"/>
    <w:next w:val="LightShading-Accent1"/>
    <w:uiPriority w:val="60"/>
    <w:semiHidden/>
    <w:unhideWhenUsed/>
    <w:rsid w:val="00A24B35"/>
    <w:pPr>
      <w:spacing w:after="0" w:line="240" w:lineRule="auto"/>
      <w:jc w:val="left"/>
    </w:pPr>
    <w:rPr>
      <w:rFonts w:asciiTheme="minorHAnsi" w:eastAsia="Times New Roman" w:hAnsiTheme="minorHAnsi" w:cs="Times New Roman"/>
      <w:color w:val="007B88"/>
      <w:sz w:val="22"/>
      <w:szCs w:val="22"/>
      <w:lang w:val="en-US"/>
    </w:rPr>
    <w:tblPr>
      <w:tblStyleRowBandSize w:val="1"/>
      <w:tblStyleColBandSize w:val="1"/>
      <w:tblBorders>
        <w:top w:val="single" w:sz="8" w:space="0" w:color="00A6B6"/>
        <w:bottom w:val="single" w:sz="8" w:space="0" w:color="00A6B6"/>
      </w:tblBorders>
    </w:tblPr>
    <w:tblStylePr w:type="firstRow">
      <w:pPr>
        <w:spacing w:before="0" w:after="0" w:line="240" w:lineRule="auto"/>
      </w:pPr>
      <w:rPr>
        <w:b/>
        <w:bCs/>
      </w:rPr>
      <w:tblPr/>
      <w:tcPr>
        <w:tcBorders>
          <w:top w:val="single" w:sz="8" w:space="0" w:color="00A6B6"/>
          <w:left w:val="nil"/>
          <w:bottom w:val="single" w:sz="8" w:space="0" w:color="00A6B6"/>
          <w:right w:val="nil"/>
          <w:insideH w:val="nil"/>
          <w:insideV w:val="nil"/>
        </w:tcBorders>
      </w:tcPr>
    </w:tblStylePr>
    <w:tblStylePr w:type="lastRow">
      <w:pPr>
        <w:spacing w:before="0" w:after="0" w:line="240" w:lineRule="auto"/>
      </w:pPr>
      <w:rPr>
        <w:b/>
        <w:bCs/>
      </w:rPr>
      <w:tblPr/>
      <w:tcPr>
        <w:tcBorders>
          <w:top w:val="single" w:sz="8" w:space="0" w:color="00A6B6"/>
          <w:left w:val="nil"/>
          <w:bottom w:val="single" w:sz="8" w:space="0" w:color="00A6B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7FF"/>
      </w:tcPr>
    </w:tblStylePr>
    <w:tblStylePr w:type="band1Horz">
      <w:tblPr/>
      <w:tcPr>
        <w:tcBorders>
          <w:left w:val="nil"/>
          <w:right w:val="nil"/>
          <w:insideH w:val="nil"/>
          <w:insideV w:val="nil"/>
        </w:tcBorders>
        <w:shd w:val="clear" w:color="auto" w:fill="ADF7FF"/>
      </w:tcPr>
    </w:tblStylePr>
  </w:style>
  <w:style w:type="table" w:customStyle="1" w:styleId="LightShading-Accent21">
    <w:name w:val="Light Shading - Accent 21"/>
    <w:basedOn w:val="TableNormal"/>
    <w:next w:val="LightShading-Accent2"/>
    <w:uiPriority w:val="60"/>
    <w:semiHidden/>
    <w:unhideWhenUsed/>
    <w:rsid w:val="00A24B35"/>
    <w:pPr>
      <w:spacing w:after="0" w:line="240" w:lineRule="auto"/>
      <w:jc w:val="left"/>
    </w:pPr>
    <w:rPr>
      <w:rFonts w:asciiTheme="minorHAnsi" w:eastAsia="Times New Roman" w:hAnsiTheme="minorHAnsi" w:cs="Times New Roman"/>
      <w:color w:val="006F52"/>
      <w:sz w:val="22"/>
      <w:szCs w:val="22"/>
      <w:lang w:val="en-US"/>
    </w:rPr>
    <w:tblPr>
      <w:tblStyleRowBandSize w:val="1"/>
      <w:tblStyleColBandSize w:val="1"/>
      <w:tblBorders>
        <w:top w:val="single" w:sz="8" w:space="0" w:color="00956E"/>
        <w:bottom w:val="single" w:sz="8" w:space="0" w:color="00956E"/>
      </w:tblBorders>
    </w:tblPr>
    <w:tblStylePr w:type="firstRow">
      <w:pPr>
        <w:spacing w:before="0" w:after="0" w:line="240" w:lineRule="auto"/>
      </w:pPr>
      <w:rPr>
        <w:b/>
        <w:bCs/>
      </w:rPr>
      <w:tblPr/>
      <w:tcPr>
        <w:tcBorders>
          <w:top w:val="single" w:sz="8" w:space="0" w:color="00956E"/>
          <w:left w:val="nil"/>
          <w:bottom w:val="single" w:sz="8" w:space="0" w:color="00956E"/>
          <w:right w:val="nil"/>
          <w:insideH w:val="nil"/>
          <w:insideV w:val="nil"/>
        </w:tcBorders>
      </w:tcPr>
    </w:tblStylePr>
    <w:tblStylePr w:type="lastRow">
      <w:pPr>
        <w:spacing w:before="0" w:after="0" w:line="240" w:lineRule="auto"/>
      </w:pPr>
      <w:rPr>
        <w:b/>
        <w:bCs/>
      </w:rPr>
      <w:tblPr/>
      <w:tcPr>
        <w:tcBorders>
          <w:top w:val="single" w:sz="8" w:space="0" w:color="00956E"/>
          <w:left w:val="nil"/>
          <w:bottom w:val="single" w:sz="8" w:space="0" w:color="00956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FFE7"/>
      </w:tcPr>
    </w:tblStylePr>
    <w:tblStylePr w:type="band1Horz">
      <w:tblPr/>
      <w:tcPr>
        <w:tcBorders>
          <w:left w:val="nil"/>
          <w:right w:val="nil"/>
          <w:insideH w:val="nil"/>
          <w:insideV w:val="nil"/>
        </w:tcBorders>
        <w:shd w:val="clear" w:color="auto" w:fill="A5FFE7"/>
      </w:tcPr>
    </w:tblStylePr>
  </w:style>
  <w:style w:type="table" w:customStyle="1" w:styleId="LightShading-Accent31">
    <w:name w:val="Light Shading - Accent 31"/>
    <w:basedOn w:val="TableNormal"/>
    <w:next w:val="LightShading-Accent3"/>
    <w:uiPriority w:val="60"/>
    <w:semiHidden/>
    <w:unhideWhenUsed/>
    <w:rsid w:val="00A24B35"/>
    <w:pPr>
      <w:spacing w:after="0" w:line="240" w:lineRule="auto"/>
      <w:jc w:val="left"/>
    </w:pPr>
    <w:rPr>
      <w:rFonts w:asciiTheme="minorHAnsi" w:eastAsia="Times New Roman" w:hAnsiTheme="minorHAnsi" w:cs="Times New Roman"/>
      <w:color w:val="581A51"/>
      <w:sz w:val="22"/>
      <w:szCs w:val="22"/>
      <w:lang w:val="en-US"/>
    </w:rPr>
    <w:tblPr>
      <w:tblStyleRowBandSize w:val="1"/>
      <w:tblStyleColBandSize w:val="1"/>
      <w:tblBorders>
        <w:top w:val="single" w:sz="8" w:space="0" w:color="76236D"/>
        <w:bottom w:val="single" w:sz="8" w:space="0" w:color="76236D"/>
      </w:tblBorders>
    </w:tblPr>
    <w:tblStylePr w:type="firstRow">
      <w:pPr>
        <w:spacing w:before="0" w:after="0" w:line="240" w:lineRule="auto"/>
      </w:pPr>
      <w:rPr>
        <w:b/>
        <w:bCs/>
      </w:rPr>
      <w:tblPr/>
      <w:tcPr>
        <w:tcBorders>
          <w:top w:val="single" w:sz="8" w:space="0" w:color="76236D"/>
          <w:left w:val="nil"/>
          <w:bottom w:val="single" w:sz="8" w:space="0" w:color="76236D"/>
          <w:right w:val="nil"/>
          <w:insideH w:val="nil"/>
          <w:insideV w:val="nil"/>
        </w:tcBorders>
      </w:tcPr>
    </w:tblStylePr>
    <w:tblStylePr w:type="lastRow">
      <w:pPr>
        <w:spacing w:before="0" w:after="0" w:line="240" w:lineRule="auto"/>
      </w:pPr>
      <w:rPr>
        <w:b/>
        <w:bCs/>
      </w:rPr>
      <w:tblPr/>
      <w:tcPr>
        <w:tcBorders>
          <w:top w:val="single" w:sz="8" w:space="0" w:color="76236D"/>
          <w:left w:val="nil"/>
          <w:bottom w:val="single" w:sz="8" w:space="0" w:color="76236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BAE5"/>
      </w:tcPr>
    </w:tblStylePr>
    <w:tblStylePr w:type="band1Horz">
      <w:tblPr/>
      <w:tcPr>
        <w:tcBorders>
          <w:left w:val="nil"/>
          <w:right w:val="nil"/>
          <w:insideH w:val="nil"/>
          <w:insideV w:val="nil"/>
        </w:tcBorders>
        <w:shd w:val="clear" w:color="auto" w:fill="EABAE5"/>
      </w:tcPr>
    </w:tblStylePr>
  </w:style>
  <w:style w:type="table" w:customStyle="1" w:styleId="LightShading-Accent41">
    <w:name w:val="Light Shading - Accent 41"/>
    <w:basedOn w:val="TableNormal"/>
    <w:next w:val="LightShading-Accent4"/>
    <w:uiPriority w:val="60"/>
    <w:semiHidden/>
    <w:unhideWhenUsed/>
    <w:rsid w:val="00A24B35"/>
    <w:pPr>
      <w:spacing w:after="0" w:line="240" w:lineRule="auto"/>
      <w:jc w:val="left"/>
    </w:pPr>
    <w:rPr>
      <w:rFonts w:asciiTheme="minorHAnsi" w:eastAsia="Times New Roman" w:hAnsiTheme="minorHAnsi" w:cs="Times New Roman"/>
      <w:color w:val="AE5500"/>
      <w:sz w:val="22"/>
      <w:szCs w:val="22"/>
      <w:lang w:val="en-US"/>
    </w:rPr>
    <w:tblPr>
      <w:tblStyleRowBandSize w:val="1"/>
      <w:tblStyleColBandSize w:val="1"/>
      <w:tblBorders>
        <w:top w:val="single" w:sz="8" w:space="0" w:color="E97300"/>
        <w:bottom w:val="single" w:sz="8" w:space="0" w:color="E97300"/>
      </w:tblBorders>
    </w:tblPr>
    <w:tblStylePr w:type="firstRow">
      <w:pPr>
        <w:spacing w:before="0" w:after="0" w:line="240" w:lineRule="auto"/>
      </w:pPr>
      <w:rPr>
        <w:b/>
        <w:bCs/>
      </w:rPr>
      <w:tblPr/>
      <w:tcPr>
        <w:tcBorders>
          <w:top w:val="single" w:sz="8" w:space="0" w:color="E97300"/>
          <w:left w:val="nil"/>
          <w:bottom w:val="single" w:sz="8" w:space="0" w:color="E97300"/>
          <w:right w:val="nil"/>
          <w:insideH w:val="nil"/>
          <w:insideV w:val="nil"/>
        </w:tcBorders>
      </w:tcPr>
    </w:tblStylePr>
    <w:tblStylePr w:type="lastRow">
      <w:pPr>
        <w:spacing w:before="0" w:after="0" w:line="240" w:lineRule="auto"/>
      </w:pPr>
      <w:rPr>
        <w:b/>
        <w:bCs/>
      </w:rPr>
      <w:tblPr/>
      <w:tcPr>
        <w:tcBorders>
          <w:top w:val="single" w:sz="8" w:space="0" w:color="E97300"/>
          <w:left w:val="nil"/>
          <w:bottom w:val="single" w:sz="8" w:space="0" w:color="E973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BA"/>
      </w:tcPr>
    </w:tblStylePr>
    <w:tblStylePr w:type="band1Horz">
      <w:tblPr/>
      <w:tcPr>
        <w:tcBorders>
          <w:left w:val="nil"/>
          <w:right w:val="nil"/>
          <w:insideH w:val="nil"/>
          <w:insideV w:val="nil"/>
        </w:tcBorders>
        <w:shd w:val="clear" w:color="auto" w:fill="FFDBBA"/>
      </w:tcPr>
    </w:tblStylePr>
  </w:style>
  <w:style w:type="table" w:customStyle="1" w:styleId="LightShading-Accent51">
    <w:name w:val="Light Shading - Accent 51"/>
    <w:basedOn w:val="TableNormal"/>
    <w:next w:val="LightShading-Accent5"/>
    <w:uiPriority w:val="60"/>
    <w:semiHidden/>
    <w:unhideWhenUsed/>
    <w:rsid w:val="00A24B35"/>
    <w:pPr>
      <w:spacing w:after="0" w:line="240" w:lineRule="auto"/>
      <w:jc w:val="left"/>
    </w:pPr>
    <w:rPr>
      <w:rFonts w:asciiTheme="minorHAnsi" w:eastAsia="Times New Roman" w:hAnsiTheme="minorHAnsi" w:cs="Times New Roman"/>
      <w:color w:val="9A9E9E"/>
      <w:sz w:val="22"/>
      <w:szCs w:val="22"/>
      <w:lang w:val="en-US"/>
    </w:rPr>
    <w:tblPr>
      <w:tblStyleRowBandSize w:val="1"/>
      <w:tblStyleColBandSize w:val="1"/>
      <w:tblBorders>
        <w:top w:val="single" w:sz="8" w:space="0" w:color="D0D2D2"/>
        <w:bottom w:val="single" w:sz="8" w:space="0" w:color="D0D2D2"/>
      </w:tblBorders>
    </w:tblPr>
    <w:tblStylePr w:type="firstRow">
      <w:pPr>
        <w:spacing w:before="0" w:after="0" w:line="240" w:lineRule="auto"/>
      </w:pPr>
      <w:rPr>
        <w:b/>
        <w:bCs/>
      </w:rPr>
      <w:tblPr/>
      <w:tcPr>
        <w:tcBorders>
          <w:top w:val="single" w:sz="8" w:space="0" w:color="D0D2D2"/>
          <w:left w:val="nil"/>
          <w:bottom w:val="single" w:sz="8" w:space="0" w:color="D0D2D2"/>
          <w:right w:val="nil"/>
          <w:insideH w:val="nil"/>
          <w:insideV w:val="nil"/>
        </w:tcBorders>
      </w:tcPr>
    </w:tblStylePr>
    <w:tblStylePr w:type="lastRow">
      <w:pPr>
        <w:spacing w:before="0" w:after="0" w:line="240" w:lineRule="auto"/>
      </w:pPr>
      <w:rPr>
        <w:b/>
        <w:bCs/>
      </w:rPr>
      <w:tblPr/>
      <w:tcPr>
        <w:tcBorders>
          <w:top w:val="single" w:sz="8" w:space="0" w:color="D0D2D2"/>
          <w:left w:val="nil"/>
          <w:bottom w:val="single" w:sz="8" w:space="0" w:color="D0D2D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F3F3"/>
      </w:tcPr>
    </w:tblStylePr>
    <w:tblStylePr w:type="band1Horz">
      <w:tblPr/>
      <w:tcPr>
        <w:tcBorders>
          <w:left w:val="nil"/>
          <w:right w:val="nil"/>
          <w:insideH w:val="nil"/>
          <w:insideV w:val="nil"/>
        </w:tcBorders>
        <w:shd w:val="clear" w:color="auto" w:fill="F3F3F3"/>
      </w:tcPr>
    </w:tblStylePr>
  </w:style>
  <w:style w:type="table" w:customStyle="1" w:styleId="LightShading-Accent61">
    <w:name w:val="Light Shading - Accent 61"/>
    <w:basedOn w:val="TableNormal"/>
    <w:next w:val="LightShading-Accent6"/>
    <w:uiPriority w:val="60"/>
    <w:semiHidden/>
    <w:unhideWhenUsed/>
    <w:rsid w:val="00A24B35"/>
    <w:pPr>
      <w:spacing w:after="0" w:line="240" w:lineRule="auto"/>
      <w:jc w:val="left"/>
    </w:pPr>
    <w:rPr>
      <w:rFonts w:asciiTheme="minorHAnsi" w:eastAsia="Times New Roman" w:hAnsiTheme="minorHAnsi" w:cs="Times New Roman"/>
      <w:color w:val="0073A7"/>
      <w:sz w:val="22"/>
      <w:szCs w:val="22"/>
      <w:lang w:val="en-US"/>
    </w:rPr>
    <w:tblPr>
      <w:tblStyleRowBandSize w:val="1"/>
      <w:tblStyleColBandSize w:val="1"/>
      <w:tblBorders>
        <w:top w:val="single" w:sz="8" w:space="0" w:color="009BDF"/>
        <w:bottom w:val="single" w:sz="8" w:space="0" w:color="009BDF"/>
      </w:tblBorders>
    </w:tblPr>
    <w:tblStylePr w:type="firstRow">
      <w:pPr>
        <w:spacing w:before="0" w:after="0" w:line="240" w:lineRule="auto"/>
      </w:pPr>
      <w:rPr>
        <w:b/>
        <w:bCs/>
      </w:rPr>
      <w:tblPr/>
      <w:tcPr>
        <w:tcBorders>
          <w:top w:val="single" w:sz="8" w:space="0" w:color="009BDF"/>
          <w:left w:val="nil"/>
          <w:bottom w:val="single" w:sz="8" w:space="0" w:color="009BDF"/>
          <w:right w:val="nil"/>
          <w:insideH w:val="nil"/>
          <w:insideV w:val="nil"/>
        </w:tcBorders>
      </w:tcPr>
    </w:tblStylePr>
    <w:tblStylePr w:type="lastRow">
      <w:pPr>
        <w:spacing w:before="0" w:after="0" w:line="240" w:lineRule="auto"/>
      </w:pPr>
      <w:rPr>
        <w:b/>
        <w:bCs/>
      </w:rPr>
      <w:tblPr/>
      <w:tcPr>
        <w:tcBorders>
          <w:top w:val="single" w:sz="8" w:space="0" w:color="009BDF"/>
          <w:left w:val="nil"/>
          <w:bottom w:val="single" w:sz="8" w:space="0" w:color="009BD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E9FF"/>
      </w:tcPr>
    </w:tblStylePr>
    <w:tblStylePr w:type="band1Horz">
      <w:tblPr/>
      <w:tcPr>
        <w:tcBorders>
          <w:left w:val="nil"/>
          <w:right w:val="nil"/>
          <w:insideH w:val="nil"/>
          <w:insideV w:val="nil"/>
        </w:tcBorders>
        <w:shd w:val="clear" w:color="auto" w:fill="B8E9FF"/>
      </w:tcPr>
    </w:tblStylePr>
  </w:style>
  <w:style w:type="table" w:customStyle="1" w:styleId="ListTable1Light1">
    <w:name w:val="List Table 1 Light1"/>
    <w:basedOn w:val="TableNormal"/>
    <w:next w:val="ListTable1Light"/>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768383"/>
        </w:tcBorders>
      </w:tcPr>
    </w:tblStylePr>
    <w:tblStylePr w:type="lastRow">
      <w:rPr>
        <w:b/>
        <w:bCs/>
      </w:rPr>
      <w:tblPr/>
      <w:tcPr>
        <w:tcBorders>
          <w:top w:val="single" w:sz="4" w:space="0" w:color="768383"/>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ListTable1Light-Accent11">
    <w:name w:val="List Table 1 Light - Accent 11"/>
    <w:basedOn w:val="TableNormal"/>
    <w:next w:val="ListTable1Light-Accent1"/>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3AEDFF"/>
        </w:tcBorders>
      </w:tcPr>
    </w:tblStylePr>
    <w:tblStylePr w:type="lastRow">
      <w:rPr>
        <w:b/>
        <w:bCs/>
      </w:rPr>
      <w:tblPr/>
      <w:tcPr>
        <w:tcBorders>
          <w:top w:val="single" w:sz="4" w:space="0" w:color="3AEDFF"/>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ListTable1Light-Accent21">
    <w:name w:val="List Table 1 Light - Accent 21"/>
    <w:basedOn w:val="TableNormal"/>
    <w:next w:val="ListTable1Light-Accent2"/>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26FFC6"/>
        </w:tcBorders>
      </w:tcPr>
    </w:tblStylePr>
    <w:tblStylePr w:type="lastRow">
      <w:rPr>
        <w:b/>
        <w:bCs/>
      </w:rPr>
      <w:tblPr/>
      <w:tcPr>
        <w:tcBorders>
          <w:top w:val="single" w:sz="4" w:space="0" w:color="26FFC6"/>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ListTable1Light-Accent31">
    <w:name w:val="List Table 1 Light - Accent 31"/>
    <w:basedOn w:val="TableNormal"/>
    <w:next w:val="ListTable1Light-Accent3"/>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CE59C1"/>
        </w:tcBorders>
      </w:tcPr>
    </w:tblStylePr>
    <w:tblStylePr w:type="lastRow">
      <w:rPr>
        <w:b/>
        <w:bCs/>
      </w:rPr>
      <w:tblPr/>
      <w:tcPr>
        <w:tcBorders>
          <w:top w:val="single" w:sz="4" w:space="0" w:color="CE59C1"/>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ListTable1Light-Accent41">
    <w:name w:val="List Table 1 Light - Accent 41"/>
    <w:basedOn w:val="TableNormal"/>
    <w:next w:val="ListTable1Light-Accent4"/>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FFAA58"/>
        </w:tcBorders>
      </w:tcPr>
    </w:tblStylePr>
    <w:tblStylePr w:type="lastRow">
      <w:rPr>
        <w:b/>
        <w:bCs/>
      </w:rPr>
      <w:tblPr/>
      <w:tcPr>
        <w:tcBorders>
          <w:top w:val="single" w:sz="4" w:space="0" w:color="FFAA58"/>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ListTable1Light-Accent51">
    <w:name w:val="List Table 1 Light - Accent 51"/>
    <w:basedOn w:val="TableNormal"/>
    <w:next w:val="ListTable1Light-Accent5"/>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E2E4E4"/>
        </w:tcBorders>
      </w:tcPr>
    </w:tblStylePr>
    <w:tblStylePr w:type="lastRow">
      <w:rPr>
        <w:b/>
        <w:bCs/>
      </w:rPr>
      <w:tblPr/>
      <w:tcPr>
        <w:tcBorders>
          <w:top w:val="single" w:sz="4" w:space="0" w:color="E2E4E4"/>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ListTable1Light-Accent61">
    <w:name w:val="List Table 1 Light - Accent 61"/>
    <w:basedOn w:val="TableNormal"/>
    <w:next w:val="ListTable1Light-Accent6"/>
    <w:uiPriority w:val="46"/>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rPr>
        <w:b/>
        <w:bCs/>
      </w:rPr>
      <w:tblPr/>
      <w:tcPr>
        <w:tcBorders>
          <w:bottom w:val="single" w:sz="4" w:space="0" w:color="52CAFF"/>
        </w:tcBorders>
      </w:tcPr>
    </w:tblStylePr>
    <w:tblStylePr w:type="lastRow">
      <w:rPr>
        <w:b/>
        <w:bCs/>
      </w:rPr>
      <w:tblPr/>
      <w:tcPr>
        <w:tcBorders>
          <w:top w:val="single" w:sz="4" w:space="0" w:color="52CAF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ListTable21">
    <w:name w:val="List Table 21"/>
    <w:basedOn w:val="TableNormal"/>
    <w:next w:val="ListTable2"/>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11">
    <w:name w:val="List Table 2 - Accent 11"/>
    <w:basedOn w:val="TableNormal"/>
    <w:next w:val="ListTable2-Accent1"/>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DF9FF"/>
    </w:tc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21">
    <w:name w:val="List Table 2 - Accent 21"/>
    <w:basedOn w:val="TableNormal"/>
    <w:next w:val="ListTable2-Accent2"/>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6FFEB"/>
    </w:tc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31">
    <w:name w:val="List Table 2 - Accent 31"/>
    <w:basedOn w:val="TableNormal"/>
    <w:next w:val="ListTable2-Accent3"/>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41">
    <w:name w:val="List Table 2 - Accent 41"/>
    <w:basedOn w:val="TableNormal"/>
    <w:next w:val="ListTable2-Accent4"/>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51">
    <w:name w:val="List Table 2 - Accent 51"/>
    <w:basedOn w:val="TableNormal"/>
    <w:next w:val="ListTable2-Accent5"/>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5F6F6"/>
    </w:tc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2-Accent61">
    <w:name w:val="List Table 2 - Accent 61"/>
    <w:basedOn w:val="TableNormal"/>
    <w:next w:val="ListTable2-Accent6"/>
    <w:uiPriority w:val="47"/>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C5EDFF"/>
    </w:tc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31">
    <w:name w:val="List Table 31"/>
    <w:basedOn w:val="TableNormal"/>
    <w:next w:val="ListTable3"/>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242828"/>
        <w:left w:val="single" w:sz="4" w:space="0" w:color="242828"/>
        <w:bottom w:val="single" w:sz="4" w:space="0" w:color="242828"/>
        <w:right w:val="single" w:sz="4" w:space="0" w:color="242828"/>
      </w:tblBorders>
    </w:tblPr>
    <w:tblStylePr w:type="firstRow">
      <w:rPr>
        <w:b/>
        <w:bCs/>
        <w:color w:val="FFFFFF"/>
      </w:rPr>
      <w:tblPr/>
      <w:tcPr>
        <w:shd w:val="clear" w:color="auto" w:fill="242828"/>
      </w:tcPr>
    </w:tblStylePr>
    <w:tblStylePr w:type="lastRow">
      <w:rPr>
        <w:b/>
        <w:bCs/>
      </w:rPr>
      <w:tblPr/>
      <w:tcPr>
        <w:tcBorders>
          <w:top w:val="double" w:sz="4" w:space="0" w:color="24282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42828"/>
          <w:right w:val="single" w:sz="4" w:space="0" w:color="242828"/>
        </w:tcBorders>
      </w:tcPr>
    </w:tblStylePr>
    <w:tblStylePr w:type="band1Horz">
      <w:tblPr/>
      <w:tcPr>
        <w:tcBorders>
          <w:top w:val="single" w:sz="4" w:space="0" w:color="242828"/>
          <w:bottom w:val="single" w:sz="4" w:space="0" w:color="24282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42828"/>
          <w:left w:val="nil"/>
        </w:tcBorders>
      </w:tcPr>
    </w:tblStylePr>
    <w:tblStylePr w:type="swCell">
      <w:tblPr/>
      <w:tcPr>
        <w:tcBorders>
          <w:top w:val="double" w:sz="4" w:space="0" w:color="242828"/>
          <w:right w:val="nil"/>
        </w:tcBorders>
      </w:tcPr>
    </w:tblStylePr>
  </w:style>
  <w:style w:type="table" w:customStyle="1" w:styleId="ListTable3-Accent11">
    <w:name w:val="List Table 3 - Accent 11"/>
    <w:basedOn w:val="TableNormal"/>
    <w:next w:val="ListTable3-Accent1"/>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00A6B6"/>
        <w:left w:val="single" w:sz="4" w:space="0" w:color="00A6B6"/>
        <w:bottom w:val="single" w:sz="4" w:space="0" w:color="00A6B6"/>
        <w:right w:val="single" w:sz="4" w:space="0" w:color="00A6B6"/>
      </w:tblBorders>
    </w:tblPr>
    <w:tblStylePr w:type="firstRow">
      <w:rPr>
        <w:b/>
        <w:bCs/>
        <w:color w:val="FFFFFF"/>
      </w:rPr>
      <w:tblPr/>
      <w:tcPr>
        <w:shd w:val="clear" w:color="auto" w:fill="00A6B6"/>
      </w:tcPr>
    </w:tblStylePr>
    <w:tblStylePr w:type="lastRow">
      <w:rPr>
        <w:b/>
        <w:bCs/>
      </w:rPr>
      <w:tblPr/>
      <w:tcPr>
        <w:tcBorders>
          <w:top w:val="double" w:sz="4" w:space="0" w:color="00A6B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A6B6"/>
          <w:right w:val="single" w:sz="4" w:space="0" w:color="00A6B6"/>
        </w:tcBorders>
      </w:tcPr>
    </w:tblStylePr>
    <w:tblStylePr w:type="band1Horz">
      <w:tblPr/>
      <w:tcPr>
        <w:tcBorders>
          <w:top w:val="single" w:sz="4" w:space="0" w:color="00A6B6"/>
          <w:bottom w:val="single" w:sz="4" w:space="0" w:color="00A6B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6B6"/>
          <w:left w:val="nil"/>
        </w:tcBorders>
      </w:tcPr>
    </w:tblStylePr>
    <w:tblStylePr w:type="swCell">
      <w:tblPr/>
      <w:tcPr>
        <w:tcBorders>
          <w:top w:val="double" w:sz="4" w:space="0" w:color="00A6B6"/>
          <w:right w:val="nil"/>
        </w:tcBorders>
      </w:tcPr>
    </w:tblStylePr>
  </w:style>
  <w:style w:type="table" w:customStyle="1" w:styleId="ListTable3-Accent21">
    <w:name w:val="List Table 3 - Accent 21"/>
    <w:basedOn w:val="TableNormal"/>
    <w:next w:val="ListTable3-Accent2"/>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00956E"/>
        <w:left w:val="single" w:sz="4" w:space="0" w:color="00956E"/>
        <w:bottom w:val="single" w:sz="4" w:space="0" w:color="00956E"/>
        <w:right w:val="single" w:sz="4" w:space="0" w:color="00956E"/>
      </w:tblBorders>
    </w:tblPr>
    <w:tblStylePr w:type="firstRow">
      <w:rPr>
        <w:b/>
        <w:bCs/>
        <w:color w:val="FFFFFF"/>
      </w:rPr>
      <w:tblPr/>
      <w:tcPr>
        <w:shd w:val="clear" w:color="auto" w:fill="00956E"/>
      </w:tcPr>
    </w:tblStylePr>
    <w:tblStylePr w:type="lastRow">
      <w:rPr>
        <w:b/>
        <w:bCs/>
      </w:rPr>
      <w:tblPr/>
      <w:tcPr>
        <w:tcBorders>
          <w:top w:val="double" w:sz="4" w:space="0" w:color="00956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956E"/>
          <w:right w:val="single" w:sz="4" w:space="0" w:color="00956E"/>
        </w:tcBorders>
      </w:tcPr>
    </w:tblStylePr>
    <w:tblStylePr w:type="band1Horz">
      <w:tblPr/>
      <w:tcPr>
        <w:tcBorders>
          <w:top w:val="single" w:sz="4" w:space="0" w:color="00956E"/>
          <w:bottom w:val="single" w:sz="4" w:space="0" w:color="00956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56E"/>
          <w:left w:val="nil"/>
        </w:tcBorders>
      </w:tcPr>
    </w:tblStylePr>
    <w:tblStylePr w:type="swCell">
      <w:tblPr/>
      <w:tcPr>
        <w:tcBorders>
          <w:top w:val="double" w:sz="4" w:space="0" w:color="00956E"/>
          <w:right w:val="nil"/>
        </w:tcBorders>
      </w:tcPr>
    </w:tblStylePr>
  </w:style>
  <w:style w:type="table" w:customStyle="1" w:styleId="ListTable3-Accent31">
    <w:name w:val="List Table 3 - Accent 31"/>
    <w:basedOn w:val="TableNormal"/>
    <w:next w:val="ListTable3-Accent3"/>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6236D"/>
        <w:left w:val="single" w:sz="4" w:space="0" w:color="76236D"/>
        <w:bottom w:val="single" w:sz="4" w:space="0" w:color="76236D"/>
        <w:right w:val="single" w:sz="4" w:space="0" w:color="76236D"/>
      </w:tblBorders>
    </w:tblPr>
    <w:tblStylePr w:type="firstRow">
      <w:rPr>
        <w:b/>
        <w:bCs/>
        <w:color w:val="FFFFFF"/>
      </w:rPr>
      <w:tblPr/>
      <w:tcPr>
        <w:shd w:val="clear" w:color="auto" w:fill="76236D"/>
      </w:tcPr>
    </w:tblStylePr>
    <w:tblStylePr w:type="lastRow">
      <w:rPr>
        <w:b/>
        <w:bCs/>
      </w:rPr>
      <w:tblPr/>
      <w:tcPr>
        <w:tcBorders>
          <w:top w:val="double" w:sz="4" w:space="0" w:color="76236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6236D"/>
          <w:right w:val="single" w:sz="4" w:space="0" w:color="76236D"/>
        </w:tcBorders>
      </w:tcPr>
    </w:tblStylePr>
    <w:tblStylePr w:type="band1Horz">
      <w:tblPr/>
      <w:tcPr>
        <w:tcBorders>
          <w:top w:val="single" w:sz="4" w:space="0" w:color="76236D"/>
          <w:bottom w:val="single" w:sz="4" w:space="0" w:color="76236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236D"/>
          <w:left w:val="nil"/>
        </w:tcBorders>
      </w:tcPr>
    </w:tblStylePr>
    <w:tblStylePr w:type="swCell">
      <w:tblPr/>
      <w:tcPr>
        <w:tcBorders>
          <w:top w:val="double" w:sz="4" w:space="0" w:color="76236D"/>
          <w:right w:val="nil"/>
        </w:tcBorders>
      </w:tcPr>
    </w:tblStylePr>
  </w:style>
  <w:style w:type="table" w:customStyle="1" w:styleId="ListTable3-Accent41">
    <w:name w:val="List Table 3 - Accent 41"/>
    <w:basedOn w:val="TableNormal"/>
    <w:next w:val="ListTable3-Accent4"/>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E97300"/>
        <w:left w:val="single" w:sz="4" w:space="0" w:color="E97300"/>
        <w:bottom w:val="single" w:sz="4" w:space="0" w:color="E97300"/>
        <w:right w:val="single" w:sz="4" w:space="0" w:color="E97300"/>
      </w:tblBorders>
    </w:tblPr>
    <w:tblStylePr w:type="firstRow">
      <w:rPr>
        <w:b/>
        <w:bCs/>
        <w:color w:val="FFFFFF"/>
      </w:rPr>
      <w:tblPr/>
      <w:tcPr>
        <w:shd w:val="clear" w:color="auto" w:fill="E97300"/>
      </w:tcPr>
    </w:tblStylePr>
    <w:tblStylePr w:type="lastRow">
      <w:rPr>
        <w:b/>
        <w:bCs/>
      </w:rPr>
      <w:tblPr/>
      <w:tcPr>
        <w:tcBorders>
          <w:top w:val="double" w:sz="4" w:space="0" w:color="E973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300"/>
          <w:right w:val="single" w:sz="4" w:space="0" w:color="E97300"/>
        </w:tcBorders>
      </w:tcPr>
    </w:tblStylePr>
    <w:tblStylePr w:type="band1Horz">
      <w:tblPr/>
      <w:tcPr>
        <w:tcBorders>
          <w:top w:val="single" w:sz="4" w:space="0" w:color="E97300"/>
          <w:bottom w:val="single" w:sz="4" w:space="0" w:color="E973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300"/>
          <w:left w:val="nil"/>
        </w:tcBorders>
      </w:tcPr>
    </w:tblStylePr>
    <w:tblStylePr w:type="swCell">
      <w:tblPr/>
      <w:tcPr>
        <w:tcBorders>
          <w:top w:val="double" w:sz="4" w:space="0" w:color="E97300"/>
          <w:right w:val="nil"/>
        </w:tcBorders>
      </w:tcPr>
    </w:tblStylePr>
  </w:style>
  <w:style w:type="table" w:customStyle="1" w:styleId="ListTable3-Accent51">
    <w:name w:val="List Table 3 - Accent 51"/>
    <w:basedOn w:val="TableNormal"/>
    <w:next w:val="ListTable3-Accent5"/>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D0D2D2"/>
        <w:left w:val="single" w:sz="4" w:space="0" w:color="D0D2D2"/>
        <w:bottom w:val="single" w:sz="4" w:space="0" w:color="D0D2D2"/>
        <w:right w:val="single" w:sz="4" w:space="0" w:color="D0D2D2"/>
      </w:tblBorders>
    </w:tblPr>
    <w:tblStylePr w:type="firstRow">
      <w:rPr>
        <w:b/>
        <w:bCs/>
        <w:color w:val="FFFFFF"/>
      </w:rPr>
      <w:tblPr/>
      <w:tcPr>
        <w:shd w:val="clear" w:color="auto" w:fill="D0D2D2"/>
      </w:tcPr>
    </w:tblStylePr>
    <w:tblStylePr w:type="lastRow">
      <w:rPr>
        <w:b/>
        <w:bCs/>
      </w:rPr>
      <w:tblPr/>
      <w:tcPr>
        <w:tcBorders>
          <w:top w:val="double" w:sz="4" w:space="0" w:color="D0D2D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0D2D2"/>
          <w:right w:val="single" w:sz="4" w:space="0" w:color="D0D2D2"/>
        </w:tcBorders>
      </w:tcPr>
    </w:tblStylePr>
    <w:tblStylePr w:type="band1Horz">
      <w:tblPr/>
      <w:tcPr>
        <w:tcBorders>
          <w:top w:val="single" w:sz="4" w:space="0" w:color="D0D2D2"/>
          <w:bottom w:val="single" w:sz="4" w:space="0" w:color="D0D2D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D2D2"/>
          <w:left w:val="nil"/>
        </w:tcBorders>
      </w:tcPr>
    </w:tblStylePr>
    <w:tblStylePr w:type="swCell">
      <w:tblPr/>
      <w:tcPr>
        <w:tcBorders>
          <w:top w:val="double" w:sz="4" w:space="0" w:color="D0D2D2"/>
          <w:right w:val="nil"/>
        </w:tcBorders>
      </w:tcPr>
    </w:tblStylePr>
  </w:style>
  <w:style w:type="table" w:customStyle="1" w:styleId="ListTable3-Accent61">
    <w:name w:val="List Table 3 - Accent 61"/>
    <w:basedOn w:val="TableNormal"/>
    <w:next w:val="ListTable3-Accent6"/>
    <w:uiPriority w:val="48"/>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009BDF"/>
        <w:left w:val="single" w:sz="4" w:space="0" w:color="009BDF"/>
        <w:bottom w:val="single" w:sz="4" w:space="0" w:color="009BDF"/>
        <w:right w:val="single" w:sz="4" w:space="0" w:color="009BDF"/>
      </w:tblBorders>
    </w:tblPr>
    <w:tblStylePr w:type="firstRow">
      <w:rPr>
        <w:b/>
        <w:bCs/>
        <w:color w:val="FFFFFF"/>
      </w:rPr>
      <w:tblPr/>
      <w:tcPr>
        <w:shd w:val="clear" w:color="auto" w:fill="009BDF"/>
      </w:tcPr>
    </w:tblStylePr>
    <w:tblStylePr w:type="lastRow">
      <w:rPr>
        <w:b/>
        <w:bCs/>
      </w:rPr>
      <w:tblPr/>
      <w:tcPr>
        <w:tcBorders>
          <w:top w:val="double" w:sz="4" w:space="0" w:color="009BD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9BDF"/>
          <w:right w:val="single" w:sz="4" w:space="0" w:color="009BDF"/>
        </w:tcBorders>
      </w:tcPr>
    </w:tblStylePr>
    <w:tblStylePr w:type="band1Horz">
      <w:tblPr/>
      <w:tcPr>
        <w:tcBorders>
          <w:top w:val="single" w:sz="4" w:space="0" w:color="009BDF"/>
          <w:bottom w:val="single" w:sz="4" w:space="0" w:color="009BD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BDF"/>
          <w:left w:val="nil"/>
        </w:tcBorders>
      </w:tcPr>
    </w:tblStylePr>
    <w:tblStylePr w:type="swCell">
      <w:tblPr/>
      <w:tcPr>
        <w:tcBorders>
          <w:top w:val="double" w:sz="4" w:space="0" w:color="009BDF"/>
          <w:right w:val="nil"/>
        </w:tcBorders>
      </w:tcPr>
    </w:tblStylePr>
  </w:style>
  <w:style w:type="table" w:customStyle="1" w:styleId="ListTable41">
    <w:name w:val="List Table 41"/>
    <w:basedOn w:val="TableNormal"/>
    <w:next w:val="ListTable4"/>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768383"/>
        <w:left w:val="single" w:sz="4" w:space="0" w:color="768383"/>
        <w:bottom w:val="single" w:sz="4" w:space="0" w:color="768383"/>
        <w:right w:val="single" w:sz="4" w:space="0" w:color="768383"/>
        <w:insideH w:val="single" w:sz="4" w:space="0" w:color="768383"/>
      </w:tblBorders>
    </w:tblPr>
    <w:tblStylePr w:type="firstRow">
      <w:rPr>
        <w:b/>
        <w:bCs/>
        <w:color w:val="FFFFFF"/>
      </w:rPr>
      <w:tblPr/>
      <w:tcPr>
        <w:tcBorders>
          <w:top w:val="single" w:sz="4" w:space="0" w:color="242828"/>
          <w:left w:val="single" w:sz="4" w:space="0" w:color="242828"/>
          <w:bottom w:val="single" w:sz="4" w:space="0" w:color="242828"/>
          <w:right w:val="single" w:sz="4" w:space="0" w:color="242828"/>
          <w:insideH w:val="nil"/>
        </w:tcBorders>
        <w:shd w:val="clear" w:color="auto" w:fill="242828"/>
      </w:tcPr>
    </w:tblStylePr>
    <w:tblStylePr w:type="lastRow">
      <w:rPr>
        <w:b/>
        <w:bCs/>
      </w:rPr>
      <w:tblPr/>
      <w:tcPr>
        <w:tcBorders>
          <w:top w:val="double" w:sz="4" w:space="0" w:color="768383"/>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ListTable4-Accent11">
    <w:name w:val="List Table 4 - Accent 11"/>
    <w:basedOn w:val="TableNormal"/>
    <w:next w:val="ListTable4-Accent1"/>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3AEDFF"/>
        <w:left w:val="single" w:sz="4" w:space="0" w:color="3AEDFF"/>
        <w:bottom w:val="single" w:sz="4" w:space="0" w:color="3AEDFF"/>
        <w:right w:val="single" w:sz="4" w:space="0" w:color="3AEDFF"/>
        <w:insideH w:val="single" w:sz="4" w:space="0" w:color="3AEDFF"/>
      </w:tblBorders>
    </w:tblPr>
    <w:tblStylePr w:type="firstRow">
      <w:rPr>
        <w:b/>
        <w:bCs/>
        <w:color w:val="FFFFFF"/>
      </w:rPr>
      <w:tblPr/>
      <w:tcPr>
        <w:tcBorders>
          <w:top w:val="single" w:sz="4" w:space="0" w:color="00A6B6"/>
          <w:left w:val="single" w:sz="4" w:space="0" w:color="00A6B6"/>
          <w:bottom w:val="single" w:sz="4" w:space="0" w:color="00A6B6"/>
          <w:right w:val="single" w:sz="4" w:space="0" w:color="00A6B6"/>
          <w:insideH w:val="nil"/>
        </w:tcBorders>
        <w:shd w:val="clear" w:color="auto" w:fill="00A6B6"/>
      </w:tcPr>
    </w:tblStylePr>
    <w:tblStylePr w:type="lastRow">
      <w:rPr>
        <w:b/>
        <w:bCs/>
      </w:rPr>
      <w:tblPr/>
      <w:tcPr>
        <w:tcBorders>
          <w:top w:val="double" w:sz="4" w:space="0" w:color="3AEDFF"/>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ListTable4-Accent21">
    <w:name w:val="List Table 4 - Accent 21"/>
    <w:basedOn w:val="TableNormal"/>
    <w:next w:val="ListTable4-Accent2"/>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26FFC6"/>
        <w:left w:val="single" w:sz="4" w:space="0" w:color="26FFC6"/>
        <w:bottom w:val="single" w:sz="4" w:space="0" w:color="26FFC6"/>
        <w:right w:val="single" w:sz="4" w:space="0" w:color="26FFC6"/>
        <w:insideH w:val="single" w:sz="4" w:space="0" w:color="26FFC6"/>
      </w:tblBorders>
    </w:tblPr>
    <w:tblStylePr w:type="firstRow">
      <w:rPr>
        <w:b/>
        <w:bCs/>
        <w:color w:val="FFFFFF"/>
      </w:rPr>
      <w:tblPr/>
      <w:tcPr>
        <w:tcBorders>
          <w:top w:val="single" w:sz="4" w:space="0" w:color="00956E"/>
          <w:left w:val="single" w:sz="4" w:space="0" w:color="00956E"/>
          <w:bottom w:val="single" w:sz="4" w:space="0" w:color="00956E"/>
          <w:right w:val="single" w:sz="4" w:space="0" w:color="00956E"/>
          <w:insideH w:val="nil"/>
        </w:tcBorders>
        <w:shd w:val="clear" w:color="auto" w:fill="00956E"/>
      </w:tcPr>
    </w:tblStylePr>
    <w:tblStylePr w:type="lastRow">
      <w:rPr>
        <w:b/>
        <w:bCs/>
      </w:rPr>
      <w:tblPr/>
      <w:tcPr>
        <w:tcBorders>
          <w:top w:val="double" w:sz="4" w:space="0" w:color="26FFC6"/>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ListTable4-Accent31">
    <w:name w:val="List Table 4 - Accent 31"/>
    <w:basedOn w:val="TableNormal"/>
    <w:next w:val="ListTable4-Accent3"/>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CE59C1"/>
        <w:left w:val="single" w:sz="4" w:space="0" w:color="CE59C1"/>
        <w:bottom w:val="single" w:sz="4" w:space="0" w:color="CE59C1"/>
        <w:right w:val="single" w:sz="4" w:space="0" w:color="CE59C1"/>
        <w:insideH w:val="single" w:sz="4" w:space="0" w:color="CE59C1"/>
      </w:tblBorders>
    </w:tblPr>
    <w:tblStylePr w:type="firstRow">
      <w:rPr>
        <w:b/>
        <w:bCs/>
        <w:color w:val="FFFFFF"/>
      </w:rPr>
      <w:tblPr/>
      <w:tcPr>
        <w:tcBorders>
          <w:top w:val="single" w:sz="4" w:space="0" w:color="76236D"/>
          <w:left w:val="single" w:sz="4" w:space="0" w:color="76236D"/>
          <w:bottom w:val="single" w:sz="4" w:space="0" w:color="76236D"/>
          <w:right w:val="single" w:sz="4" w:space="0" w:color="76236D"/>
          <w:insideH w:val="nil"/>
        </w:tcBorders>
        <w:shd w:val="clear" w:color="auto" w:fill="76236D"/>
      </w:tcPr>
    </w:tblStylePr>
    <w:tblStylePr w:type="lastRow">
      <w:rPr>
        <w:b/>
        <w:bCs/>
      </w:rPr>
      <w:tblPr/>
      <w:tcPr>
        <w:tcBorders>
          <w:top w:val="double" w:sz="4" w:space="0" w:color="CE59C1"/>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ListTable4-Accent41">
    <w:name w:val="List Table 4 - Accent 41"/>
    <w:basedOn w:val="TableNormal"/>
    <w:next w:val="ListTable4-Accent4"/>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FFAA58"/>
        <w:left w:val="single" w:sz="4" w:space="0" w:color="FFAA58"/>
        <w:bottom w:val="single" w:sz="4" w:space="0" w:color="FFAA58"/>
        <w:right w:val="single" w:sz="4" w:space="0" w:color="FFAA58"/>
        <w:insideH w:val="single" w:sz="4" w:space="0" w:color="FFAA58"/>
      </w:tblBorders>
    </w:tblPr>
    <w:tblStylePr w:type="firstRow">
      <w:rPr>
        <w:b/>
        <w:bCs/>
        <w:color w:val="FFFFFF"/>
      </w:rPr>
      <w:tblPr/>
      <w:tcPr>
        <w:tcBorders>
          <w:top w:val="single" w:sz="4" w:space="0" w:color="E97300"/>
          <w:left w:val="single" w:sz="4" w:space="0" w:color="E97300"/>
          <w:bottom w:val="single" w:sz="4" w:space="0" w:color="E97300"/>
          <w:right w:val="single" w:sz="4" w:space="0" w:color="E97300"/>
          <w:insideH w:val="nil"/>
        </w:tcBorders>
        <w:shd w:val="clear" w:color="auto" w:fill="E97300"/>
      </w:tcPr>
    </w:tblStylePr>
    <w:tblStylePr w:type="lastRow">
      <w:rPr>
        <w:b/>
        <w:bCs/>
      </w:rPr>
      <w:tblPr/>
      <w:tcPr>
        <w:tcBorders>
          <w:top w:val="double" w:sz="4" w:space="0" w:color="FFAA58"/>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ListTable4-Accent51">
    <w:name w:val="List Table 4 - Accent 51"/>
    <w:basedOn w:val="TableNormal"/>
    <w:next w:val="ListTable4-Accent5"/>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E2E4E4"/>
        <w:left w:val="single" w:sz="4" w:space="0" w:color="E2E4E4"/>
        <w:bottom w:val="single" w:sz="4" w:space="0" w:color="E2E4E4"/>
        <w:right w:val="single" w:sz="4" w:space="0" w:color="E2E4E4"/>
        <w:insideH w:val="single" w:sz="4" w:space="0" w:color="E2E4E4"/>
      </w:tblBorders>
    </w:tblPr>
    <w:tblStylePr w:type="firstRow">
      <w:rPr>
        <w:b/>
        <w:bCs/>
        <w:color w:val="FFFFFF"/>
      </w:rPr>
      <w:tblPr/>
      <w:tcPr>
        <w:tcBorders>
          <w:top w:val="single" w:sz="4" w:space="0" w:color="D0D2D2"/>
          <w:left w:val="single" w:sz="4" w:space="0" w:color="D0D2D2"/>
          <w:bottom w:val="single" w:sz="4" w:space="0" w:color="D0D2D2"/>
          <w:right w:val="single" w:sz="4" w:space="0" w:color="D0D2D2"/>
          <w:insideH w:val="nil"/>
        </w:tcBorders>
        <w:shd w:val="clear" w:color="auto" w:fill="D0D2D2"/>
      </w:tcPr>
    </w:tblStylePr>
    <w:tblStylePr w:type="lastRow">
      <w:rPr>
        <w:b/>
        <w:bCs/>
      </w:rPr>
      <w:tblPr/>
      <w:tcPr>
        <w:tcBorders>
          <w:top w:val="double" w:sz="4" w:space="0" w:color="E2E4E4"/>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ListTable4-Accent61">
    <w:name w:val="List Table 4 - Accent 61"/>
    <w:basedOn w:val="TableNormal"/>
    <w:next w:val="ListTable4-Accent6"/>
    <w:uiPriority w:val="49"/>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52CAFF"/>
        <w:left w:val="single" w:sz="4" w:space="0" w:color="52CAFF"/>
        <w:bottom w:val="single" w:sz="4" w:space="0" w:color="52CAFF"/>
        <w:right w:val="single" w:sz="4" w:space="0" w:color="52CAFF"/>
        <w:insideH w:val="single" w:sz="4" w:space="0" w:color="52CAFF"/>
      </w:tblBorders>
    </w:tblPr>
    <w:tblStylePr w:type="firstRow">
      <w:rPr>
        <w:b/>
        <w:bCs/>
        <w:color w:val="FFFFFF"/>
      </w:rPr>
      <w:tblPr/>
      <w:tcPr>
        <w:tcBorders>
          <w:top w:val="single" w:sz="4" w:space="0" w:color="009BDF"/>
          <w:left w:val="single" w:sz="4" w:space="0" w:color="009BDF"/>
          <w:bottom w:val="single" w:sz="4" w:space="0" w:color="009BDF"/>
          <w:right w:val="single" w:sz="4" w:space="0" w:color="009BDF"/>
          <w:insideH w:val="nil"/>
        </w:tcBorders>
        <w:shd w:val="clear" w:color="auto" w:fill="009BDF"/>
      </w:tcPr>
    </w:tblStylePr>
    <w:tblStylePr w:type="lastRow">
      <w:rPr>
        <w:b/>
        <w:bCs/>
      </w:rPr>
      <w:tblPr/>
      <w:tcPr>
        <w:tcBorders>
          <w:top w:val="double" w:sz="4" w:space="0" w:color="52CAF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ListTable5Dark1">
    <w:name w:val="List Table 5 Dark1"/>
    <w:basedOn w:val="TableNormal"/>
    <w:next w:val="ListTable5Dark"/>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242828"/>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00A6B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00956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76236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E973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nil"/>
        <w:left w:val="nil"/>
        <w:right w:val="nil"/>
      </w:tcBorders>
      <w:shd w:val="clear" w:color="auto" w:fill="D0D2D2"/>
    </w:tcPr>
    <w:tblStylePr w:type="firstRow">
      <w:rPr>
        <w:b/>
        <w:bCs/>
      </w:rPr>
    </w:tblStylePr>
    <w:tblStylePr w:type="lastRow">
      <w:rPr>
        <w:b/>
        <w:bCs/>
      </w:rPr>
    </w:tblStylePr>
    <w:tblStylePr w:type="firstCol">
      <w:rPr>
        <w:b/>
        <w:bCs/>
      </w:rPr>
    </w:tblStylePr>
    <w:tblStylePr w:type="lastCol">
      <w:rPr>
        <w:b/>
        <w:bCs/>
      </w:rPr>
    </w:tblStylePr>
    <w:tblStylePr w:type="nwCell">
      <w:tblPr/>
      <w:tcPr>
        <w:tcBorders>
          <w:right w:val="nil"/>
        </w:tcBorders>
      </w:tcPr>
    </w:tblStylePr>
  </w:style>
  <w:style w:type="table" w:customStyle="1" w:styleId="ListTable5Dark-Accent61">
    <w:name w:val="List Table 5 Dark - Accent 61"/>
    <w:basedOn w:val="TableNormal"/>
    <w:next w:val="ListTable5Dark-Accent6"/>
    <w:uiPriority w:val="50"/>
    <w:rsid w:val="00A24B35"/>
    <w:pPr>
      <w:spacing w:before="60" w:after="0" w:line="240" w:lineRule="auto"/>
      <w:jc w:val="left"/>
    </w:pPr>
    <w:rPr>
      <w:rFonts w:asciiTheme="minorHAnsi" w:eastAsia="Times New Roman" w:hAnsiTheme="minorHAnsi" w:cs="Times New Roman"/>
      <w:color w:val="FFFFFF"/>
      <w:sz w:val="22"/>
      <w:szCs w:val="22"/>
      <w:lang w:val="en-US"/>
    </w:rPr>
    <w:tblPr>
      <w:tblStyleRowBandSize w:val="1"/>
      <w:tblStyleColBandSize w:val="1"/>
    </w:tblPr>
    <w:tcPr>
      <w:tcBorders>
        <w:top w:val="single" w:sz="4" w:space="0" w:color="FFFFFF"/>
        <w:bottom w:val="single" w:sz="4" w:space="0" w:color="FFFFFF"/>
      </w:tcBorders>
      <w:shd w:val="clear" w:color="auto" w:fill="009BDF"/>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A24B35"/>
    <w:pPr>
      <w:spacing w:before="60" w:after="0" w:line="240" w:lineRule="auto"/>
      <w:jc w:val="left"/>
    </w:pPr>
    <w:rPr>
      <w:rFonts w:asciiTheme="minorHAnsi" w:eastAsia="Times New Roman" w:hAnsiTheme="minorHAnsi" w:cs="Times New Roman"/>
      <w:color w:val="242828"/>
      <w:sz w:val="22"/>
      <w:szCs w:val="22"/>
      <w:lang w:val="en-US"/>
    </w:rPr>
    <w:tblPr>
      <w:tblStyleRowBandSize w:val="1"/>
      <w:tblStyleColBandSize w:val="1"/>
      <w:tblBorders>
        <w:top w:val="single" w:sz="4" w:space="0" w:color="242828"/>
        <w:bottom w:val="single" w:sz="4" w:space="0" w:color="242828"/>
      </w:tblBorders>
    </w:tblPr>
    <w:tblStylePr w:type="firstRow">
      <w:rPr>
        <w:b/>
        <w:bCs/>
      </w:rPr>
      <w:tblPr/>
      <w:tcPr>
        <w:tcBorders>
          <w:bottom w:val="single" w:sz="4" w:space="0" w:color="242828"/>
        </w:tcBorders>
      </w:tcPr>
    </w:tblStylePr>
    <w:tblStylePr w:type="lastRow">
      <w:rPr>
        <w:b/>
        <w:bCs/>
      </w:rPr>
      <w:tblPr/>
      <w:tcPr>
        <w:tcBorders>
          <w:top w:val="double" w:sz="4" w:space="0" w:color="242828"/>
        </w:tcBorders>
      </w:tcPr>
    </w:tblStylePr>
    <w:tblStylePr w:type="firstCol">
      <w:rPr>
        <w:b/>
        <w:bCs/>
      </w:rPr>
    </w:tblStylePr>
    <w:tblStylePr w:type="lastCol">
      <w:rPr>
        <w:b/>
        <w:bCs/>
      </w:rPr>
    </w:tblStylePr>
    <w:tblStylePr w:type="band1Vert">
      <w:tblPr/>
      <w:tcPr>
        <w:shd w:val="clear" w:color="auto" w:fill="D1D5D5"/>
      </w:tcPr>
    </w:tblStylePr>
    <w:tblStylePr w:type="band1Horz">
      <w:tblPr/>
      <w:tcPr>
        <w:shd w:val="clear" w:color="auto" w:fill="D1D5D5"/>
      </w:tcPr>
    </w:tblStylePr>
  </w:style>
  <w:style w:type="table" w:customStyle="1" w:styleId="ListTable6Colorful-Accent11">
    <w:name w:val="List Table 6 Colorful - Accent 11"/>
    <w:basedOn w:val="TableNormal"/>
    <w:next w:val="ListTable6Colorful-Accent1"/>
    <w:uiPriority w:val="51"/>
    <w:rsid w:val="00A24B35"/>
    <w:pPr>
      <w:spacing w:before="60" w:after="0" w:line="240" w:lineRule="auto"/>
      <w:jc w:val="left"/>
    </w:pPr>
    <w:rPr>
      <w:rFonts w:asciiTheme="minorHAnsi" w:eastAsia="Times New Roman" w:hAnsiTheme="minorHAnsi" w:cs="Times New Roman"/>
      <w:color w:val="007B88"/>
      <w:sz w:val="22"/>
      <w:szCs w:val="22"/>
      <w:lang w:val="en-US"/>
    </w:rPr>
    <w:tblPr>
      <w:tblStyleRowBandSize w:val="1"/>
      <w:tblStyleColBandSize w:val="1"/>
      <w:tblBorders>
        <w:top w:val="single" w:sz="4" w:space="0" w:color="00A6B6"/>
        <w:bottom w:val="single" w:sz="4" w:space="0" w:color="00A6B6"/>
      </w:tblBorders>
    </w:tblPr>
    <w:tblStylePr w:type="firstRow">
      <w:rPr>
        <w:b/>
        <w:bCs/>
      </w:rPr>
      <w:tblPr/>
      <w:tcPr>
        <w:tcBorders>
          <w:bottom w:val="single" w:sz="4" w:space="0" w:color="00A6B6"/>
        </w:tcBorders>
      </w:tcPr>
    </w:tblStylePr>
    <w:tblStylePr w:type="lastRow">
      <w:rPr>
        <w:b/>
        <w:bCs/>
      </w:rPr>
      <w:tblPr/>
      <w:tcPr>
        <w:tcBorders>
          <w:top w:val="double" w:sz="4" w:space="0" w:color="00A6B6"/>
        </w:tcBorders>
      </w:tcPr>
    </w:tblStylePr>
    <w:tblStylePr w:type="firstCol">
      <w:rPr>
        <w:b/>
        <w:bCs/>
      </w:rPr>
    </w:tblStylePr>
    <w:tblStylePr w:type="lastCol">
      <w:rPr>
        <w:b/>
        <w:bCs/>
      </w:rPr>
    </w:tblStylePr>
    <w:tblStylePr w:type="band1Vert">
      <w:tblPr/>
      <w:tcPr>
        <w:shd w:val="clear" w:color="auto" w:fill="BDF9FF"/>
      </w:tcPr>
    </w:tblStylePr>
    <w:tblStylePr w:type="band1Horz">
      <w:tblPr/>
      <w:tcPr>
        <w:shd w:val="clear" w:color="auto" w:fill="BDF9FF"/>
      </w:tcPr>
    </w:tblStylePr>
  </w:style>
  <w:style w:type="table" w:customStyle="1" w:styleId="ListTable6Colorful-Accent21">
    <w:name w:val="List Table 6 Colorful - Accent 21"/>
    <w:basedOn w:val="TableNormal"/>
    <w:next w:val="ListTable6Colorful-Accent2"/>
    <w:uiPriority w:val="51"/>
    <w:rsid w:val="00A24B35"/>
    <w:pPr>
      <w:spacing w:before="60" w:after="0" w:line="240" w:lineRule="auto"/>
      <w:jc w:val="left"/>
    </w:pPr>
    <w:rPr>
      <w:rFonts w:asciiTheme="minorHAnsi" w:eastAsia="Times New Roman" w:hAnsiTheme="minorHAnsi" w:cs="Times New Roman"/>
      <w:color w:val="006F52"/>
      <w:sz w:val="22"/>
      <w:szCs w:val="22"/>
      <w:lang w:val="en-US"/>
    </w:rPr>
    <w:tblPr>
      <w:tblStyleRowBandSize w:val="1"/>
      <w:tblStyleColBandSize w:val="1"/>
      <w:tblBorders>
        <w:top w:val="single" w:sz="4" w:space="0" w:color="00956E"/>
        <w:bottom w:val="single" w:sz="4" w:space="0" w:color="00956E"/>
      </w:tblBorders>
    </w:tblPr>
    <w:tblStylePr w:type="firstRow">
      <w:rPr>
        <w:b/>
        <w:bCs/>
      </w:rPr>
      <w:tblPr/>
      <w:tcPr>
        <w:tcBorders>
          <w:bottom w:val="single" w:sz="4" w:space="0" w:color="00956E"/>
        </w:tcBorders>
      </w:tcPr>
    </w:tblStylePr>
    <w:tblStylePr w:type="lastRow">
      <w:rPr>
        <w:b/>
        <w:bCs/>
      </w:rPr>
      <w:tblPr/>
      <w:tcPr>
        <w:tcBorders>
          <w:top w:val="double" w:sz="4" w:space="0" w:color="00956E"/>
        </w:tcBorders>
      </w:tcPr>
    </w:tblStylePr>
    <w:tblStylePr w:type="firstCol">
      <w:rPr>
        <w:b/>
        <w:bCs/>
      </w:rPr>
    </w:tblStylePr>
    <w:tblStylePr w:type="lastCol">
      <w:rPr>
        <w:b/>
        <w:bCs/>
      </w:rPr>
    </w:tblStylePr>
    <w:tblStylePr w:type="band1Vert">
      <w:tblPr/>
      <w:tcPr>
        <w:shd w:val="clear" w:color="auto" w:fill="B6FFEB"/>
      </w:tcPr>
    </w:tblStylePr>
    <w:tblStylePr w:type="band1Horz">
      <w:tblPr/>
      <w:tcPr>
        <w:shd w:val="clear" w:color="auto" w:fill="B6FFEB"/>
      </w:tcPr>
    </w:tblStylePr>
  </w:style>
  <w:style w:type="table" w:customStyle="1" w:styleId="ListTable6Colorful-Accent31">
    <w:name w:val="List Table 6 Colorful - Accent 31"/>
    <w:basedOn w:val="TableNormal"/>
    <w:next w:val="ListTable6Colorful-Accent3"/>
    <w:uiPriority w:val="51"/>
    <w:rsid w:val="00A24B35"/>
    <w:pPr>
      <w:spacing w:before="60" w:after="0" w:line="240" w:lineRule="auto"/>
      <w:jc w:val="left"/>
    </w:pPr>
    <w:rPr>
      <w:rFonts w:asciiTheme="minorHAnsi" w:eastAsia="Times New Roman" w:hAnsiTheme="minorHAnsi" w:cs="Times New Roman"/>
      <w:color w:val="581A51"/>
      <w:sz w:val="22"/>
      <w:szCs w:val="22"/>
      <w:lang w:val="en-US"/>
    </w:rPr>
    <w:tblPr>
      <w:tblStyleRowBandSize w:val="1"/>
      <w:tblStyleColBandSize w:val="1"/>
      <w:tblBorders>
        <w:top w:val="single" w:sz="4" w:space="0" w:color="76236D"/>
        <w:bottom w:val="single" w:sz="4" w:space="0" w:color="76236D"/>
      </w:tblBorders>
    </w:tblPr>
    <w:tblStylePr w:type="firstRow">
      <w:rPr>
        <w:b/>
        <w:bCs/>
      </w:rPr>
      <w:tblPr/>
      <w:tcPr>
        <w:tcBorders>
          <w:bottom w:val="single" w:sz="4" w:space="0" w:color="76236D"/>
        </w:tcBorders>
      </w:tcPr>
    </w:tblStylePr>
    <w:tblStylePr w:type="lastRow">
      <w:rPr>
        <w:b/>
        <w:bCs/>
      </w:rPr>
      <w:tblPr/>
      <w:tcPr>
        <w:tcBorders>
          <w:top w:val="double" w:sz="4" w:space="0" w:color="76236D"/>
        </w:tcBorders>
      </w:tcPr>
    </w:tblStylePr>
    <w:tblStylePr w:type="firstCol">
      <w:rPr>
        <w:b/>
        <w:bCs/>
      </w:rPr>
    </w:tblStylePr>
    <w:tblStylePr w:type="lastCol">
      <w:rPr>
        <w:b/>
        <w:bCs/>
      </w:rPr>
    </w:tblStylePr>
    <w:tblStylePr w:type="band1Vert">
      <w:tblPr/>
      <w:tcPr>
        <w:shd w:val="clear" w:color="auto" w:fill="EEC7EA"/>
      </w:tcPr>
    </w:tblStylePr>
    <w:tblStylePr w:type="band1Horz">
      <w:tblPr/>
      <w:tcPr>
        <w:shd w:val="clear" w:color="auto" w:fill="EEC7EA"/>
      </w:tcPr>
    </w:tblStylePr>
  </w:style>
  <w:style w:type="table" w:customStyle="1" w:styleId="ListTable6Colorful-Accent41">
    <w:name w:val="List Table 6 Colorful - Accent 41"/>
    <w:basedOn w:val="TableNormal"/>
    <w:next w:val="ListTable6Colorful-Accent4"/>
    <w:uiPriority w:val="51"/>
    <w:rsid w:val="00A24B35"/>
    <w:pPr>
      <w:spacing w:before="60" w:after="0" w:line="240" w:lineRule="auto"/>
      <w:jc w:val="left"/>
    </w:pPr>
    <w:rPr>
      <w:rFonts w:asciiTheme="minorHAnsi" w:eastAsia="Times New Roman" w:hAnsiTheme="minorHAnsi" w:cs="Times New Roman"/>
      <w:color w:val="AE5500"/>
      <w:sz w:val="22"/>
      <w:szCs w:val="22"/>
      <w:lang w:val="en-US"/>
    </w:rPr>
    <w:tblPr>
      <w:tblStyleRowBandSize w:val="1"/>
      <w:tblStyleColBandSize w:val="1"/>
      <w:tblBorders>
        <w:top w:val="single" w:sz="4" w:space="0" w:color="E97300"/>
        <w:bottom w:val="single" w:sz="4" w:space="0" w:color="E97300"/>
      </w:tblBorders>
    </w:tblPr>
    <w:tblStylePr w:type="firstRow">
      <w:rPr>
        <w:b/>
        <w:bCs/>
      </w:rPr>
      <w:tblPr/>
      <w:tcPr>
        <w:tcBorders>
          <w:bottom w:val="single" w:sz="4" w:space="0" w:color="E97300"/>
        </w:tcBorders>
      </w:tcPr>
    </w:tblStylePr>
    <w:tblStylePr w:type="lastRow">
      <w:rPr>
        <w:b/>
        <w:bCs/>
      </w:rPr>
      <w:tblPr/>
      <w:tcPr>
        <w:tcBorders>
          <w:top w:val="double" w:sz="4" w:space="0" w:color="E97300"/>
        </w:tcBorders>
      </w:tcPr>
    </w:tblStylePr>
    <w:tblStylePr w:type="firstCol">
      <w:rPr>
        <w:b/>
        <w:bCs/>
      </w:rPr>
    </w:tblStylePr>
    <w:tblStylePr w:type="lastCol">
      <w:rPr>
        <w:b/>
        <w:bCs/>
      </w:rPr>
    </w:tblStylePr>
    <w:tblStylePr w:type="band1Vert">
      <w:tblPr/>
      <w:tcPr>
        <w:shd w:val="clear" w:color="auto" w:fill="FFE2C7"/>
      </w:tcPr>
    </w:tblStylePr>
    <w:tblStylePr w:type="band1Horz">
      <w:tblPr/>
      <w:tcPr>
        <w:shd w:val="clear" w:color="auto" w:fill="FFE2C7"/>
      </w:tcPr>
    </w:tblStylePr>
  </w:style>
  <w:style w:type="table" w:customStyle="1" w:styleId="ListTable6Colorful-Accent51">
    <w:name w:val="List Table 6 Colorful - Accent 51"/>
    <w:basedOn w:val="TableNormal"/>
    <w:next w:val="ListTable6Colorful-Accent5"/>
    <w:uiPriority w:val="51"/>
    <w:rsid w:val="00A24B35"/>
    <w:pPr>
      <w:spacing w:before="60" w:after="0" w:line="240" w:lineRule="auto"/>
      <w:jc w:val="left"/>
    </w:pPr>
    <w:rPr>
      <w:rFonts w:asciiTheme="minorHAnsi" w:eastAsia="Times New Roman" w:hAnsiTheme="minorHAnsi" w:cs="Times New Roman"/>
      <w:color w:val="9A9E9E"/>
      <w:sz w:val="22"/>
      <w:szCs w:val="22"/>
      <w:lang w:val="en-US"/>
    </w:rPr>
    <w:tblPr>
      <w:tblStyleRowBandSize w:val="1"/>
      <w:tblStyleColBandSize w:val="1"/>
      <w:tblBorders>
        <w:top w:val="single" w:sz="4" w:space="0" w:color="D0D2D2"/>
        <w:bottom w:val="single" w:sz="4" w:space="0" w:color="D0D2D2"/>
      </w:tblBorders>
    </w:tblPr>
    <w:tblStylePr w:type="firstRow">
      <w:rPr>
        <w:b/>
        <w:bCs/>
      </w:rPr>
      <w:tblPr/>
      <w:tcPr>
        <w:tcBorders>
          <w:bottom w:val="single" w:sz="4" w:space="0" w:color="D0D2D2"/>
        </w:tcBorders>
      </w:tcPr>
    </w:tblStylePr>
    <w:tblStylePr w:type="lastRow">
      <w:rPr>
        <w:b/>
        <w:bCs/>
      </w:rPr>
      <w:tblPr/>
      <w:tcPr>
        <w:tcBorders>
          <w:top w:val="double" w:sz="4" w:space="0" w:color="D0D2D2"/>
        </w:tcBorders>
      </w:tcPr>
    </w:tblStylePr>
    <w:tblStylePr w:type="firstCol">
      <w:rPr>
        <w:b/>
        <w:bCs/>
      </w:rPr>
    </w:tblStylePr>
    <w:tblStylePr w:type="lastCol">
      <w:rPr>
        <w:b/>
        <w:bCs/>
      </w:rPr>
    </w:tblStylePr>
    <w:tblStylePr w:type="band1Vert">
      <w:tblPr/>
      <w:tcPr>
        <w:shd w:val="clear" w:color="auto" w:fill="F5F6F6"/>
      </w:tcPr>
    </w:tblStylePr>
    <w:tblStylePr w:type="band1Horz">
      <w:tblPr/>
      <w:tcPr>
        <w:shd w:val="clear" w:color="auto" w:fill="F5F6F6"/>
      </w:tcPr>
    </w:tblStylePr>
  </w:style>
  <w:style w:type="table" w:customStyle="1" w:styleId="ListTable6Colorful-Accent61">
    <w:name w:val="List Table 6 Colorful - Accent 61"/>
    <w:basedOn w:val="TableNormal"/>
    <w:next w:val="ListTable6Colorful-Accent6"/>
    <w:uiPriority w:val="51"/>
    <w:rsid w:val="00A24B35"/>
    <w:pPr>
      <w:spacing w:before="60" w:after="0" w:line="240" w:lineRule="auto"/>
      <w:jc w:val="left"/>
    </w:pPr>
    <w:rPr>
      <w:rFonts w:asciiTheme="minorHAnsi" w:eastAsia="Times New Roman" w:hAnsiTheme="minorHAnsi" w:cs="Times New Roman"/>
      <w:color w:val="0073A7"/>
      <w:sz w:val="22"/>
      <w:szCs w:val="22"/>
      <w:lang w:val="en-US"/>
    </w:rPr>
    <w:tblPr>
      <w:tblStyleRowBandSize w:val="1"/>
      <w:tblStyleColBandSize w:val="1"/>
      <w:tblBorders>
        <w:top w:val="single" w:sz="4" w:space="0" w:color="009BDF"/>
        <w:bottom w:val="single" w:sz="4" w:space="0" w:color="009BDF"/>
      </w:tblBorders>
    </w:tblPr>
    <w:tblStylePr w:type="firstRow">
      <w:rPr>
        <w:b/>
        <w:bCs/>
      </w:rPr>
      <w:tblPr/>
      <w:tcPr>
        <w:tcBorders>
          <w:bottom w:val="single" w:sz="4" w:space="0" w:color="009BDF"/>
        </w:tcBorders>
      </w:tcPr>
    </w:tblStylePr>
    <w:tblStylePr w:type="lastRow">
      <w:rPr>
        <w:b/>
        <w:bCs/>
      </w:rPr>
      <w:tblPr/>
      <w:tcPr>
        <w:tcBorders>
          <w:top w:val="double" w:sz="4" w:space="0" w:color="009BDF"/>
        </w:tcBorders>
      </w:tcPr>
    </w:tblStylePr>
    <w:tblStylePr w:type="firstCol">
      <w:rPr>
        <w:b/>
        <w:bCs/>
      </w:rPr>
    </w:tblStylePr>
    <w:tblStylePr w:type="lastCol">
      <w:rPr>
        <w:b/>
        <w:bCs/>
      </w:rPr>
    </w:tblStylePr>
    <w:tblStylePr w:type="band1Vert">
      <w:tblPr/>
      <w:tcPr>
        <w:shd w:val="clear" w:color="auto" w:fill="C5EDFF"/>
      </w:tcPr>
    </w:tblStylePr>
    <w:tblStylePr w:type="band1Horz">
      <w:tblPr/>
      <w:tcPr>
        <w:shd w:val="clear" w:color="auto" w:fill="C5EDFF"/>
      </w:tcPr>
    </w:tblStylePr>
  </w:style>
  <w:style w:type="table" w:customStyle="1" w:styleId="ListTable7Colorful1">
    <w:name w:val="List Table 7 Colorful1"/>
    <w:basedOn w:val="TableNormal"/>
    <w:next w:val="ListTable7Colorful"/>
    <w:uiPriority w:val="52"/>
    <w:rsid w:val="00A24B35"/>
    <w:pPr>
      <w:spacing w:before="60" w:after="0" w:line="240" w:lineRule="auto"/>
      <w:jc w:val="left"/>
    </w:pPr>
    <w:rPr>
      <w:rFonts w:asciiTheme="minorHAnsi" w:eastAsia="Times New Roman" w:hAnsiTheme="minorHAnsi" w:cs="Times New Roman"/>
      <w:color w:val="242828"/>
      <w:sz w:val="22"/>
      <w:szCs w:val="22"/>
      <w:lang w:val="en-US"/>
    </w:rPr>
    <w:tblPr/>
    <w:tblStylePr w:type="firstRow">
      <w:rPr>
        <w:rFonts w:ascii="Arial" w:eastAsia="Times New Roman Bold" w:hAnsi="Arial" w:cs="Arial"/>
        <w:i/>
        <w:iCs/>
        <w:sz w:val="26"/>
      </w:rPr>
    </w:tblStylePr>
    <w:tblStylePr w:type="lastRow">
      <w:rPr>
        <w:rFonts w:ascii="Arial" w:eastAsia="Times New Roman Bold" w:hAnsi="Arial" w:cs="Arial"/>
        <w:i/>
        <w:iCs/>
        <w:sz w:val="26"/>
      </w:rPr>
    </w:tblStylePr>
    <w:tblStylePr w:type="firstCol">
      <w:pPr>
        <w:jc w:val="right"/>
      </w:pPr>
      <w:rPr>
        <w:rFonts w:ascii="Arial" w:eastAsia="Times New Roman Bold" w:hAnsi="Arial" w:cs="Arial"/>
        <w:i/>
        <w:iCs/>
        <w:sz w:val="26"/>
      </w:rPr>
    </w:tblStylePr>
    <w:tblStylePr w:type="lastCol">
      <w:rPr>
        <w:rFonts w:ascii="Arial" w:eastAsia="Times New Roman Bold" w:hAnsi="Arial" w:cs="Arial"/>
        <w:i/>
        <w:iCs/>
        <w:sz w:val="26"/>
      </w:rPr>
    </w:tblStylePr>
  </w:style>
  <w:style w:type="table" w:customStyle="1" w:styleId="ListTable7Colorful-Accent11">
    <w:name w:val="List Table 7 Colorful - Accent 11"/>
    <w:basedOn w:val="TableNormal"/>
    <w:next w:val="ListTable7Colorful-Accent1"/>
    <w:uiPriority w:val="52"/>
    <w:rsid w:val="00A24B35"/>
    <w:pPr>
      <w:spacing w:before="60" w:after="0" w:line="240" w:lineRule="auto"/>
      <w:jc w:val="left"/>
    </w:pPr>
    <w:rPr>
      <w:rFonts w:asciiTheme="minorHAnsi" w:eastAsia="Times New Roman" w:hAnsiTheme="minorHAnsi" w:cs="Times New Roman"/>
      <w:color w:val="007B88"/>
      <w:sz w:val="22"/>
      <w:szCs w:val="22"/>
      <w:lang w:val="en-US"/>
    </w:rPr>
    <w:tblPr>
      <w:tblStyleRowBandSize w:val="1"/>
      <w:tblStyleColBandSize w:val="1"/>
    </w:tblPr>
    <w:tblStylePr w:type="firstRow">
      <w:rPr>
        <w:rFonts w:ascii="Arial" w:eastAsia="Times New Roman Bold" w:hAnsi="Arial" w:cs="Arial"/>
        <w:i/>
        <w:iCs/>
        <w:sz w:val="26"/>
      </w:rPr>
      <w:tblPr/>
      <w:tcPr>
        <w:tcBorders>
          <w:bottom w:val="single" w:sz="4" w:space="0" w:color="00A6B6"/>
        </w:tcBorders>
        <w:shd w:val="clear" w:color="auto" w:fill="FFFFFF"/>
      </w:tcPr>
    </w:tblStylePr>
    <w:tblStylePr w:type="lastRow">
      <w:rPr>
        <w:rFonts w:ascii="Arial" w:eastAsia="Times New Roman Bold" w:hAnsi="Arial" w:cs="Arial"/>
        <w:i/>
        <w:iCs/>
        <w:sz w:val="26"/>
      </w:rPr>
      <w:tblPr/>
      <w:tcPr>
        <w:tcBorders>
          <w:top w:val="single" w:sz="4" w:space="0" w:color="00A6B6"/>
        </w:tcBorders>
        <w:shd w:val="clear" w:color="auto" w:fill="FFFFFF"/>
      </w:tcPr>
    </w:tblStylePr>
    <w:tblStylePr w:type="firstCol">
      <w:pPr>
        <w:jc w:val="right"/>
      </w:pPr>
      <w:rPr>
        <w:rFonts w:ascii="Arial" w:eastAsia="Times New Roman Bold" w:hAnsi="Arial" w:cs="Arial"/>
        <w:i/>
        <w:iCs/>
        <w:sz w:val="26"/>
      </w:rPr>
      <w:tblPr/>
      <w:tcPr>
        <w:tcBorders>
          <w:right w:val="single" w:sz="4" w:space="0" w:color="00A6B6"/>
        </w:tcBorders>
        <w:shd w:val="clear" w:color="auto" w:fill="FFFFFF"/>
      </w:tcPr>
    </w:tblStylePr>
    <w:tblStylePr w:type="lastCol">
      <w:rPr>
        <w:rFonts w:ascii="Arial" w:eastAsia="Times New Roman Bold" w:hAnsi="Arial" w:cs="Arial"/>
        <w:i/>
        <w:iCs/>
        <w:sz w:val="26"/>
      </w:rPr>
      <w:tblPr/>
      <w:tcPr>
        <w:tcBorders>
          <w:left w:val="single" w:sz="4" w:space="0" w:color="00A6B6"/>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A24B35"/>
    <w:pPr>
      <w:spacing w:before="60" w:after="0" w:line="240" w:lineRule="auto"/>
      <w:jc w:val="left"/>
    </w:pPr>
    <w:rPr>
      <w:rFonts w:asciiTheme="minorHAnsi" w:eastAsia="Times New Roman" w:hAnsiTheme="minorHAnsi" w:cs="Times New Roman"/>
      <w:color w:val="006F52"/>
      <w:sz w:val="22"/>
      <w:szCs w:val="22"/>
      <w:lang w:val="en-US"/>
    </w:rPr>
    <w:tblPr>
      <w:tblStyleRowBandSize w:val="1"/>
      <w:tblStyleColBandSize w:val="1"/>
    </w:tblPr>
    <w:tblStylePr w:type="firstRow">
      <w:rPr>
        <w:rFonts w:ascii="Arial" w:eastAsia="Times New Roman Bold" w:hAnsi="Arial" w:cs="Arial"/>
        <w:i/>
        <w:iCs/>
        <w:sz w:val="26"/>
      </w:rPr>
      <w:tblPr/>
      <w:tcPr>
        <w:tcBorders>
          <w:bottom w:val="single" w:sz="4" w:space="0" w:color="00956E"/>
        </w:tcBorders>
        <w:shd w:val="clear" w:color="auto" w:fill="FFFFFF"/>
      </w:tcPr>
    </w:tblStylePr>
    <w:tblStylePr w:type="lastRow">
      <w:rPr>
        <w:rFonts w:ascii="Arial" w:eastAsia="Times New Roman Bold" w:hAnsi="Arial" w:cs="Arial"/>
        <w:i/>
        <w:iCs/>
        <w:sz w:val="26"/>
      </w:rPr>
      <w:tblPr/>
      <w:tcPr>
        <w:tcBorders>
          <w:top w:val="single" w:sz="4" w:space="0" w:color="00956E"/>
        </w:tcBorders>
        <w:shd w:val="clear" w:color="auto" w:fill="FFFFFF"/>
      </w:tcPr>
    </w:tblStylePr>
    <w:tblStylePr w:type="firstCol">
      <w:pPr>
        <w:jc w:val="right"/>
      </w:pPr>
      <w:rPr>
        <w:rFonts w:ascii="Arial" w:eastAsia="Times New Roman Bold" w:hAnsi="Arial" w:cs="Arial"/>
        <w:i/>
        <w:iCs/>
        <w:sz w:val="26"/>
      </w:rPr>
      <w:tblPr/>
      <w:tcPr>
        <w:tcBorders>
          <w:right w:val="single" w:sz="4" w:space="0" w:color="00956E"/>
        </w:tcBorders>
        <w:shd w:val="clear" w:color="auto" w:fill="FFFFFF"/>
      </w:tcPr>
    </w:tblStylePr>
    <w:tblStylePr w:type="lastCol">
      <w:rPr>
        <w:rFonts w:ascii="Arial" w:eastAsia="Times New Roman Bold" w:hAnsi="Arial" w:cs="Arial"/>
        <w:i/>
        <w:iCs/>
        <w:sz w:val="26"/>
      </w:rPr>
      <w:tblPr/>
      <w:tcPr>
        <w:tcBorders>
          <w:left w:val="single" w:sz="4" w:space="0" w:color="00956E"/>
        </w:tcBorders>
        <w:shd w:val="clear" w:color="auto" w:fill="FFFF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A24B35"/>
    <w:pPr>
      <w:spacing w:before="60" w:after="0" w:line="240" w:lineRule="auto"/>
      <w:jc w:val="left"/>
    </w:pPr>
    <w:rPr>
      <w:rFonts w:asciiTheme="minorHAnsi" w:eastAsia="Times New Roman" w:hAnsiTheme="minorHAnsi" w:cs="Times New Roman"/>
      <w:color w:val="581A51"/>
      <w:sz w:val="22"/>
      <w:szCs w:val="22"/>
      <w:lang w:val="en-US"/>
    </w:rPr>
    <w:tblPr>
      <w:tblStyleRowBandSize w:val="1"/>
      <w:tblStyleColBandSize w:val="1"/>
    </w:tblPr>
    <w:tcPr>
      <w:tcBorders>
        <w:right w:val="single" w:sz="4" w:space="0" w:color="76236D"/>
      </w:tcBorders>
      <w:shd w:val="clear" w:color="auto" w:fill="FFFFFF"/>
    </w:tcPr>
    <w:tblStylePr w:type="firstRow">
      <w:rPr>
        <w:rFonts w:ascii="Arial" w:eastAsia="Times New Roman Bold" w:hAnsi="Arial" w:cs="Arial"/>
        <w:i/>
        <w:iCs/>
        <w:sz w:val="26"/>
      </w:rPr>
      <w:tblPr/>
      <w:tcPr>
        <w:tcBorders>
          <w:bottom w:val="single" w:sz="4" w:space="0" w:color="76236D"/>
        </w:tcBorders>
        <w:shd w:val="clear" w:color="auto" w:fill="FFFFFF"/>
      </w:tcPr>
    </w:tblStylePr>
    <w:tblStylePr w:type="lastRow">
      <w:rPr>
        <w:rFonts w:ascii="Arial" w:eastAsia="Times New Roman Bold" w:hAnsi="Arial" w:cs="Arial"/>
        <w:i/>
        <w:iCs/>
        <w:sz w:val="26"/>
      </w:rPr>
      <w:tblPr/>
      <w:tcPr>
        <w:tcBorders>
          <w:top w:val="single" w:sz="4" w:space="0" w:color="76236D"/>
        </w:tcBorders>
        <w:shd w:val="clear" w:color="auto" w:fill="FFFFFF"/>
      </w:tcPr>
    </w:tblStylePr>
    <w:tblStylePr w:type="firstCol">
      <w:pPr>
        <w:jc w:val="right"/>
      </w:pPr>
      <w:rPr>
        <w:rFonts w:ascii="Arial" w:eastAsia="Times New Roman Bold" w:hAnsi="Arial" w:cs="Arial"/>
        <w:i/>
        <w:iCs/>
        <w:sz w:val="26"/>
      </w:rPr>
    </w:tblStylePr>
    <w:tblStylePr w:type="lastCol">
      <w:rPr>
        <w:rFonts w:ascii="Arial" w:eastAsia="Times New Roman Bold" w:hAnsi="Arial" w:cs="Arial"/>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A24B35"/>
    <w:pPr>
      <w:spacing w:before="60" w:after="0" w:line="240" w:lineRule="auto"/>
      <w:jc w:val="left"/>
    </w:pPr>
    <w:rPr>
      <w:rFonts w:asciiTheme="minorHAnsi" w:eastAsia="Times New Roman" w:hAnsiTheme="minorHAnsi" w:cs="Times New Roman"/>
      <w:color w:val="AE5500"/>
      <w:sz w:val="22"/>
      <w:szCs w:val="22"/>
      <w:lang w:val="en-US"/>
    </w:rPr>
    <w:tblPr>
      <w:tblStyleRowBandSize w:val="1"/>
      <w:tblStyleColBandSize w:val="1"/>
    </w:tblPr>
    <w:tcPr>
      <w:tcBorders>
        <w:right w:val="single" w:sz="4" w:space="0" w:color="E97300"/>
      </w:tcBorders>
      <w:shd w:val="clear" w:color="auto" w:fill="FFFFFF"/>
    </w:tcPr>
    <w:tblStylePr w:type="firstRow">
      <w:rPr>
        <w:rFonts w:ascii="Arial" w:eastAsia="Times New Roman Bold" w:hAnsi="Arial" w:cs="Arial"/>
        <w:i/>
        <w:iCs/>
        <w:sz w:val="26"/>
      </w:rPr>
      <w:tblPr/>
      <w:tcPr>
        <w:tcBorders>
          <w:bottom w:val="single" w:sz="4" w:space="0" w:color="E97300"/>
        </w:tcBorders>
        <w:shd w:val="clear" w:color="auto" w:fill="FFFFFF"/>
      </w:tcPr>
    </w:tblStylePr>
    <w:tblStylePr w:type="lastRow">
      <w:rPr>
        <w:rFonts w:ascii="Arial" w:eastAsia="Times New Roman Bold" w:hAnsi="Arial" w:cs="Arial"/>
        <w:i/>
        <w:iCs/>
        <w:sz w:val="26"/>
      </w:rPr>
      <w:tblPr/>
      <w:tcPr>
        <w:tcBorders>
          <w:top w:val="single" w:sz="4" w:space="0" w:color="E97300"/>
        </w:tcBorders>
        <w:shd w:val="clear" w:color="auto" w:fill="FFFFFF"/>
      </w:tcPr>
    </w:tblStylePr>
    <w:tblStylePr w:type="firstCol">
      <w:pPr>
        <w:jc w:val="right"/>
      </w:pPr>
      <w:rPr>
        <w:rFonts w:ascii="Arial" w:eastAsia="Times New Roman Bold" w:hAnsi="Arial" w:cs="Arial"/>
        <w:i/>
        <w:iCs/>
        <w:sz w:val="26"/>
      </w:rPr>
    </w:tblStylePr>
    <w:tblStylePr w:type="lastCol">
      <w:rPr>
        <w:rFonts w:ascii="Arial" w:eastAsia="Times New Roman Bold" w:hAnsi="Arial" w:cs="Arial"/>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A24B35"/>
    <w:pPr>
      <w:spacing w:before="60" w:after="0" w:line="240" w:lineRule="auto"/>
      <w:jc w:val="left"/>
    </w:pPr>
    <w:rPr>
      <w:rFonts w:asciiTheme="minorHAnsi" w:eastAsia="Times New Roman" w:hAnsiTheme="minorHAnsi" w:cs="Times New Roman"/>
      <w:color w:val="9A9E9E"/>
      <w:sz w:val="22"/>
      <w:szCs w:val="22"/>
      <w:lang w:val="en-US"/>
    </w:rPr>
    <w:tblPr/>
    <w:tblStylePr w:type="firstRow">
      <w:rPr>
        <w:rFonts w:ascii="Arial" w:eastAsia="Times New Roman Bold" w:hAnsi="Arial" w:cs="Arial"/>
        <w:i/>
        <w:iCs/>
        <w:sz w:val="26"/>
      </w:rPr>
    </w:tblStylePr>
    <w:tblStylePr w:type="lastRow">
      <w:rPr>
        <w:rFonts w:ascii="Arial" w:eastAsia="Times New Roman Bold" w:hAnsi="Arial" w:cs="Arial"/>
        <w:i/>
        <w:iCs/>
        <w:sz w:val="26"/>
      </w:rPr>
    </w:tblStylePr>
    <w:tblStylePr w:type="firstCol">
      <w:pPr>
        <w:jc w:val="right"/>
      </w:pPr>
      <w:rPr>
        <w:rFonts w:ascii="Arial" w:eastAsia="Times New Roman Bold" w:hAnsi="Arial" w:cs="Arial"/>
        <w:i/>
        <w:iCs/>
        <w:sz w:val="26"/>
      </w:rPr>
    </w:tblStylePr>
    <w:tblStylePr w:type="lastCol">
      <w:rPr>
        <w:rFonts w:ascii="Arial" w:eastAsia="Times New Roman Bold" w:hAnsi="Arial" w:cs="Arial"/>
        <w:i/>
        <w:iCs/>
        <w:sz w:val="26"/>
      </w:rPr>
    </w:tblStylePr>
  </w:style>
  <w:style w:type="table" w:customStyle="1" w:styleId="ListTable7Colorful-Accent61">
    <w:name w:val="List Table 7 Colorful - Accent 61"/>
    <w:basedOn w:val="TableNormal"/>
    <w:next w:val="ListTable7Colorful-Accent6"/>
    <w:uiPriority w:val="52"/>
    <w:rsid w:val="00A24B35"/>
    <w:pPr>
      <w:spacing w:before="60" w:after="0" w:line="240" w:lineRule="auto"/>
      <w:jc w:val="left"/>
    </w:pPr>
    <w:rPr>
      <w:rFonts w:asciiTheme="minorHAnsi" w:eastAsia="Times New Roman" w:hAnsiTheme="minorHAnsi" w:cs="Times New Roman"/>
      <w:color w:val="0073A7"/>
      <w:sz w:val="22"/>
      <w:szCs w:val="22"/>
      <w:lang w:val="en-US"/>
    </w:rPr>
    <w:tblPr/>
    <w:tblStylePr w:type="firstRow">
      <w:rPr>
        <w:rFonts w:ascii="Arial" w:eastAsia="Times New Roman Bold" w:hAnsi="Arial" w:cs="Arial"/>
        <w:i/>
        <w:iCs/>
        <w:sz w:val="26"/>
      </w:rPr>
    </w:tblStylePr>
    <w:tblStylePr w:type="lastRow">
      <w:rPr>
        <w:rFonts w:ascii="Arial" w:eastAsia="Times New Roman Bold" w:hAnsi="Arial" w:cs="Arial"/>
        <w:i/>
        <w:iCs/>
        <w:sz w:val="26"/>
      </w:rPr>
    </w:tblStylePr>
    <w:tblStylePr w:type="firstCol">
      <w:pPr>
        <w:jc w:val="right"/>
      </w:pPr>
      <w:rPr>
        <w:rFonts w:ascii="Arial" w:eastAsia="Times New Roman Bold" w:hAnsi="Arial" w:cs="Arial"/>
        <w:i/>
        <w:iCs/>
        <w:sz w:val="26"/>
      </w:rPr>
    </w:tblStylePr>
    <w:tblStylePr w:type="lastCol">
      <w:rPr>
        <w:rFonts w:ascii="Arial" w:eastAsia="Times New Roman Bold" w:hAnsi="Arial" w:cs="Arial"/>
        <w:i/>
        <w:iCs/>
        <w:sz w:val="26"/>
      </w:rPr>
    </w:tblStylePr>
  </w:style>
  <w:style w:type="table" w:customStyle="1" w:styleId="MediumGrid11">
    <w:name w:val="Medium Grid 11"/>
    <w:basedOn w:val="TableNormal"/>
    <w:next w:val="MediumGrid1"/>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576161"/>
        <w:left w:val="single" w:sz="8" w:space="0" w:color="576161"/>
        <w:bottom w:val="single" w:sz="8" w:space="0" w:color="576161"/>
        <w:right w:val="single" w:sz="8" w:space="0" w:color="576161"/>
        <w:insideH w:val="single" w:sz="8" w:space="0" w:color="576161"/>
        <w:insideV w:val="single" w:sz="8" w:space="0" w:color="576161"/>
      </w:tblBorders>
    </w:tblPr>
    <w:tcPr>
      <w:shd w:val="clear" w:color="auto" w:fill="C6CCCC"/>
    </w:tcPr>
    <w:tblStylePr w:type="firstRow">
      <w:rPr>
        <w:b/>
        <w:bCs/>
      </w:rPr>
    </w:tblStylePr>
    <w:tblStylePr w:type="lastRow">
      <w:rPr>
        <w:b/>
        <w:bCs/>
      </w:rPr>
      <w:tblPr/>
      <w:tcPr>
        <w:tcBorders>
          <w:top w:val="single" w:sz="18" w:space="0" w:color="576161"/>
        </w:tcBorders>
      </w:tcPr>
    </w:tblStylePr>
    <w:tblStylePr w:type="firstCol">
      <w:rPr>
        <w:b/>
        <w:bCs/>
      </w:rPr>
    </w:tblStylePr>
    <w:tblStylePr w:type="lastCol">
      <w:rPr>
        <w:b/>
        <w:bCs/>
      </w:rPr>
    </w:tblStylePr>
    <w:tblStylePr w:type="band1Vert">
      <w:tblPr/>
      <w:tcPr>
        <w:shd w:val="clear" w:color="auto" w:fill="8D9898"/>
      </w:tcPr>
    </w:tblStylePr>
    <w:tblStylePr w:type="band1Horz">
      <w:tblPr/>
      <w:tcPr>
        <w:shd w:val="clear" w:color="auto" w:fill="8D9898"/>
      </w:tcPr>
    </w:tblStylePr>
  </w:style>
  <w:style w:type="table" w:customStyle="1" w:styleId="MediumGrid1-Accent11">
    <w:name w:val="Medium Grid 1 - Accent 11"/>
    <w:basedOn w:val="TableNormal"/>
    <w:next w:val="MediumGrid1-Accent1"/>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9E8FF"/>
        <w:left w:val="single" w:sz="8" w:space="0" w:color="09E8FF"/>
        <w:bottom w:val="single" w:sz="8" w:space="0" w:color="09E8FF"/>
        <w:right w:val="single" w:sz="8" w:space="0" w:color="09E8FF"/>
        <w:insideH w:val="single" w:sz="8" w:space="0" w:color="09E8FF"/>
        <w:insideV w:val="single" w:sz="8" w:space="0" w:color="09E8FF"/>
      </w:tblBorders>
    </w:tblPr>
    <w:tcPr>
      <w:shd w:val="clear" w:color="auto" w:fill="ADF7FF"/>
    </w:tcPr>
    <w:tblStylePr w:type="firstRow">
      <w:rPr>
        <w:b/>
        <w:bCs/>
      </w:rPr>
    </w:tblStylePr>
    <w:tblStylePr w:type="lastRow">
      <w:rPr>
        <w:b/>
        <w:bCs/>
      </w:rPr>
      <w:tblPr/>
      <w:tcPr>
        <w:tcBorders>
          <w:top w:val="single" w:sz="18" w:space="0" w:color="09E8FF"/>
        </w:tcBorders>
      </w:tcPr>
    </w:tblStylePr>
    <w:tblStylePr w:type="firstCol">
      <w:rPr>
        <w:b/>
        <w:bCs/>
      </w:rPr>
    </w:tblStylePr>
    <w:tblStylePr w:type="lastCol">
      <w:rPr>
        <w:b/>
        <w:bCs/>
      </w:rPr>
    </w:tblStylePr>
    <w:tblStylePr w:type="band1Vert">
      <w:tblPr/>
      <w:tcPr>
        <w:shd w:val="clear" w:color="auto" w:fill="5BF0FF"/>
      </w:tcPr>
    </w:tblStylePr>
    <w:tblStylePr w:type="band1Horz">
      <w:tblPr/>
      <w:tcPr>
        <w:shd w:val="clear" w:color="auto" w:fill="5BF0FF"/>
      </w:tcPr>
    </w:tblStylePr>
  </w:style>
  <w:style w:type="table" w:customStyle="1" w:styleId="MediumGrid1-Accent21">
    <w:name w:val="Medium Grid 1 - Accent 21"/>
    <w:basedOn w:val="TableNormal"/>
    <w:next w:val="MediumGrid1-Accent2"/>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00EFB0"/>
        <w:left w:val="single" w:sz="8" w:space="0" w:color="00EFB0"/>
        <w:bottom w:val="single" w:sz="8" w:space="0" w:color="00EFB0"/>
        <w:right w:val="single" w:sz="8" w:space="0" w:color="00EFB0"/>
        <w:insideH w:val="single" w:sz="8" w:space="0" w:color="00EFB0"/>
        <w:insideV w:val="single" w:sz="8" w:space="0" w:color="00EFB0"/>
      </w:tblBorders>
    </w:tblPr>
    <w:tcPr>
      <w:shd w:val="clear" w:color="auto" w:fill="A5FFE7"/>
    </w:tcPr>
    <w:tblStylePr w:type="firstRow">
      <w:rPr>
        <w:b/>
        <w:bCs/>
      </w:rPr>
    </w:tblStylePr>
    <w:tblStylePr w:type="lastRow">
      <w:rPr>
        <w:b/>
        <w:bCs/>
      </w:rPr>
      <w:tblPr/>
      <w:tcPr>
        <w:tcBorders>
          <w:top w:val="single" w:sz="18" w:space="0" w:color="00EFB0"/>
        </w:tcBorders>
      </w:tcPr>
    </w:tblStylePr>
    <w:tblStylePr w:type="firstCol">
      <w:rPr>
        <w:b/>
        <w:bCs/>
      </w:rPr>
    </w:tblStylePr>
    <w:tblStylePr w:type="lastCol">
      <w:rPr>
        <w:b/>
        <w:bCs/>
      </w:rPr>
    </w:tblStylePr>
    <w:tblStylePr w:type="band1Vert">
      <w:tblPr/>
      <w:tcPr>
        <w:shd w:val="clear" w:color="auto" w:fill="4BFFCF"/>
      </w:tcPr>
    </w:tblStylePr>
    <w:tblStylePr w:type="band1Horz">
      <w:tblPr/>
      <w:tcPr>
        <w:shd w:val="clear" w:color="auto" w:fill="4BFFCF"/>
      </w:tcPr>
    </w:tblStylePr>
  </w:style>
  <w:style w:type="table" w:customStyle="1" w:styleId="MediumGrid1-Accent31">
    <w:name w:val="Medium Grid 1 - Accent 31"/>
    <w:basedOn w:val="TableNormal"/>
    <w:next w:val="MediumGrid1-Accent3"/>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BA37AC"/>
        <w:left w:val="single" w:sz="8" w:space="0" w:color="BA37AC"/>
        <w:bottom w:val="single" w:sz="8" w:space="0" w:color="BA37AC"/>
        <w:right w:val="single" w:sz="8" w:space="0" w:color="BA37AC"/>
        <w:insideH w:val="single" w:sz="8" w:space="0" w:color="BA37AC"/>
        <w:insideV w:val="single" w:sz="8" w:space="0" w:color="BA37AC"/>
      </w:tblBorders>
    </w:tblPr>
    <w:tcPr>
      <w:shd w:val="clear" w:color="auto" w:fill="EABAE5"/>
    </w:tcPr>
    <w:tblStylePr w:type="firstRow">
      <w:rPr>
        <w:b/>
        <w:bCs/>
      </w:rPr>
    </w:tblStylePr>
    <w:tblStylePr w:type="lastRow">
      <w:rPr>
        <w:b/>
        <w:bCs/>
      </w:rPr>
      <w:tblPr/>
      <w:tcPr>
        <w:tcBorders>
          <w:top w:val="single" w:sz="18" w:space="0" w:color="BA37AC"/>
        </w:tcBorders>
      </w:tcPr>
    </w:tblStylePr>
    <w:tblStylePr w:type="firstCol">
      <w:rPr>
        <w:b/>
        <w:bCs/>
      </w:rPr>
    </w:tblStylePr>
    <w:tblStylePr w:type="lastCol">
      <w:rPr>
        <w:b/>
        <w:bCs/>
      </w:rPr>
    </w:tblStylePr>
    <w:tblStylePr w:type="band1Vert">
      <w:tblPr/>
      <w:tcPr>
        <w:shd w:val="clear" w:color="auto" w:fill="D675CB"/>
      </w:tcPr>
    </w:tblStylePr>
    <w:tblStylePr w:type="band1Horz">
      <w:tblPr/>
      <w:tcPr>
        <w:shd w:val="clear" w:color="auto" w:fill="D675CB"/>
      </w:tcPr>
    </w:tblStylePr>
  </w:style>
  <w:style w:type="table" w:customStyle="1" w:styleId="MediumGrid1-Accent41">
    <w:name w:val="Medium Grid 1 - Accent 41"/>
    <w:basedOn w:val="TableNormal"/>
    <w:next w:val="MediumGrid1-Accent4"/>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FF952F"/>
        <w:left w:val="single" w:sz="8" w:space="0" w:color="FF952F"/>
        <w:bottom w:val="single" w:sz="8" w:space="0" w:color="FF952F"/>
        <w:right w:val="single" w:sz="8" w:space="0" w:color="FF952F"/>
        <w:insideH w:val="single" w:sz="8" w:space="0" w:color="FF952F"/>
        <w:insideV w:val="single" w:sz="8" w:space="0" w:color="FF952F"/>
      </w:tblBorders>
    </w:tblPr>
    <w:tcPr>
      <w:shd w:val="clear" w:color="auto" w:fill="FFDBBA"/>
    </w:tcPr>
    <w:tblStylePr w:type="firstRow">
      <w:rPr>
        <w:b/>
        <w:bCs/>
      </w:rPr>
    </w:tblStylePr>
    <w:tblStylePr w:type="lastRow">
      <w:rPr>
        <w:b/>
        <w:bCs/>
      </w:rPr>
      <w:tblPr/>
      <w:tcPr>
        <w:tcBorders>
          <w:top w:val="single" w:sz="18" w:space="0" w:color="FF952F"/>
        </w:tcBorders>
      </w:tcPr>
    </w:tblStylePr>
    <w:tblStylePr w:type="firstCol">
      <w:rPr>
        <w:b/>
        <w:bCs/>
      </w:rPr>
    </w:tblStylePr>
    <w:tblStylePr w:type="lastCol">
      <w:rPr>
        <w:b/>
        <w:bCs/>
      </w:rPr>
    </w:tblStylePr>
    <w:tblStylePr w:type="band1Vert">
      <w:tblPr/>
      <w:tcPr>
        <w:shd w:val="clear" w:color="auto" w:fill="FFB875"/>
      </w:tcPr>
    </w:tblStylePr>
    <w:tblStylePr w:type="band1Horz">
      <w:tblPr/>
      <w:tcPr>
        <w:shd w:val="clear" w:color="auto" w:fill="FFB875"/>
      </w:tcPr>
    </w:tblStylePr>
  </w:style>
  <w:style w:type="table" w:customStyle="1" w:styleId="MediumGrid1-Accent51">
    <w:name w:val="Medium Grid 1 - Accent 51"/>
    <w:basedOn w:val="TableNormal"/>
    <w:next w:val="MediumGrid1-Accent5"/>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DBDDDD"/>
        <w:left w:val="single" w:sz="8" w:space="0" w:color="DBDDDD"/>
        <w:bottom w:val="single" w:sz="8" w:space="0" w:color="DBDDDD"/>
        <w:right w:val="single" w:sz="8" w:space="0" w:color="DBDDDD"/>
        <w:insideH w:val="single" w:sz="8" w:space="0" w:color="DBDDDD"/>
        <w:insideV w:val="single" w:sz="8" w:space="0" w:color="DBDDDD"/>
      </w:tblBorders>
    </w:tblPr>
    <w:tcPr>
      <w:shd w:val="clear" w:color="auto" w:fill="F3F3F3"/>
    </w:tcPr>
    <w:tblStylePr w:type="firstRow">
      <w:rPr>
        <w:b/>
        <w:bCs/>
      </w:rPr>
    </w:tblStylePr>
    <w:tblStylePr w:type="lastRow">
      <w:rPr>
        <w:b/>
        <w:bCs/>
      </w:rPr>
      <w:tblPr/>
      <w:tcPr>
        <w:tcBorders>
          <w:top w:val="single" w:sz="18" w:space="0" w:color="DBDDDD"/>
        </w:tcBorders>
      </w:tcPr>
    </w:tblStylePr>
    <w:tblStylePr w:type="firstCol">
      <w:rPr>
        <w:b/>
        <w:bCs/>
      </w:rPr>
    </w:tblStylePr>
    <w:tblStylePr w:type="lastCol">
      <w:rPr>
        <w:b/>
        <w:bCs/>
      </w:rPr>
    </w:tblStylePr>
    <w:tblStylePr w:type="band1Vert">
      <w:tblPr/>
      <w:tcPr>
        <w:shd w:val="clear" w:color="auto" w:fill="E7E8E8"/>
      </w:tcPr>
    </w:tblStylePr>
    <w:tblStylePr w:type="band1Horz">
      <w:tblPr/>
      <w:tcPr>
        <w:shd w:val="clear" w:color="auto" w:fill="E7E8E8"/>
      </w:tcPr>
    </w:tblStylePr>
  </w:style>
  <w:style w:type="table" w:customStyle="1" w:styleId="MediumGrid1-Accent61">
    <w:name w:val="Medium Grid 1 - Accent 61"/>
    <w:basedOn w:val="TableNormal"/>
    <w:next w:val="MediumGrid1-Accent6"/>
    <w:uiPriority w:val="67"/>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8" w:space="0" w:color="28BDFF"/>
        <w:left w:val="single" w:sz="8" w:space="0" w:color="28BDFF"/>
        <w:bottom w:val="single" w:sz="8" w:space="0" w:color="28BDFF"/>
        <w:right w:val="single" w:sz="8" w:space="0" w:color="28BDFF"/>
        <w:insideH w:val="single" w:sz="8" w:space="0" w:color="28BDFF"/>
        <w:insideV w:val="single" w:sz="8" w:space="0" w:color="28BDFF"/>
      </w:tblBorders>
    </w:tblPr>
    <w:tcPr>
      <w:shd w:val="clear" w:color="auto" w:fill="B8E9FF"/>
    </w:tcPr>
    <w:tblStylePr w:type="firstRow">
      <w:rPr>
        <w:b/>
        <w:bCs/>
      </w:rPr>
    </w:tblStylePr>
    <w:tblStylePr w:type="lastRow">
      <w:rPr>
        <w:b/>
        <w:bCs/>
      </w:rPr>
      <w:tblPr/>
      <w:tcPr>
        <w:tcBorders>
          <w:top w:val="single" w:sz="18" w:space="0" w:color="28BDFF"/>
        </w:tcBorders>
      </w:tcPr>
    </w:tblStylePr>
    <w:tblStylePr w:type="firstCol">
      <w:rPr>
        <w:b/>
        <w:bCs/>
      </w:rPr>
    </w:tblStylePr>
    <w:tblStylePr w:type="lastCol">
      <w:rPr>
        <w:b/>
        <w:bCs/>
      </w:rPr>
    </w:tblStylePr>
    <w:tblStylePr w:type="band1Vert">
      <w:tblPr/>
      <w:tcPr>
        <w:shd w:val="clear" w:color="auto" w:fill="70D3FF"/>
      </w:tcPr>
    </w:tblStylePr>
    <w:tblStylePr w:type="band1Horz">
      <w:tblPr/>
      <w:tcPr>
        <w:shd w:val="clear" w:color="auto" w:fill="70D3FF"/>
      </w:tcPr>
    </w:tblStylePr>
  </w:style>
  <w:style w:type="table" w:customStyle="1" w:styleId="MediumGrid21">
    <w:name w:val="Medium Grid 21"/>
    <w:basedOn w:val="TableNormal"/>
    <w:next w:val="MediumGrid2"/>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242828"/>
        <w:left w:val="single" w:sz="8" w:space="0" w:color="242828"/>
        <w:bottom w:val="single" w:sz="8" w:space="0" w:color="242828"/>
        <w:right w:val="single" w:sz="8" w:space="0" w:color="242828"/>
        <w:insideH w:val="single" w:sz="8" w:space="0" w:color="242828"/>
        <w:insideV w:val="single" w:sz="8" w:space="0" w:color="242828"/>
      </w:tblBorders>
    </w:tblPr>
    <w:tcPr>
      <w:shd w:val="clear" w:color="auto" w:fill="C6CCCC"/>
    </w:tcPr>
    <w:tblStylePr w:type="firstRow">
      <w:rPr>
        <w:b/>
        <w:bCs/>
        <w:color w:val="242828"/>
      </w:rPr>
      <w:tblPr/>
      <w:tcPr>
        <w:shd w:val="clear" w:color="auto" w:fill="E8EAEA"/>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D1D5D5"/>
      </w:tcPr>
    </w:tblStylePr>
    <w:tblStylePr w:type="band1Vert">
      <w:tblPr/>
      <w:tcPr>
        <w:shd w:val="clear" w:color="auto" w:fill="8D9898"/>
      </w:tcPr>
    </w:tblStylePr>
    <w:tblStylePr w:type="band1Horz">
      <w:tblPr/>
      <w:tcPr>
        <w:tcBorders>
          <w:insideH w:val="single" w:sz="6" w:space="0" w:color="242828"/>
          <w:insideV w:val="single" w:sz="6" w:space="0" w:color="242828"/>
        </w:tcBorders>
        <w:shd w:val="clear" w:color="auto" w:fill="8D9898"/>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A6B6"/>
        <w:left w:val="single" w:sz="8" w:space="0" w:color="00A6B6"/>
        <w:bottom w:val="single" w:sz="8" w:space="0" w:color="00A6B6"/>
        <w:right w:val="single" w:sz="8" w:space="0" w:color="00A6B6"/>
        <w:insideH w:val="single" w:sz="8" w:space="0" w:color="00A6B6"/>
        <w:insideV w:val="single" w:sz="8" w:space="0" w:color="00A6B6"/>
      </w:tblBorders>
    </w:tblPr>
    <w:tcPr>
      <w:shd w:val="clear" w:color="auto" w:fill="ADF7FF"/>
    </w:tcPr>
    <w:tblStylePr w:type="firstRow">
      <w:rPr>
        <w:b/>
        <w:bCs/>
        <w:color w:val="242828"/>
      </w:rPr>
      <w:tblPr/>
      <w:tcPr>
        <w:shd w:val="clear" w:color="auto" w:fill="DEFCFF"/>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BDF9FF"/>
      </w:tcPr>
    </w:tblStylePr>
    <w:tblStylePr w:type="band1Vert">
      <w:tblPr/>
      <w:tcPr>
        <w:shd w:val="clear" w:color="auto" w:fill="5BF0FF"/>
      </w:tcPr>
    </w:tblStylePr>
    <w:tblStylePr w:type="band1Horz">
      <w:tblPr/>
      <w:tcPr>
        <w:tcBorders>
          <w:insideH w:val="single" w:sz="6" w:space="0" w:color="00A6B6"/>
          <w:insideV w:val="single" w:sz="6" w:space="0" w:color="00A6B6"/>
        </w:tcBorders>
        <w:shd w:val="clear" w:color="auto" w:fill="5BF0FF"/>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956E"/>
        <w:left w:val="single" w:sz="8" w:space="0" w:color="00956E"/>
        <w:bottom w:val="single" w:sz="8" w:space="0" w:color="00956E"/>
        <w:right w:val="single" w:sz="8" w:space="0" w:color="00956E"/>
        <w:insideH w:val="single" w:sz="8" w:space="0" w:color="00956E"/>
        <w:insideV w:val="single" w:sz="8" w:space="0" w:color="00956E"/>
      </w:tblBorders>
    </w:tblPr>
    <w:tcPr>
      <w:shd w:val="clear" w:color="auto" w:fill="A5FFE7"/>
    </w:tcPr>
    <w:tblStylePr w:type="firstRow">
      <w:rPr>
        <w:b/>
        <w:bCs/>
        <w:color w:val="242828"/>
      </w:rPr>
      <w:tblPr/>
      <w:tcPr>
        <w:shd w:val="clear" w:color="auto" w:fill="DBFFF5"/>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B6FFEB"/>
      </w:tcPr>
    </w:tblStylePr>
    <w:tblStylePr w:type="band1Vert">
      <w:tblPr/>
      <w:tcPr>
        <w:shd w:val="clear" w:color="auto" w:fill="4BFFCF"/>
      </w:tcPr>
    </w:tblStylePr>
    <w:tblStylePr w:type="band1Horz">
      <w:tblPr/>
      <w:tcPr>
        <w:tcBorders>
          <w:insideH w:val="single" w:sz="6" w:space="0" w:color="00956E"/>
          <w:insideV w:val="single" w:sz="6" w:space="0" w:color="00956E"/>
        </w:tcBorders>
        <w:shd w:val="clear" w:color="auto" w:fill="4BFFCF"/>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76236D"/>
        <w:left w:val="single" w:sz="8" w:space="0" w:color="76236D"/>
        <w:bottom w:val="single" w:sz="8" w:space="0" w:color="76236D"/>
        <w:right w:val="single" w:sz="8" w:space="0" w:color="76236D"/>
        <w:insideH w:val="single" w:sz="8" w:space="0" w:color="76236D"/>
        <w:insideV w:val="single" w:sz="8" w:space="0" w:color="76236D"/>
      </w:tblBorders>
    </w:tblPr>
    <w:tcPr>
      <w:shd w:val="clear" w:color="auto" w:fill="EABAE5"/>
    </w:tcPr>
    <w:tblStylePr w:type="firstRow">
      <w:rPr>
        <w:b/>
        <w:bCs/>
        <w:color w:val="242828"/>
      </w:rPr>
      <w:tblPr/>
      <w:tcPr>
        <w:shd w:val="clear" w:color="auto" w:fill="F7E4F4"/>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EEC7EA"/>
      </w:tcPr>
    </w:tblStylePr>
    <w:tblStylePr w:type="band1Vert">
      <w:tblPr/>
      <w:tcPr>
        <w:shd w:val="clear" w:color="auto" w:fill="D675CB"/>
      </w:tcPr>
    </w:tblStylePr>
    <w:tblStylePr w:type="band1Horz">
      <w:tblPr/>
      <w:tcPr>
        <w:tcBorders>
          <w:insideH w:val="single" w:sz="6" w:space="0" w:color="76236D"/>
          <w:insideV w:val="single" w:sz="6" w:space="0" w:color="76236D"/>
        </w:tcBorders>
        <w:shd w:val="clear" w:color="auto" w:fill="D675CB"/>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E97300"/>
        <w:left w:val="single" w:sz="8" w:space="0" w:color="E97300"/>
        <w:bottom w:val="single" w:sz="8" w:space="0" w:color="E97300"/>
        <w:right w:val="single" w:sz="8" w:space="0" w:color="E97300"/>
        <w:insideH w:val="single" w:sz="8" w:space="0" w:color="E97300"/>
        <w:insideV w:val="single" w:sz="8" w:space="0" w:color="E97300"/>
      </w:tblBorders>
    </w:tblPr>
    <w:tcPr>
      <w:shd w:val="clear" w:color="auto" w:fill="FFDBBA"/>
    </w:tcPr>
    <w:tblStylePr w:type="firstRow">
      <w:rPr>
        <w:b/>
        <w:bCs/>
        <w:color w:val="242828"/>
      </w:rPr>
      <w:tblPr/>
      <w:tcPr>
        <w:shd w:val="clear" w:color="auto" w:fill="FFF1E3"/>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FFE2C7"/>
      </w:tcPr>
    </w:tblStylePr>
    <w:tblStylePr w:type="band1Vert">
      <w:tblPr/>
      <w:tcPr>
        <w:shd w:val="clear" w:color="auto" w:fill="FFB875"/>
      </w:tcPr>
    </w:tblStylePr>
    <w:tblStylePr w:type="band1Horz">
      <w:tblPr/>
      <w:tcPr>
        <w:tcBorders>
          <w:insideH w:val="single" w:sz="6" w:space="0" w:color="E97300"/>
          <w:insideV w:val="single" w:sz="6" w:space="0" w:color="E97300"/>
        </w:tcBorders>
        <w:shd w:val="clear" w:color="auto" w:fill="FFB875"/>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D0D2D2"/>
        <w:left w:val="single" w:sz="8" w:space="0" w:color="D0D2D2"/>
        <w:bottom w:val="single" w:sz="8" w:space="0" w:color="D0D2D2"/>
        <w:right w:val="single" w:sz="8" w:space="0" w:color="D0D2D2"/>
        <w:insideH w:val="single" w:sz="8" w:space="0" w:color="D0D2D2"/>
        <w:insideV w:val="single" w:sz="8" w:space="0" w:color="D0D2D2"/>
      </w:tblBorders>
    </w:tblPr>
    <w:tcPr>
      <w:shd w:val="clear" w:color="auto" w:fill="F3F3F3"/>
    </w:tcPr>
    <w:tblStylePr w:type="firstRow">
      <w:rPr>
        <w:b/>
        <w:bCs/>
        <w:color w:val="242828"/>
      </w:rPr>
      <w:tblPr/>
      <w:tcPr>
        <w:shd w:val="clear" w:color="auto" w:fill="FAFAFA"/>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F5F6F6"/>
      </w:tcPr>
    </w:tblStylePr>
    <w:tblStylePr w:type="band1Vert">
      <w:tblPr/>
      <w:tcPr>
        <w:shd w:val="clear" w:color="auto" w:fill="E7E8E8"/>
      </w:tcPr>
    </w:tblStylePr>
    <w:tblStylePr w:type="band1Horz">
      <w:tblPr/>
      <w:tcPr>
        <w:tcBorders>
          <w:insideH w:val="single" w:sz="6" w:space="0" w:color="D0D2D2"/>
          <w:insideV w:val="single" w:sz="6" w:space="0" w:color="D0D2D2"/>
        </w:tcBorders>
        <w:shd w:val="clear" w:color="auto" w:fill="E7E8E8"/>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9BDF"/>
        <w:left w:val="single" w:sz="8" w:space="0" w:color="009BDF"/>
        <w:bottom w:val="single" w:sz="8" w:space="0" w:color="009BDF"/>
        <w:right w:val="single" w:sz="8" w:space="0" w:color="009BDF"/>
        <w:insideH w:val="single" w:sz="8" w:space="0" w:color="009BDF"/>
        <w:insideV w:val="single" w:sz="8" w:space="0" w:color="009BDF"/>
      </w:tblBorders>
    </w:tblPr>
    <w:tcPr>
      <w:shd w:val="clear" w:color="auto" w:fill="B8E9FF"/>
    </w:tcPr>
    <w:tblStylePr w:type="firstRow">
      <w:rPr>
        <w:b/>
        <w:bCs/>
        <w:color w:val="242828"/>
      </w:rPr>
      <w:tblPr/>
      <w:tcPr>
        <w:shd w:val="clear" w:color="auto" w:fill="E2F6FF"/>
      </w:tcPr>
    </w:tblStylePr>
    <w:tblStylePr w:type="lastRow">
      <w:rPr>
        <w:b/>
        <w:bCs/>
        <w:color w:val="242828"/>
      </w:rPr>
      <w:tblPr/>
      <w:tcPr>
        <w:tcBorders>
          <w:top w:val="single" w:sz="12" w:space="0" w:color="242828"/>
          <w:left w:val="nil"/>
          <w:bottom w:val="nil"/>
          <w:right w:val="nil"/>
          <w:insideH w:val="nil"/>
          <w:insideV w:val="nil"/>
        </w:tcBorders>
        <w:shd w:val="clear" w:color="auto" w:fill="FFFFFF"/>
      </w:tcPr>
    </w:tblStylePr>
    <w:tblStylePr w:type="firstCol">
      <w:rPr>
        <w:b/>
        <w:bCs/>
        <w:color w:val="242828"/>
      </w:rPr>
      <w:tblPr/>
      <w:tcPr>
        <w:tcBorders>
          <w:top w:val="nil"/>
          <w:left w:val="nil"/>
          <w:bottom w:val="nil"/>
          <w:right w:val="nil"/>
          <w:insideH w:val="nil"/>
          <w:insideV w:val="nil"/>
        </w:tcBorders>
        <w:shd w:val="clear" w:color="auto" w:fill="FFFFFF"/>
      </w:tcPr>
    </w:tblStylePr>
    <w:tblStylePr w:type="lastCol">
      <w:rPr>
        <w:b w:val="0"/>
        <w:bCs w:val="0"/>
        <w:color w:val="242828"/>
      </w:rPr>
      <w:tblPr/>
      <w:tcPr>
        <w:tcBorders>
          <w:top w:val="nil"/>
          <w:left w:val="nil"/>
          <w:bottom w:val="nil"/>
          <w:right w:val="nil"/>
          <w:insideH w:val="nil"/>
          <w:insideV w:val="nil"/>
        </w:tcBorders>
        <w:shd w:val="clear" w:color="auto" w:fill="C5EDFF"/>
      </w:tcPr>
    </w:tblStylePr>
    <w:tblStylePr w:type="band1Vert">
      <w:tblPr/>
      <w:tcPr>
        <w:shd w:val="clear" w:color="auto" w:fill="70D3FF"/>
      </w:tcPr>
    </w:tblStylePr>
    <w:tblStylePr w:type="band1Horz">
      <w:tblPr/>
      <w:tcPr>
        <w:tcBorders>
          <w:insideH w:val="single" w:sz="6" w:space="0" w:color="009BDF"/>
          <w:insideV w:val="single" w:sz="6" w:space="0" w:color="009BDF"/>
        </w:tcBorders>
        <w:shd w:val="clear" w:color="auto" w:fill="70D3FF"/>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C6CC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4282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4282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4282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4282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D9898"/>
      </w:tcPr>
    </w:tblStylePr>
  </w:style>
  <w:style w:type="table" w:customStyle="1" w:styleId="MediumGrid3-Accent11">
    <w:name w:val="Medium Grid 3 - Accent 11"/>
    <w:basedOn w:val="TableNormal"/>
    <w:next w:val="MediumGrid3-Accent1"/>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ADF7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A6B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A6B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A6B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A6B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5BF0FF"/>
      </w:tcPr>
    </w:tblStylePr>
  </w:style>
  <w:style w:type="table" w:customStyle="1" w:styleId="MediumGrid3-Accent21">
    <w:name w:val="Medium Grid 3 - Accent 21"/>
    <w:basedOn w:val="TableNormal"/>
    <w:next w:val="MediumGrid3-Accent2"/>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A5FFE7"/>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956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956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956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956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BFFCF"/>
      </w:tcPr>
    </w:tblStylePr>
  </w:style>
  <w:style w:type="table" w:customStyle="1" w:styleId="MediumGrid3-Accent31">
    <w:name w:val="Medium Grid 3 - Accent 31"/>
    <w:basedOn w:val="TableNormal"/>
    <w:next w:val="MediumGrid3-Accent3"/>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EABAE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6236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6236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6236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6236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675CB"/>
      </w:tcPr>
    </w:tblStylePr>
  </w:style>
  <w:style w:type="table" w:customStyle="1" w:styleId="MediumGrid3-Accent41">
    <w:name w:val="Medium Grid 3 - Accent 41"/>
    <w:basedOn w:val="TableNormal"/>
    <w:next w:val="MediumGrid3-Accent4"/>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FFDB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3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3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3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3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B875"/>
      </w:tcPr>
    </w:tblStylePr>
  </w:style>
  <w:style w:type="table" w:customStyle="1" w:styleId="MediumGrid3-Accent51">
    <w:name w:val="Medium Grid 3 - Accent 51"/>
    <w:basedOn w:val="TableNormal"/>
    <w:next w:val="MediumGrid3-Accent5"/>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F3F3F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0D2D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0D2D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D0D2D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D0D2D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7E8E8"/>
      </w:tcPr>
    </w:tblStylePr>
  </w:style>
  <w:style w:type="table" w:customStyle="1" w:styleId="MediumGrid3-Accent61">
    <w:name w:val="Medium Grid 3 - Accent 61"/>
    <w:basedOn w:val="TableNormal"/>
    <w:next w:val="MediumGrid3-Accent6"/>
    <w:uiPriority w:val="69"/>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B8E9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9BD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9BD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9BD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9BD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0D3FF"/>
      </w:tcPr>
    </w:tblStylePr>
  </w:style>
  <w:style w:type="table" w:customStyle="1" w:styleId="MediumList11">
    <w:name w:val="Medium List 11"/>
    <w:basedOn w:val="TableNormal"/>
    <w:next w:val="MediumList1"/>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C6CCCC"/>
    </w:tcPr>
    <w:tblStylePr w:type="firstRow">
      <w:rPr>
        <w:rFonts w:ascii="Arial" w:eastAsia="Times New Roman Bold" w:hAnsi="Arial" w:cs="Arial"/>
      </w:rPr>
      <w:tblPr/>
      <w:tcPr>
        <w:tcBorders>
          <w:top w:val="nil"/>
          <w:bottom w:val="single" w:sz="8" w:space="0" w:color="242828"/>
        </w:tcBorders>
      </w:tcPr>
    </w:tblStylePr>
    <w:tblStylePr w:type="lastRow">
      <w:rPr>
        <w:b/>
        <w:bCs/>
        <w:color w:val="003CA7"/>
      </w:rPr>
      <w:tblPr/>
      <w:tcPr>
        <w:tcBorders>
          <w:top w:val="single" w:sz="8" w:space="0" w:color="242828"/>
          <w:bottom w:val="single" w:sz="8" w:space="0" w:color="242828"/>
        </w:tcBorders>
      </w:tcPr>
    </w:tblStylePr>
    <w:tblStylePr w:type="firstCol">
      <w:rPr>
        <w:b/>
        <w:bCs/>
      </w:rPr>
    </w:tblStylePr>
    <w:tblStylePr w:type="lastCol">
      <w:rPr>
        <w:b/>
        <w:bCs/>
      </w:rPr>
      <w:tblPr/>
      <w:tcPr>
        <w:tcBorders>
          <w:top w:val="single" w:sz="8" w:space="0" w:color="242828"/>
          <w:bottom w:val="single" w:sz="8" w:space="0" w:color="242828"/>
        </w:tcBorders>
      </w:tcPr>
    </w:tblStylePr>
    <w:tblStylePr w:type="band1Vert">
      <w:tblPr/>
      <w:tcPr>
        <w:shd w:val="clear" w:color="auto" w:fill="C6CCCC"/>
      </w:tcPr>
    </w:tblStylePr>
  </w:style>
  <w:style w:type="table" w:customStyle="1" w:styleId="MediumList1-Accent11">
    <w:name w:val="Medium List 1 - Accent 11"/>
    <w:basedOn w:val="TableNormal"/>
    <w:next w:val="MediumList1-Accent1"/>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ADF7FF"/>
    </w:tcPr>
    <w:tblStylePr w:type="firstRow">
      <w:rPr>
        <w:rFonts w:ascii="Arial" w:eastAsia="Times New Roman Bold" w:hAnsi="Arial" w:cs="Arial"/>
      </w:rPr>
      <w:tblPr/>
      <w:tcPr>
        <w:tcBorders>
          <w:top w:val="nil"/>
          <w:bottom w:val="single" w:sz="8" w:space="0" w:color="00A6B6"/>
        </w:tcBorders>
      </w:tcPr>
    </w:tblStylePr>
    <w:tblStylePr w:type="lastRow">
      <w:rPr>
        <w:b/>
        <w:bCs/>
        <w:color w:val="003CA7"/>
      </w:rPr>
      <w:tblPr/>
      <w:tcPr>
        <w:tcBorders>
          <w:top w:val="single" w:sz="8" w:space="0" w:color="00A6B6"/>
          <w:bottom w:val="single" w:sz="8" w:space="0" w:color="00A6B6"/>
        </w:tcBorders>
      </w:tcPr>
    </w:tblStylePr>
    <w:tblStylePr w:type="firstCol">
      <w:rPr>
        <w:b/>
        <w:bCs/>
      </w:rPr>
    </w:tblStylePr>
    <w:tblStylePr w:type="lastCol">
      <w:rPr>
        <w:b/>
        <w:bCs/>
      </w:rPr>
      <w:tblPr/>
      <w:tcPr>
        <w:tcBorders>
          <w:top w:val="single" w:sz="8" w:space="0" w:color="00A6B6"/>
          <w:bottom w:val="single" w:sz="8" w:space="0" w:color="00A6B6"/>
        </w:tcBorders>
      </w:tcPr>
    </w:tblStylePr>
    <w:tblStylePr w:type="band1Vert">
      <w:tblPr/>
      <w:tcPr>
        <w:shd w:val="clear" w:color="auto" w:fill="ADF7FF"/>
      </w:tcPr>
    </w:tblStylePr>
  </w:style>
  <w:style w:type="table" w:customStyle="1" w:styleId="MediumList1-Accent21">
    <w:name w:val="Medium List 1 - Accent 21"/>
    <w:basedOn w:val="TableNormal"/>
    <w:next w:val="MediumList1-Accent2"/>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A5FFE7"/>
    </w:tcPr>
    <w:tblStylePr w:type="firstRow">
      <w:rPr>
        <w:rFonts w:ascii="Arial" w:eastAsia="Times New Roman Bold" w:hAnsi="Arial" w:cs="Arial"/>
      </w:rPr>
      <w:tblPr/>
      <w:tcPr>
        <w:tcBorders>
          <w:top w:val="nil"/>
          <w:bottom w:val="single" w:sz="8" w:space="0" w:color="00956E"/>
        </w:tcBorders>
      </w:tcPr>
    </w:tblStylePr>
    <w:tblStylePr w:type="lastRow">
      <w:rPr>
        <w:b/>
        <w:bCs/>
        <w:color w:val="003CA7"/>
      </w:rPr>
      <w:tblPr/>
      <w:tcPr>
        <w:tcBorders>
          <w:top w:val="single" w:sz="8" w:space="0" w:color="00956E"/>
          <w:bottom w:val="single" w:sz="8" w:space="0" w:color="00956E"/>
        </w:tcBorders>
      </w:tcPr>
    </w:tblStylePr>
    <w:tblStylePr w:type="firstCol">
      <w:rPr>
        <w:b/>
        <w:bCs/>
      </w:rPr>
    </w:tblStylePr>
    <w:tblStylePr w:type="lastCol">
      <w:rPr>
        <w:b/>
        <w:bCs/>
      </w:rPr>
      <w:tblPr/>
      <w:tcPr>
        <w:tcBorders>
          <w:top w:val="single" w:sz="8" w:space="0" w:color="00956E"/>
          <w:bottom w:val="single" w:sz="8" w:space="0" w:color="00956E"/>
        </w:tcBorders>
      </w:tcPr>
    </w:tblStylePr>
    <w:tblStylePr w:type="band1Vert">
      <w:tblPr/>
      <w:tcPr>
        <w:shd w:val="clear" w:color="auto" w:fill="A5FFE7"/>
      </w:tcPr>
    </w:tblStylePr>
  </w:style>
  <w:style w:type="table" w:customStyle="1" w:styleId="MediumList1-Accent31">
    <w:name w:val="Medium List 1 - Accent 31"/>
    <w:basedOn w:val="TableNormal"/>
    <w:next w:val="MediumList1-Accent3"/>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EABAE5"/>
    </w:tcPr>
    <w:tblStylePr w:type="firstRow">
      <w:rPr>
        <w:rFonts w:ascii="Arial" w:eastAsia="Times New Roman Bold" w:hAnsi="Arial" w:cs="Arial"/>
      </w:rPr>
      <w:tblPr/>
      <w:tcPr>
        <w:tcBorders>
          <w:top w:val="nil"/>
          <w:bottom w:val="single" w:sz="8" w:space="0" w:color="76236D"/>
        </w:tcBorders>
      </w:tcPr>
    </w:tblStylePr>
    <w:tblStylePr w:type="lastRow">
      <w:rPr>
        <w:b/>
        <w:bCs/>
        <w:color w:val="003CA7"/>
      </w:rPr>
      <w:tblPr/>
      <w:tcPr>
        <w:tcBorders>
          <w:top w:val="single" w:sz="8" w:space="0" w:color="76236D"/>
          <w:bottom w:val="single" w:sz="8" w:space="0" w:color="76236D"/>
        </w:tcBorders>
      </w:tcPr>
    </w:tblStylePr>
    <w:tblStylePr w:type="firstCol">
      <w:rPr>
        <w:b/>
        <w:bCs/>
      </w:rPr>
    </w:tblStylePr>
    <w:tblStylePr w:type="lastCol">
      <w:rPr>
        <w:b/>
        <w:bCs/>
      </w:rPr>
      <w:tblPr/>
      <w:tcPr>
        <w:tcBorders>
          <w:top w:val="single" w:sz="8" w:space="0" w:color="76236D"/>
          <w:bottom w:val="single" w:sz="8" w:space="0" w:color="76236D"/>
        </w:tcBorders>
      </w:tcPr>
    </w:tblStylePr>
    <w:tblStylePr w:type="band1Vert">
      <w:tblPr/>
      <w:tcPr>
        <w:shd w:val="clear" w:color="auto" w:fill="EABAE5"/>
      </w:tcPr>
    </w:tblStylePr>
  </w:style>
  <w:style w:type="table" w:customStyle="1" w:styleId="MediumList1-Accent41">
    <w:name w:val="Medium List 1 - Accent 41"/>
    <w:basedOn w:val="TableNormal"/>
    <w:next w:val="MediumList1-Accent4"/>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FFDBBA"/>
    </w:tcPr>
    <w:tblStylePr w:type="firstRow">
      <w:rPr>
        <w:rFonts w:ascii="Arial" w:eastAsia="Times New Roman Bold" w:hAnsi="Arial" w:cs="Arial"/>
      </w:rPr>
      <w:tblPr/>
      <w:tcPr>
        <w:tcBorders>
          <w:top w:val="nil"/>
          <w:bottom w:val="single" w:sz="8" w:space="0" w:color="E97300"/>
        </w:tcBorders>
      </w:tcPr>
    </w:tblStylePr>
    <w:tblStylePr w:type="lastRow">
      <w:rPr>
        <w:b/>
        <w:bCs/>
        <w:color w:val="003CA7"/>
      </w:rPr>
      <w:tblPr/>
      <w:tcPr>
        <w:tcBorders>
          <w:top w:val="single" w:sz="8" w:space="0" w:color="E97300"/>
          <w:bottom w:val="single" w:sz="8" w:space="0" w:color="E97300"/>
        </w:tcBorders>
      </w:tcPr>
    </w:tblStylePr>
    <w:tblStylePr w:type="firstCol">
      <w:rPr>
        <w:b/>
        <w:bCs/>
      </w:rPr>
    </w:tblStylePr>
    <w:tblStylePr w:type="lastCol">
      <w:rPr>
        <w:b/>
        <w:bCs/>
      </w:rPr>
      <w:tblPr/>
      <w:tcPr>
        <w:tcBorders>
          <w:top w:val="single" w:sz="8" w:space="0" w:color="E97300"/>
          <w:bottom w:val="single" w:sz="8" w:space="0" w:color="E97300"/>
        </w:tcBorders>
      </w:tcPr>
    </w:tblStylePr>
    <w:tblStylePr w:type="band1Vert">
      <w:tblPr/>
      <w:tcPr>
        <w:shd w:val="clear" w:color="auto" w:fill="FFDBBA"/>
      </w:tcPr>
    </w:tblStylePr>
  </w:style>
  <w:style w:type="table" w:customStyle="1" w:styleId="MediumList1-Accent51">
    <w:name w:val="Medium List 1 - Accent 51"/>
    <w:basedOn w:val="TableNormal"/>
    <w:next w:val="MediumList1-Accent5"/>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Pr w:type="firstRow">
      <w:rPr>
        <w:rFonts w:ascii="Arial" w:eastAsia="Times New Roman Bold" w:hAnsi="Arial" w:cs="Arial"/>
      </w:rPr>
    </w:tblStylePr>
    <w:tblStylePr w:type="lastRow">
      <w:rPr>
        <w:b/>
        <w:bCs/>
        <w:color w:val="003CA7"/>
      </w:rPr>
    </w:tblStylePr>
    <w:tblStylePr w:type="firstCol">
      <w:rPr>
        <w:b/>
        <w:bCs/>
      </w:rPr>
    </w:tblStylePr>
    <w:tblStylePr w:type="lastCol">
      <w:rPr>
        <w:b/>
        <w:bCs/>
      </w:rPr>
    </w:tblStylePr>
  </w:style>
  <w:style w:type="table" w:customStyle="1" w:styleId="MediumList1-Accent61">
    <w:name w:val="Medium List 1 - Accent 61"/>
    <w:basedOn w:val="TableNormal"/>
    <w:next w:val="MediumList1-Accent6"/>
    <w:uiPriority w:val="65"/>
    <w:semiHidden/>
    <w:unhideWhenUsed/>
    <w:rsid w:val="00A24B35"/>
    <w:pPr>
      <w:spacing w:after="0" w:line="240" w:lineRule="auto"/>
      <w:jc w:val="left"/>
    </w:pPr>
    <w:rPr>
      <w:rFonts w:asciiTheme="minorHAnsi" w:eastAsia="Times New Roman" w:hAnsiTheme="minorHAnsi" w:cs="Times New Roman"/>
      <w:color w:val="242828"/>
      <w:sz w:val="22"/>
      <w:szCs w:val="22"/>
      <w:lang w:val="en-US"/>
    </w:rPr>
    <w:tblPr>
      <w:tblStyleRowBandSize w:val="1"/>
      <w:tblStyleColBandSize w:val="1"/>
    </w:tblPr>
    <w:tcPr>
      <w:shd w:val="clear" w:color="auto" w:fill="B8E9FF"/>
    </w:tcPr>
    <w:tblStylePr w:type="firstRow">
      <w:rPr>
        <w:rFonts w:ascii="Arial" w:eastAsia="Times New Roman Bold" w:hAnsi="Arial" w:cs="Arial"/>
      </w:rPr>
      <w:tblPr/>
      <w:tcPr>
        <w:tcBorders>
          <w:top w:val="nil"/>
          <w:bottom w:val="single" w:sz="8" w:space="0" w:color="009BDF"/>
        </w:tcBorders>
      </w:tcPr>
    </w:tblStylePr>
    <w:tblStylePr w:type="lastRow">
      <w:rPr>
        <w:b/>
        <w:bCs/>
        <w:color w:val="003CA7"/>
      </w:rPr>
      <w:tblPr/>
      <w:tcPr>
        <w:tcBorders>
          <w:top w:val="single" w:sz="8" w:space="0" w:color="009BDF"/>
          <w:bottom w:val="single" w:sz="8" w:space="0" w:color="009BDF"/>
        </w:tcBorders>
      </w:tcPr>
    </w:tblStylePr>
    <w:tblStylePr w:type="firstCol">
      <w:rPr>
        <w:b/>
        <w:bCs/>
      </w:rPr>
    </w:tblStylePr>
    <w:tblStylePr w:type="lastCol">
      <w:rPr>
        <w:b/>
        <w:bCs/>
      </w:rPr>
      <w:tblPr/>
      <w:tcPr>
        <w:tcBorders>
          <w:top w:val="single" w:sz="8" w:space="0" w:color="009BDF"/>
          <w:bottom w:val="single" w:sz="8" w:space="0" w:color="009BDF"/>
        </w:tcBorders>
      </w:tcPr>
    </w:tblStylePr>
    <w:tblStylePr w:type="band1Vert">
      <w:tblPr/>
      <w:tcPr>
        <w:shd w:val="clear" w:color="auto" w:fill="B8E9FF"/>
      </w:tcPr>
    </w:tblStylePr>
  </w:style>
  <w:style w:type="table" w:customStyle="1" w:styleId="MediumList21">
    <w:name w:val="Medium List 21"/>
    <w:basedOn w:val="TableNormal"/>
    <w:next w:val="MediumList2"/>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242828"/>
        <w:left w:val="single" w:sz="8" w:space="0" w:color="242828"/>
        <w:bottom w:val="single" w:sz="8" w:space="0" w:color="242828"/>
        <w:right w:val="single" w:sz="8" w:space="0" w:color="242828"/>
      </w:tblBorders>
    </w:tblPr>
    <w:tblStylePr w:type="firstRow">
      <w:rPr>
        <w:sz w:val="24"/>
        <w:szCs w:val="24"/>
      </w:rPr>
      <w:tblPr/>
      <w:tcPr>
        <w:tcBorders>
          <w:top w:val="nil"/>
          <w:left w:val="nil"/>
          <w:bottom w:val="single" w:sz="24" w:space="0" w:color="242828"/>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242828"/>
          <w:insideH w:val="nil"/>
          <w:insideV w:val="nil"/>
        </w:tcBorders>
        <w:shd w:val="clear" w:color="auto" w:fill="FFFFFF"/>
      </w:tcPr>
    </w:tblStylePr>
    <w:tblStylePr w:type="lastCol">
      <w:tblPr/>
      <w:tcPr>
        <w:tcBorders>
          <w:top w:val="nil"/>
          <w:left w:val="single" w:sz="8" w:space="0" w:color="242828"/>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6CCCC"/>
      </w:tcPr>
    </w:tblStylePr>
    <w:tblStylePr w:type="band1Horz">
      <w:tblPr/>
      <w:tcPr>
        <w:tcBorders>
          <w:top w:val="nil"/>
          <w:bottom w:val="nil"/>
          <w:insideH w:val="nil"/>
          <w:insideV w:val="nil"/>
        </w:tcBorders>
        <w:shd w:val="clear" w:color="auto" w:fill="C6CCCC"/>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A6B6"/>
        <w:left w:val="single" w:sz="8" w:space="0" w:color="00A6B6"/>
        <w:bottom w:val="single" w:sz="8" w:space="0" w:color="00A6B6"/>
        <w:right w:val="single" w:sz="8" w:space="0" w:color="00A6B6"/>
      </w:tblBorders>
    </w:tblPr>
    <w:tblStylePr w:type="firstRow">
      <w:rPr>
        <w:sz w:val="24"/>
        <w:szCs w:val="24"/>
      </w:rPr>
      <w:tblPr/>
      <w:tcPr>
        <w:tcBorders>
          <w:top w:val="nil"/>
          <w:left w:val="nil"/>
          <w:bottom w:val="single" w:sz="24" w:space="0" w:color="00A6B6"/>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A6B6"/>
          <w:insideH w:val="nil"/>
          <w:insideV w:val="nil"/>
        </w:tcBorders>
        <w:shd w:val="clear" w:color="auto" w:fill="FFFFFF"/>
      </w:tcPr>
    </w:tblStylePr>
    <w:tblStylePr w:type="lastCol">
      <w:tblPr/>
      <w:tcPr>
        <w:tcBorders>
          <w:top w:val="nil"/>
          <w:left w:val="single" w:sz="8" w:space="0" w:color="00A6B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DF7FF"/>
      </w:tcPr>
    </w:tblStylePr>
    <w:tblStylePr w:type="band1Horz">
      <w:tblPr/>
      <w:tcPr>
        <w:tcBorders>
          <w:top w:val="nil"/>
          <w:bottom w:val="nil"/>
          <w:insideH w:val="nil"/>
          <w:insideV w:val="nil"/>
        </w:tcBorders>
        <w:shd w:val="clear" w:color="auto" w:fill="ADF7FF"/>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956E"/>
        <w:left w:val="single" w:sz="8" w:space="0" w:color="00956E"/>
        <w:bottom w:val="single" w:sz="8" w:space="0" w:color="00956E"/>
        <w:right w:val="single" w:sz="8" w:space="0" w:color="00956E"/>
      </w:tblBorders>
    </w:tblPr>
    <w:tblStylePr w:type="firstRow">
      <w:rPr>
        <w:sz w:val="24"/>
        <w:szCs w:val="24"/>
      </w:rPr>
      <w:tblPr/>
      <w:tcPr>
        <w:tcBorders>
          <w:top w:val="nil"/>
          <w:left w:val="nil"/>
          <w:bottom w:val="single" w:sz="24" w:space="0" w:color="00956E"/>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956E"/>
          <w:insideH w:val="nil"/>
          <w:insideV w:val="nil"/>
        </w:tcBorders>
        <w:shd w:val="clear" w:color="auto" w:fill="FFFFFF"/>
      </w:tcPr>
    </w:tblStylePr>
    <w:tblStylePr w:type="lastCol">
      <w:tblPr/>
      <w:tcPr>
        <w:tcBorders>
          <w:top w:val="nil"/>
          <w:left w:val="single" w:sz="8" w:space="0" w:color="00956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5FFE7"/>
      </w:tcPr>
    </w:tblStylePr>
    <w:tblStylePr w:type="band1Horz">
      <w:tblPr/>
      <w:tcPr>
        <w:tcBorders>
          <w:top w:val="nil"/>
          <w:bottom w:val="nil"/>
          <w:insideH w:val="nil"/>
          <w:insideV w:val="nil"/>
        </w:tcBorders>
        <w:shd w:val="clear" w:color="auto" w:fill="A5FFE7"/>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76236D"/>
        <w:left w:val="single" w:sz="8" w:space="0" w:color="76236D"/>
        <w:bottom w:val="single" w:sz="8" w:space="0" w:color="76236D"/>
        <w:right w:val="single" w:sz="8" w:space="0" w:color="76236D"/>
      </w:tblBorders>
    </w:tblPr>
    <w:tblStylePr w:type="firstRow">
      <w:rPr>
        <w:sz w:val="24"/>
        <w:szCs w:val="24"/>
      </w:rPr>
      <w:tblPr/>
      <w:tcPr>
        <w:tcBorders>
          <w:top w:val="nil"/>
          <w:left w:val="nil"/>
          <w:bottom w:val="single" w:sz="24" w:space="0" w:color="76236D"/>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6236D"/>
          <w:insideH w:val="nil"/>
          <w:insideV w:val="nil"/>
        </w:tcBorders>
        <w:shd w:val="clear" w:color="auto" w:fill="FFFFFF"/>
      </w:tcPr>
    </w:tblStylePr>
    <w:tblStylePr w:type="lastCol">
      <w:tblPr/>
      <w:tcPr>
        <w:tcBorders>
          <w:top w:val="nil"/>
          <w:left w:val="single" w:sz="8" w:space="0" w:color="76236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ABAE5"/>
      </w:tcPr>
    </w:tblStylePr>
    <w:tblStylePr w:type="band1Horz">
      <w:tblPr/>
      <w:tcPr>
        <w:tcBorders>
          <w:top w:val="nil"/>
          <w:bottom w:val="nil"/>
          <w:insideH w:val="nil"/>
          <w:insideV w:val="nil"/>
        </w:tcBorders>
        <w:shd w:val="clear" w:color="auto" w:fill="EABAE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E97300"/>
        <w:left w:val="single" w:sz="8" w:space="0" w:color="E97300"/>
        <w:bottom w:val="single" w:sz="8" w:space="0" w:color="E97300"/>
        <w:right w:val="single" w:sz="8" w:space="0" w:color="E97300"/>
      </w:tblBorders>
    </w:tblPr>
    <w:tblStylePr w:type="firstRow">
      <w:rPr>
        <w:sz w:val="24"/>
        <w:szCs w:val="24"/>
      </w:rPr>
      <w:tblPr/>
      <w:tcPr>
        <w:tcBorders>
          <w:top w:val="nil"/>
          <w:left w:val="nil"/>
          <w:bottom w:val="single" w:sz="24" w:space="0" w:color="E973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97300"/>
          <w:insideH w:val="nil"/>
          <w:insideV w:val="nil"/>
        </w:tcBorders>
        <w:shd w:val="clear" w:color="auto" w:fill="FFFFFF"/>
      </w:tcPr>
    </w:tblStylePr>
    <w:tblStylePr w:type="lastCol">
      <w:tblPr/>
      <w:tcPr>
        <w:tcBorders>
          <w:top w:val="nil"/>
          <w:left w:val="single" w:sz="8" w:space="0" w:color="E973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DBBA"/>
      </w:tcPr>
    </w:tblStylePr>
    <w:tblStylePr w:type="band1Horz">
      <w:tblPr/>
      <w:tcPr>
        <w:tcBorders>
          <w:top w:val="nil"/>
          <w:bottom w:val="nil"/>
          <w:insideH w:val="nil"/>
          <w:insideV w:val="nil"/>
        </w:tcBorders>
        <w:shd w:val="clear" w:color="auto" w:fill="FFDBBA"/>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D0D2D2"/>
        <w:left w:val="single" w:sz="8" w:space="0" w:color="D0D2D2"/>
        <w:bottom w:val="single" w:sz="8" w:space="0" w:color="D0D2D2"/>
        <w:right w:val="single" w:sz="8" w:space="0" w:color="D0D2D2"/>
      </w:tblBorders>
    </w:tblPr>
    <w:tblStylePr w:type="firstRow">
      <w:rPr>
        <w:sz w:val="24"/>
        <w:szCs w:val="24"/>
      </w:rPr>
      <w:tblPr/>
      <w:tcPr>
        <w:tcBorders>
          <w:top w:val="nil"/>
          <w:left w:val="nil"/>
          <w:bottom w:val="single" w:sz="24" w:space="0" w:color="D0D2D2"/>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D0D2D2"/>
          <w:insideH w:val="nil"/>
          <w:insideV w:val="nil"/>
        </w:tcBorders>
        <w:shd w:val="clear" w:color="auto" w:fill="FFFFFF"/>
      </w:tcPr>
    </w:tblStylePr>
    <w:tblStylePr w:type="lastCol">
      <w:tblPr/>
      <w:tcPr>
        <w:tcBorders>
          <w:top w:val="nil"/>
          <w:left w:val="single" w:sz="8" w:space="0" w:color="D0D2D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3F3F3"/>
      </w:tcPr>
    </w:tblStylePr>
    <w:tblStylePr w:type="band1Horz">
      <w:tblPr/>
      <w:tcPr>
        <w:tcBorders>
          <w:top w:val="nil"/>
          <w:bottom w:val="nil"/>
          <w:insideH w:val="nil"/>
          <w:insideV w:val="nil"/>
        </w:tcBorders>
        <w:shd w:val="clear" w:color="auto" w:fill="F3F3F3"/>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A24B35"/>
    <w:pPr>
      <w:spacing w:after="0" w:line="240" w:lineRule="auto"/>
      <w:jc w:val="left"/>
    </w:pPr>
    <w:rPr>
      <w:rFonts w:asciiTheme="minorHAnsi" w:eastAsia="MS PGothic" w:hAnsiTheme="minorHAnsi" w:cs="Times New Roman"/>
      <w:color w:val="242828"/>
      <w:sz w:val="22"/>
      <w:szCs w:val="22"/>
      <w:lang w:val="en-US"/>
    </w:rPr>
    <w:tblPr>
      <w:tblStyleRowBandSize w:val="1"/>
      <w:tblStyleColBandSize w:val="1"/>
      <w:tblBorders>
        <w:top w:val="single" w:sz="8" w:space="0" w:color="009BDF"/>
        <w:left w:val="single" w:sz="8" w:space="0" w:color="009BDF"/>
        <w:bottom w:val="single" w:sz="8" w:space="0" w:color="009BDF"/>
        <w:right w:val="single" w:sz="8" w:space="0" w:color="009BDF"/>
      </w:tblBorders>
    </w:tblPr>
    <w:tblStylePr w:type="firstRow">
      <w:rPr>
        <w:sz w:val="24"/>
        <w:szCs w:val="24"/>
      </w:rPr>
      <w:tblPr/>
      <w:tcPr>
        <w:tcBorders>
          <w:top w:val="nil"/>
          <w:left w:val="nil"/>
          <w:bottom w:val="single" w:sz="24" w:space="0" w:color="009BDF"/>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9BDF"/>
          <w:insideH w:val="nil"/>
          <w:insideV w:val="nil"/>
        </w:tcBorders>
        <w:shd w:val="clear" w:color="auto" w:fill="FFFFFF"/>
      </w:tcPr>
    </w:tblStylePr>
    <w:tblStylePr w:type="lastCol">
      <w:tblPr/>
      <w:tcPr>
        <w:tcBorders>
          <w:top w:val="nil"/>
          <w:left w:val="single" w:sz="8" w:space="0" w:color="009BD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8E9FF"/>
      </w:tcPr>
    </w:tblStylePr>
    <w:tblStylePr w:type="band1Horz">
      <w:tblPr/>
      <w:tcPr>
        <w:tcBorders>
          <w:top w:val="nil"/>
          <w:bottom w:val="nil"/>
          <w:insideH w:val="nil"/>
          <w:insideV w:val="nil"/>
        </w:tcBorders>
        <w:shd w:val="clear" w:color="auto" w:fill="B8E9FF"/>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11">
    <w:name w:val="Medium Shading 1 - Accent 11"/>
    <w:basedOn w:val="TableNormal"/>
    <w:next w:val="MediumShading1-Accent1"/>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ADF7FF"/>
    </w:tcPr>
    <w:tblStylePr w:type="firstRow">
      <w:pPr>
        <w:spacing w:before="0" w:after="0" w:line="240" w:lineRule="auto"/>
      </w:pPr>
      <w:rPr>
        <w:b/>
        <w:bCs/>
        <w:color w:val="FFFFFF"/>
      </w:rPr>
      <w:tblPr/>
      <w:tcPr>
        <w:tcBorders>
          <w:top w:val="single" w:sz="8" w:space="0" w:color="09E8FF"/>
          <w:left w:val="single" w:sz="8" w:space="0" w:color="09E8FF"/>
          <w:bottom w:val="single" w:sz="8" w:space="0" w:color="09E8FF"/>
          <w:right w:val="single" w:sz="8" w:space="0" w:color="09E8FF"/>
          <w:insideH w:val="nil"/>
          <w:insideV w:val="nil"/>
        </w:tcBorders>
        <w:shd w:val="clear" w:color="auto" w:fill="00A6B6"/>
      </w:tcPr>
    </w:tblStylePr>
    <w:tblStylePr w:type="lastRow">
      <w:pPr>
        <w:spacing w:before="0" w:after="0" w:line="240" w:lineRule="auto"/>
      </w:pPr>
      <w:rPr>
        <w:b/>
        <w:bCs/>
      </w:rPr>
      <w:tblPr/>
      <w:tcPr>
        <w:tcBorders>
          <w:top w:val="double" w:sz="6" w:space="0" w:color="09E8FF"/>
          <w:left w:val="single" w:sz="8" w:space="0" w:color="09E8FF"/>
          <w:bottom w:val="single" w:sz="8" w:space="0" w:color="09E8FF"/>
          <w:right w:val="single" w:sz="8" w:space="0" w:color="09E8FF"/>
          <w:insideH w:val="nil"/>
          <w:insideV w:val="nil"/>
        </w:tcBorders>
      </w:tcPr>
    </w:tblStylePr>
    <w:tblStylePr w:type="firstCol">
      <w:rPr>
        <w:b/>
        <w:bCs/>
      </w:rPr>
    </w:tblStylePr>
    <w:tblStylePr w:type="lastCol">
      <w:rPr>
        <w:b/>
        <w:bCs/>
      </w:rPr>
    </w:tblStylePr>
  </w:style>
  <w:style w:type="table" w:customStyle="1" w:styleId="MediumShading1-Accent21">
    <w:name w:val="Medium Shading 1 - Accent 21"/>
    <w:basedOn w:val="TableNormal"/>
    <w:next w:val="MediumShading1-Accent2"/>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blStylePr w:type="firstRow">
      <w:pPr>
        <w:spacing w:before="0" w:after="0" w:line="240" w:lineRule="auto"/>
      </w:pPr>
      <w:rPr>
        <w:b/>
        <w:bCs/>
        <w:color w:val="FFFFFF"/>
      </w:rPr>
      <w:tblPr/>
      <w:tcPr>
        <w:tcBorders>
          <w:top w:val="single" w:sz="8" w:space="0" w:color="00EFB0"/>
          <w:left w:val="single" w:sz="8" w:space="0" w:color="00EFB0"/>
          <w:bottom w:val="single" w:sz="8" w:space="0" w:color="00EFB0"/>
          <w:right w:val="single" w:sz="8" w:space="0" w:color="00EFB0"/>
          <w:insideH w:val="nil"/>
          <w:insideV w:val="nil"/>
        </w:tcBorders>
        <w:shd w:val="clear" w:color="auto" w:fill="00956E"/>
      </w:tcPr>
    </w:tblStylePr>
    <w:tblStylePr w:type="lastRow">
      <w:pPr>
        <w:spacing w:before="0" w:after="0" w:line="240" w:lineRule="auto"/>
      </w:pPr>
      <w:rPr>
        <w:b/>
        <w:bCs/>
      </w:rPr>
      <w:tblPr/>
      <w:tcPr>
        <w:tcBorders>
          <w:top w:val="double" w:sz="6" w:space="0" w:color="00EFB0"/>
          <w:left w:val="single" w:sz="8" w:space="0" w:color="00EFB0"/>
          <w:bottom w:val="single" w:sz="8" w:space="0" w:color="00EFB0"/>
          <w:right w:val="single" w:sz="8" w:space="0" w:color="00EFB0"/>
          <w:insideH w:val="nil"/>
          <w:insideV w:val="nil"/>
        </w:tcBorders>
      </w:tcPr>
    </w:tblStylePr>
    <w:tblStylePr w:type="firstCol">
      <w:rPr>
        <w:b/>
        <w:bCs/>
      </w:rPr>
    </w:tblStylePr>
    <w:tblStylePr w:type="lastCol">
      <w:rPr>
        <w:b/>
        <w:bCs/>
      </w:rPr>
    </w:tblStylePr>
    <w:tblStylePr w:type="band1Vert">
      <w:tblPr/>
      <w:tcPr>
        <w:shd w:val="clear" w:color="auto" w:fill="A5FFE7"/>
      </w:tcPr>
    </w:tblStylePr>
  </w:style>
  <w:style w:type="table" w:customStyle="1" w:styleId="MediumShading1-Accent31">
    <w:name w:val="Medium Shading 1 - Accent 31"/>
    <w:basedOn w:val="TableNormal"/>
    <w:next w:val="MediumShading1-Accent3"/>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double" w:sz="6" w:space="0" w:color="BA37AC"/>
        <w:left w:val="single" w:sz="8" w:space="0" w:color="BA37AC"/>
        <w:bottom w:val="single" w:sz="8" w:space="0" w:color="BA37AC"/>
        <w:right w:val="single" w:sz="8" w:space="0" w:color="BA37AC"/>
      </w:tcBorders>
    </w:tcPr>
    <w:tblStylePr w:type="firstRow">
      <w:pPr>
        <w:spacing w:before="0" w:after="0" w:line="240" w:lineRule="auto"/>
      </w:pPr>
      <w:rPr>
        <w:b/>
        <w:bCs/>
        <w:color w:val="FFFFFF"/>
      </w:rPr>
      <w:tblPr/>
      <w:tcPr>
        <w:tcBorders>
          <w:top w:val="single" w:sz="8" w:space="0" w:color="BA37AC"/>
          <w:left w:val="single" w:sz="8" w:space="0" w:color="BA37AC"/>
          <w:bottom w:val="single" w:sz="8" w:space="0" w:color="BA37AC"/>
          <w:right w:val="single" w:sz="8" w:space="0" w:color="BA37AC"/>
          <w:insideH w:val="nil"/>
          <w:insideV w:val="nil"/>
        </w:tcBorders>
        <w:shd w:val="clear" w:color="auto" w:fill="76236D"/>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41">
    <w:name w:val="Medium Shading 1 - Accent 41"/>
    <w:basedOn w:val="TableNormal"/>
    <w:next w:val="MediumShading1-Accent4"/>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top w:val="double" w:sz="6" w:space="0" w:color="FF952F"/>
        <w:left w:val="single" w:sz="8" w:space="0" w:color="FF952F"/>
        <w:bottom w:val="single" w:sz="8" w:space="0" w:color="FF952F"/>
        <w:right w:val="single" w:sz="8" w:space="0" w:color="FF952F"/>
      </w:tcBorders>
      <w:shd w:val="clear" w:color="auto" w:fill="FFDBBA"/>
    </w:tcPr>
    <w:tblStylePr w:type="firstRow">
      <w:pPr>
        <w:spacing w:before="0" w:after="0" w:line="240" w:lineRule="auto"/>
      </w:pPr>
      <w:rPr>
        <w:b/>
        <w:bCs/>
        <w:color w:val="FFFFFF"/>
      </w:rPr>
      <w:tblPr/>
      <w:tcPr>
        <w:tcBorders>
          <w:top w:val="single" w:sz="8" w:space="0" w:color="FF952F"/>
          <w:left w:val="single" w:sz="8" w:space="0" w:color="FF952F"/>
          <w:bottom w:val="single" w:sz="8" w:space="0" w:color="FF952F"/>
          <w:right w:val="single" w:sz="8" w:space="0" w:color="FF952F"/>
          <w:insideH w:val="nil"/>
          <w:insideV w:val="nil"/>
        </w:tcBorders>
        <w:shd w:val="clear" w:color="auto" w:fill="E97300"/>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51">
    <w:name w:val="Medium Shading 1 - Accent 51"/>
    <w:basedOn w:val="TableNormal"/>
    <w:next w:val="MediumShading1-Accent5"/>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left w:val="single" w:sz="8" w:space="0" w:color="DBDDDD"/>
        <w:right w:val="single" w:sz="8" w:space="0" w:color="DBDDDD"/>
      </w:tcBorders>
      <w:shd w:val="clear" w:color="auto" w:fill="D0D2D2"/>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MediumShading1-Accent61">
    <w:name w:val="Medium Shading 1 - Accent 61"/>
    <w:basedOn w:val="TableNormal"/>
    <w:next w:val="MediumShading1-Accent6"/>
    <w:uiPriority w:val="63"/>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B8E9FF"/>
    </w:tcPr>
    <w:tblStylePr w:type="firstRow">
      <w:pPr>
        <w:spacing w:before="0" w:after="0" w:line="240" w:lineRule="auto"/>
      </w:pPr>
      <w:rPr>
        <w:b/>
        <w:bCs/>
        <w:color w:val="FFFFFF"/>
      </w:rPr>
      <w:tblPr/>
      <w:tcPr>
        <w:tcBorders>
          <w:top w:val="single" w:sz="8" w:space="0" w:color="28BDFF"/>
          <w:left w:val="single" w:sz="8" w:space="0" w:color="28BDFF"/>
          <w:bottom w:val="single" w:sz="8" w:space="0" w:color="28BDFF"/>
          <w:right w:val="single" w:sz="8" w:space="0" w:color="28BDFF"/>
          <w:insideH w:val="nil"/>
          <w:insideV w:val="nil"/>
        </w:tcBorders>
        <w:shd w:val="clear" w:color="auto" w:fill="009BDF"/>
      </w:tcPr>
    </w:tblStylePr>
    <w:tblStylePr w:type="lastRow">
      <w:pPr>
        <w:spacing w:before="0" w:after="0" w:line="240" w:lineRule="auto"/>
      </w:pPr>
      <w:rPr>
        <w:b/>
        <w:bCs/>
      </w:rPr>
      <w:tblPr/>
      <w:tcPr>
        <w:tcBorders>
          <w:top w:val="double" w:sz="6" w:space="0" w:color="28BDFF"/>
          <w:left w:val="single" w:sz="8" w:space="0" w:color="28BDFF"/>
          <w:bottom w:val="single" w:sz="8" w:space="0" w:color="28BDFF"/>
          <w:right w:val="single" w:sz="8" w:space="0" w:color="28BDFF"/>
          <w:insideH w:val="nil"/>
          <w:insideV w:val="nil"/>
        </w:tcBorders>
      </w:tcPr>
    </w:tblStylePr>
    <w:tblStylePr w:type="firstCol">
      <w:rPr>
        <w:b/>
        <w:bCs/>
      </w:rPr>
    </w:tblStylePr>
    <w:tblStylePr w:type="lastCol">
      <w:rPr>
        <w:b/>
        <w:bCs/>
      </w:rPr>
    </w:tblStylePr>
  </w:style>
  <w:style w:type="table" w:customStyle="1" w:styleId="MediumShading21">
    <w:name w:val="Medium Shading 21"/>
    <w:basedOn w:val="TableNormal"/>
    <w:next w:val="MediumShading2"/>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42828"/>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242828"/>
      </w:tcPr>
    </w:tblStylePr>
    <w:tblStylePr w:type="lastCol">
      <w:rPr>
        <w:b/>
        <w:bCs/>
        <w:color w:val="FFFFFF"/>
      </w:rPr>
      <w:tblPr/>
      <w:tcPr>
        <w:tcBorders>
          <w:left w:val="nil"/>
          <w:right w:val="nil"/>
          <w:insideH w:val="nil"/>
          <w:insideV w:val="nil"/>
        </w:tcBorders>
        <w:shd w:val="clear" w:color="auto" w:fill="242828"/>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A6B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A6B6"/>
      </w:tcPr>
    </w:tblStylePr>
    <w:tblStylePr w:type="lastCol">
      <w:rPr>
        <w:b/>
        <w:bCs/>
        <w:color w:val="FFFFFF"/>
      </w:rPr>
      <w:tblPr/>
      <w:tcPr>
        <w:tcBorders>
          <w:left w:val="nil"/>
          <w:right w:val="nil"/>
          <w:insideH w:val="nil"/>
          <w:insideV w:val="nil"/>
        </w:tcBorders>
        <w:shd w:val="clear" w:color="auto" w:fill="00A6B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956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956E"/>
      </w:tcPr>
    </w:tblStylePr>
    <w:tblStylePr w:type="lastCol">
      <w:rPr>
        <w:b/>
        <w:bCs/>
        <w:color w:val="FFFFFF"/>
      </w:rPr>
      <w:tblPr/>
      <w:tcPr>
        <w:tcBorders>
          <w:left w:val="nil"/>
          <w:right w:val="nil"/>
          <w:insideH w:val="nil"/>
          <w:insideV w:val="nil"/>
        </w:tcBorders>
        <w:shd w:val="clear" w:color="auto" w:fill="00956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6236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6236D"/>
      </w:tcPr>
    </w:tblStylePr>
    <w:tblStylePr w:type="lastCol">
      <w:rPr>
        <w:b/>
        <w:bCs/>
        <w:color w:val="FFFFFF"/>
      </w:rPr>
      <w:tblPr/>
      <w:tcPr>
        <w:tcBorders>
          <w:left w:val="nil"/>
          <w:right w:val="nil"/>
          <w:insideH w:val="nil"/>
          <w:insideV w:val="nil"/>
        </w:tcBorders>
        <w:shd w:val="clear" w:color="auto" w:fill="76236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3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97300"/>
      </w:tcPr>
    </w:tblStylePr>
    <w:tblStylePr w:type="lastCol">
      <w:rPr>
        <w:b/>
        <w:bCs/>
        <w:color w:val="FFFFFF"/>
      </w:rPr>
      <w:tblPr/>
      <w:tcPr>
        <w:tcBorders>
          <w:left w:val="nil"/>
          <w:right w:val="nil"/>
          <w:insideH w:val="nil"/>
          <w:insideV w:val="nil"/>
        </w:tcBorders>
        <w:shd w:val="clear" w:color="auto" w:fill="E973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D0D2D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D0D2D2"/>
      </w:tcPr>
    </w:tblStylePr>
    <w:tblStylePr w:type="lastCol">
      <w:rPr>
        <w:b/>
        <w:bCs/>
        <w:color w:val="FFFFFF"/>
      </w:rPr>
      <w:tblPr/>
      <w:tcPr>
        <w:tcBorders>
          <w:left w:val="nil"/>
          <w:right w:val="nil"/>
          <w:insideH w:val="nil"/>
          <w:insideV w:val="nil"/>
        </w:tcBorders>
        <w:shd w:val="clear" w:color="auto" w:fill="D0D2D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A24B35"/>
    <w:pPr>
      <w:spacing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9BD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9BDF"/>
      </w:tcPr>
    </w:tblStylePr>
    <w:tblStylePr w:type="lastCol">
      <w:rPr>
        <w:b/>
        <w:bCs/>
        <w:color w:val="FFFFFF"/>
      </w:rPr>
      <w:tblPr/>
      <w:tcPr>
        <w:tcBorders>
          <w:left w:val="nil"/>
          <w:right w:val="nil"/>
          <w:insideH w:val="nil"/>
          <w:insideV w:val="nil"/>
        </w:tcBorders>
        <w:shd w:val="clear" w:color="auto" w:fill="009BD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11">
    <w:name w:val="Plain Table 11"/>
    <w:basedOn w:val="TableNormal"/>
    <w:next w:val="PlainTable1"/>
    <w:uiPriority w:val="41"/>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next w:val="PlainTable3"/>
    <w:uiPriority w:val="43"/>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bottom w:val="single" w:sz="4" w:space="0" w:color="8C9797"/>
        <w:right w:val="single" w:sz="4" w:space="0" w:color="8C9797"/>
      </w:tcBorders>
    </w:tcPr>
    <w:tblStylePr w:type="firstRow">
      <w:rPr>
        <w:b/>
        <w:bCs/>
        <w:caps/>
      </w:rPr>
    </w:tblStylePr>
    <w:tblStylePr w:type="lastRow">
      <w:rPr>
        <w:b/>
        <w:bCs/>
        <w:caps/>
      </w:r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A24B35"/>
    <w:pPr>
      <w:spacing w:before="60" w:after="0" w:line="240"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inTable51">
    <w:name w:val="Plain Table 51"/>
    <w:basedOn w:val="TableNormal"/>
    <w:next w:val="PlainTable5"/>
    <w:uiPriority w:val="45"/>
    <w:rsid w:val="00A24B35"/>
    <w:pPr>
      <w:spacing w:before="60" w:after="0" w:line="240" w:lineRule="auto"/>
      <w:jc w:val="left"/>
    </w:pPr>
    <w:rPr>
      <w:rFonts w:asciiTheme="minorHAnsi" w:eastAsia="Times New Roman" w:hAnsiTheme="minorHAnsi" w:cs="Times New Roman"/>
      <w:color w:val="auto"/>
      <w:sz w:val="22"/>
      <w:szCs w:val="22"/>
      <w:lang w:val="en-US"/>
    </w:rPr>
    <w:tblPr>
      <w:tblStyleRowBandSize w:val="1"/>
      <w:tblStyleColBandSize w:val="1"/>
    </w:tblPr>
    <w:tcPr>
      <w:shd w:val="clear" w:color="auto" w:fill="FFFFFF"/>
    </w:tcPr>
    <w:tblStylePr w:type="firstRow">
      <w:rPr>
        <w:rFonts w:ascii="Arial" w:eastAsia="Times New Roman Bold" w:hAnsi="Arial" w:cs="Arial"/>
        <w:i/>
        <w:iCs/>
        <w:sz w:val="26"/>
      </w:rPr>
      <w:tblPr/>
      <w:tcPr>
        <w:tcBorders>
          <w:bottom w:val="single" w:sz="4" w:space="0" w:color="8C9797"/>
        </w:tcBorders>
        <w:shd w:val="clear" w:color="auto" w:fill="FFFFFF"/>
      </w:tcPr>
    </w:tblStylePr>
    <w:tblStylePr w:type="lastRow">
      <w:rPr>
        <w:rFonts w:ascii="Arial" w:eastAsia="Times New Roman Bold" w:hAnsi="Arial" w:cs="Arial"/>
        <w:i/>
        <w:iCs/>
        <w:sz w:val="26"/>
      </w:rPr>
    </w:tblStylePr>
    <w:tblStylePr w:type="firstCol">
      <w:pPr>
        <w:jc w:val="right"/>
      </w:pPr>
      <w:rPr>
        <w:rFonts w:ascii="Arial" w:eastAsia="Times New Roman Bold" w:hAnsi="Arial" w:cs="Arial"/>
        <w:i/>
        <w:iCs/>
        <w:sz w:val="26"/>
      </w:rPr>
    </w:tblStylePr>
    <w:tblStylePr w:type="lastCol">
      <w:rPr>
        <w:rFonts w:ascii="Arial" w:eastAsia="Times New Roman Bold" w:hAnsi="Arial" w:cs="Arial"/>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ubtleEmphasis1">
    <w:name w:val="Subtle Emphasis1"/>
    <w:basedOn w:val="DefaultParagraphFont"/>
    <w:uiPriority w:val="19"/>
    <w:unhideWhenUsed/>
    <w:qFormat/>
    <w:rsid w:val="00A24B35"/>
    <w:rPr>
      <w:rFonts w:ascii="Arial" w:hAnsi="Arial" w:cs="Arial"/>
      <w:i/>
      <w:iCs/>
      <w:color w:val="576161"/>
    </w:rPr>
  </w:style>
  <w:style w:type="character" w:customStyle="1" w:styleId="SubtleReference1">
    <w:name w:val="Subtle Reference1"/>
    <w:basedOn w:val="DefaultParagraphFont"/>
    <w:uiPriority w:val="31"/>
    <w:unhideWhenUsed/>
    <w:qFormat/>
    <w:rsid w:val="00A24B35"/>
    <w:rPr>
      <w:rFonts w:ascii="Arial" w:hAnsi="Arial" w:cs="Arial"/>
      <w:smallCaps/>
      <w:color w:val="6C7878"/>
    </w:rPr>
  </w:style>
  <w:style w:type="table" w:customStyle="1" w:styleId="Table3Deffects11">
    <w:name w:val="Table 3D effects 11"/>
    <w:basedOn w:val="TableNormal"/>
    <w:next w:val="Table3Deffects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unhideWhenUsed/>
    <w:rsid w:val="00A24B35"/>
    <w:pPr>
      <w:spacing w:before="60" w:after="60" w:line="276" w:lineRule="auto"/>
      <w:jc w:val="left"/>
    </w:pPr>
    <w:rPr>
      <w:rFonts w:asciiTheme="minorHAnsi" w:eastAsia="Times New Roman" w:hAnsiTheme="minorHAnsi" w:cs="Times New Roman"/>
      <w:color w:val="000080"/>
      <w:sz w:val="22"/>
      <w:szCs w:val="22"/>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unhideWhenUsed/>
    <w:rsid w:val="00A24B35"/>
    <w:pPr>
      <w:spacing w:before="60" w:after="60" w:line="276" w:lineRule="auto"/>
      <w:jc w:val="left"/>
    </w:pPr>
    <w:rPr>
      <w:rFonts w:asciiTheme="minorHAnsi" w:eastAsia="Times New Roman" w:hAnsiTheme="minorHAnsi" w:cs="Times New Roman"/>
      <w:color w:val="FFFFFF"/>
      <w:sz w:val="22"/>
      <w:szCs w:val="22"/>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unhideWhenUsed/>
    <w:rsid w:val="00A24B35"/>
    <w:pPr>
      <w:spacing w:before="60" w:after="60" w:line="276" w:lineRule="auto"/>
      <w:jc w:val="left"/>
    </w:pPr>
    <w:rPr>
      <w:rFonts w:asciiTheme="minorHAnsi" w:eastAsia="Times New Roman" w:hAnsiTheme="minorHAnsi" w:cs="Times New Roman"/>
      <w:b/>
      <w:bCs/>
      <w:color w:val="auto"/>
      <w:sz w:val="22"/>
      <w:szCs w:val="22"/>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unhideWhenUsed/>
    <w:rsid w:val="00A24B35"/>
    <w:pPr>
      <w:spacing w:before="60" w:after="60" w:line="276" w:lineRule="auto"/>
      <w:jc w:val="left"/>
    </w:pPr>
    <w:rPr>
      <w:rFonts w:asciiTheme="minorHAnsi" w:eastAsia="Times New Roman" w:hAnsiTheme="minorHAnsi" w:cs="Times New Roman"/>
      <w:b/>
      <w:bCs/>
      <w:color w:val="auto"/>
      <w:sz w:val="22"/>
      <w:szCs w:val="22"/>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unhideWhenUsed/>
    <w:rsid w:val="00A24B35"/>
    <w:pPr>
      <w:spacing w:before="60" w:after="60" w:line="276" w:lineRule="auto"/>
      <w:jc w:val="left"/>
    </w:pPr>
    <w:rPr>
      <w:rFonts w:asciiTheme="minorHAnsi" w:eastAsia="Times New Roman" w:hAnsiTheme="minorHAnsi" w:cs="Times New Roman"/>
      <w:b/>
      <w:bCs/>
      <w:color w:val="auto"/>
      <w:sz w:val="22"/>
      <w:szCs w:val="22"/>
      <w:lang w:val="en-U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customStyle="1" w:styleId="TableColumns41">
    <w:name w:val="Table Columns 41"/>
    <w:basedOn w:val="TableNormal"/>
    <w:next w:val="TableColumns4"/>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auto"/>
      </w:rPr>
    </w:tblStylePr>
    <w:tblStylePr w:type="band1Horz">
      <w:rPr>
        <w:color w:val="auto"/>
      </w:rPr>
    </w:tblStylePr>
    <w:tblStylePr w:type="band2Horz">
      <w:rPr>
        <w:color w:val="auto"/>
      </w:rPr>
    </w:tblStylePr>
  </w:style>
  <w:style w:type="table" w:customStyle="1" w:styleId="TableElegant1">
    <w:name w:val="Table Elegant1"/>
    <w:basedOn w:val="TableNormal"/>
    <w:next w:val="TableElegant"/>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customStyle="1" w:styleId="TableGrid31">
    <w:name w:val="Table Grid 31"/>
    <w:basedOn w:val="TableNormal"/>
    <w:next w:val="TableGrid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customStyle="1" w:styleId="TableGrid41">
    <w:name w:val="Table Grid 41"/>
    <w:basedOn w:val="TableNormal"/>
    <w:next w:val="TableGrid4"/>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shd w:val="clear" w:color="auto" w:fill="auto"/>
    </w:tcPr>
    <w:tblStylePr w:type="firstRow">
      <w:rPr>
        <w:color w:val="auto"/>
      </w:rPr>
    </w:tblStylePr>
    <w:tblStylePr w:type="lastRow">
      <w:rPr>
        <w:b/>
        <w:bCs/>
        <w:color w:val="auto"/>
      </w:rPr>
    </w:tblStylePr>
    <w:tblStylePr w:type="lastCol">
      <w:rPr>
        <w:b/>
        <w:bCs/>
        <w:color w:val="auto"/>
      </w:rPr>
    </w:tblStylePr>
  </w:style>
  <w:style w:type="table" w:customStyle="1" w:styleId="TableGrid51">
    <w:name w:val="Table Grid 51"/>
    <w:basedOn w:val="TableNormal"/>
    <w:next w:val="TableGrid5"/>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lastRow">
      <w:rPr>
        <w:b/>
        <w:bCs/>
      </w:rPr>
    </w:tblStylePr>
    <w:tblStylePr w:type="lastCol">
      <w:rPr>
        <w:b/>
        <w:bCs/>
      </w:rPr>
    </w:tblStylePr>
  </w:style>
  <w:style w:type="table" w:customStyle="1" w:styleId="TableGrid61">
    <w:name w:val="Table Grid 61"/>
    <w:basedOn w:val="TableNormal"/>
    <w:next w:val="TableGrid6"/>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unhideWhenUsed/>
    <w:rsid w:val="00A24B35"/>
    <w:pPr>
      <w:spacing w:before="60" w:after="60" w:line="276" w:lineRule="auto"/>
      <w:jc w:val="left"/>
    </w:pPr>
    <w:rPr>
      <w:rFonts w:asciiTheme="minorHAnsi" w:eastAsia="Times New Roman" w:hAnsiTheme="minorHAnsi" w:cs="Times New Roman"/>
      <w:b/>
      <w:bCs/>
      <w:color w:val="auto"/>
      <w:sz w:val="22"/>
      <w:szCs w:val="22"/>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color w:val="FFFFFF"/>
      </w:rPr>
    </w:tblStylePr>
  </w:style>
  <w:style w:type="table" w:customStyle="1" w:styleId="TableList51">
    <w:name w:val="Table List 51"/>
    <w:basedOn w:val="TableNormal"/>
    <w:next w:val="TableList5"/>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firstCol">
      <w:rPr>
        <w:b/>
        <w:bCs/>
      </w:rPr>
    </w:tblStylePr>
  </w:style>
  <w:style w:type="table" w:customStyle="1" w:styleId="TableList61">
    <w:name w:val="Table List 61"/>
    <w:basedOn w:val="TableNormal"/>
    <w:next w:val="TableList6"/>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customStyle="1" w:styleId="TableList71">
    <w:name w:val="Table List 71"/>
    <w:basedOn w:val="TableNormal"/>
    <w:next w:val="TableList7"/>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customStyle="1" w:styleId="TableList81">
    <w:name w:val="Table List 81"/>
    <w:basedOn w:val="TableNormal"/>
    <w:next w:val="TableList8"/>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customStyle="1" w:styleId="TableSimple31">
    <w:name w:val="Table Simple 31"/>
    <w:basedOn w:val="TableNormal"/>
    <w:next w:val="TableSimple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cPr>
      <w:tcBorders>
        <w:top w:val="single" w:sz="12" w:space="0" w:color="000000"/>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style>
  <w:style w:type="table" w:customStyle="1" w:styleId="TableWeb11">
    <w:name w:val="Table Web 11"/>
    <w:basedOn w:val="TableNormal"/>
    <w:next w:val="TableWeb1"/>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table" w:customStyle="1" w:styleId="TableWeb21">
    <w:name w:val="Table Web 21"/>
    <w:basedOn w:val="TableNormal"/>
    <w:next w:val="TableWeb2"/>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table" w:customStyle="1" w:styleId="TableWeb31">
    <w:name w:val="Table Web 31"/>
    <w:basedOn w:val="TableNormal"/>
    <w:next w:val="TableWeb3"/>
    <w:semiHidden/>
    <w:unhideWhenUsed/>
    <w:rsid w:val="00A24B35"/>
    <w:pPr>
      <w:spacing w:before="60" w:after="60" w:line="276" w:lineRule="auto"/>
      <w:jc w:val="left"/>
    </w:pPr>
    <w:rPr>
      <w:rFonts w:asciiTheme="minorHAnsi" w:eastAsia="Times New Roman" w:hAnsiTheme="minorHAnsi" w:cs="Times New Roman"/>
      <w:color w:val="auto"/>
      <w:sz w:val="22"/>
      <w:szCs w:val="22"/>
      <w:lang w:val="en-US"/>
    </w:rPr>
    <w:tblPr/>
    <w:tblStylePr w:type="firstRow">
      <w:rPr>
        <w:color w:val="auto"/>
      </w:rPr>
    </w:tblStylePr>
  </w:style>
  <w:style w:type="character" w:customStyle="1" w:styleId="HeaderChar1">
    <w:name w:val="Header Char1"/>
    <w:basedOn w:val="DefaultParagraphFont"/>
    <w:uiPriority w:val="99"/>
    <w:semiHidden/>
    <w:rsid w:val="00A24B35"/>
  </w:style>
  <w:style w:type="character" w:customStyle="1" w:styleId="FooterChar1">
    <w:name w:val="Footer Char1"/>
    <w:basedOn w:val="DefaultParagraphFont"/>
    <w:uiPriority w:val="99"/>
    <w:semiHidden/>
    <w:rsid w:val="00A24B35"/>
  </w:style>
  <w:style w:type="character" w:customStyle="1" w:styleId="CommentSubjectChar1">
    <w:name w:val="Comment Subject Char1"/>
    <w:basedOn w:val="CommentTextChar1"/>
    <w:uiPriority w:val="99"/>
    <w:semiHidden/>
    <w:rsid w:val="00A24B35"/>
    <w:rPr>
      <w:b/>
      <w:bCs/>
      <w:sz w:val="20"/>
      <w:szCs w:val="20"/>
    </w:rPr>
  </w:style>
  <w:style w:type="character" w:customStyle="1" w:styleId="MessageHeaderChar1">
    <w:name w:val="Message Header Char1"/>
    <w:basedOn w:val="DefaultParagraphFont"/>
    <w:uiPriority w:val="99"/>
    <w:semiHidden/>
    <w:rsid w:val="00A24B35"/>
    <w:rPr>
      <w:rFonts w:asciiTheme="majorHAnsi" w:eastAsiaTheme="majorEastAsia" w:hAnsiTheme="majorHAnsi" w:cstheme="majorBidi"/>
      <w:sz w:val="24"/>
      <w:szCs w:val="24"/>
      <w:shd w:val="pct20" w:color="auto" w:fill="auto"/>
    </w:rPr>
  </w:style>
  <w:style w:type="paragraph" w:customStyle="1" w:styleId="Heading10">
    <w:name w:val="Heading_1"/>
    <w:basedOn w:val="ListParagraph"/>
    <w:link w:val="Heading1Char0"/>
    <w:qFormat/>
    <w:rsid w:val="00A24B35"/>
    <w:pPr>
      <w:keepNext/>
      <w:keepLines/>
      <w:numPr>
        <w:numId w:val="32"/>
      </w:numPr>
      <w:pBdr>
        <w:bottom w:val="single" w:sz="4" w:space="1" w:color="1A4596"/>
      </w:pBdr>
      <w:spacing w:before="240" w:after="240"/>
      <w:contextualSpacing/>
      <w:outlineLvl w:val="0"/>
    </w:pPr>
    <w:rPr>
      <w:rFonts w:ascii="Arial" w:hAnsi="Arial"/>
      <w:color w:val="1A4596"/>
      <w:sz w:val="32"/>
      <w:szCs w:val="32"/>
    </w:rPr>
  </w:style>
  <w:style w:type="character" w:customStyle="1" w:styleId="Heading1Char0">
    <w:name w:val="Heading_1 Char"/>
    <w:basedOn w:val="ListParagraphChar"/>
    <w:link w:val="Heading10"/>
    <w:rsid w:val="00A24B35"/>
    <w:rPr>
      <w:rFonts w:cs="Arial"/>
      <w:color w:val="1A4596"/>
      <w:sz w:val="32"/>
      <w:szCs w:val="32"/>
    </w:rPr>
  </w:style>
  <w:style w:type="paragraph" w:customStyle="1" w:styleId="Heading20">
    <w:name w:val="Heading_2"/>
    <w:basedOn w:val="Normal"/>
    <w:link w:val="Heading2Char0"/>
    <w:qFormat/>
    <w:rsid w:val="00A24B35"/>
    <w:pPr>
      <w:keepNext/>
      <w:keepLines/>
      <w:numPr>
        <w:ilvl w:val="1"/>
        <w:numId w:val="32"/>
      </w:numPr>
      <w:spacing w:before="240"/>
      <w:outlineLvl w:val="1"/>
    </w:pPr>
    <w:rPr>
      <w:rFonts w:ascii="Arial" w:hAnsi="Arial" w:cs="Arial"/>
      <w:caps/>
      <w:color w:val="1A4596"/>
      <w:kern w:val="2"/>
      <w:sz w:val="26"/>
      <w:szCs w:val="26"/>
      <w14:ligatures w14:val="standardContextual"/>
    </w:rPr>
  </w:style>
  <w:style w:type="character" w:customStyle="1" w:styleId="Heading2Char0">
    <w:name w:val="Heading_2 Char"/>
    <w:basedOn w:val="DefaultParagraphFont"/>
    <w:link w:val="Heading20"/>
    <w:rsid w:val="00A24B35"/>
    <w:rPr>
      <w:rFonts w:cs="Arial"/>
      <w:caps/>
      <w:color w:val="1A4596"/>
      <w:kern w:val="2"/>
      <w:sz w:val="26"/>
      <w:szCs w:val="26"/>
      <w14:ligatures w14:val="standardContextual"/>
    </w:rPr>
  </w:style>
  <w:style w:type="paragraph" w:customStyle="1" w:styleId="Heading30">
    <w:name w:val="Heading_3"/>
    <w:basedOn w:val="Normal"/>
    <w:link w:val="Heading3Char0"/>
    <w:qFormat/>
    <w:rsid w:val="00A24B35"/>
    <w:pPr>
      <w:keepNext/>
      <w:keepLines/>
      <w:numPr>
        <w:ilvl w:val="2"/>
        <w:numId w:val="32"/>
      </w:numPr>
      <w:spacing w:before="240"/>
      <w:outlineLvl w:val="2"/>
    </w:pPr>
    <w:rPr>
      <w:rFonts w:ascii="Arial" w:eastAsia="MS PGothic" w:hAnsi="Arial" w:cs="Arial"/>
      <w:b/>
      <w:color w:val="242828"/>
      <w:kern w:val="2"/>
      <w:sz w:val="20"/>
      <w:szCs w:val="20"/>
      <w14:ligatures w14:val="standardContextual"/>
    </w:rPr>
  </w:style>
  <w:style w:type="character" w:customStyle="1" w:styleId="Heading3Char0">
    <w:name w:val="Heading_3 Char"/>
    <w:basedOn w:val="DefaultParagraphFont"/>
    <w:link w:val="Heading30"/>
    <w:rsid w:val="00A24B35"/>
    <w:rPr>
      <w:rFonts w:eastAsia="MS PGothic" w:cs="Arial"/>
      <w:b/>
      <w:color w:val="242828"/>
      <w:kern w:val="2"/>
      <w14:ligatures w14:val="standardContextual"/>
    </w:rPr>
  </w:style>
  <w:style w:type="paragraph" w:customStyle="1" w:styleId="Heading40">
    <w:name w:val="Heading_4"/>
    <w:basedOn w:val="Normal"/>
    <w:link w:val="Heading4Char0"/>
    <w:qFormat/>
    <w:rsid w:val="00A24B35"/>
    <w:pPr>
      <w:numPr>
        <w:ilvl w:val="3"/>
        <w:numId w:val="32"/>
      </w:numPr>
    </w:pPr>
    <w:rPr>
      <w:rFonts w:ascii="Arial" w:eastAsia="Arial" w:hAnsi="Arial" w:cs="Arial"/>
      <w:i/>
      <w:iCs/>
      <w:color w:val="auto"/>
      <w:sz w:val="20"/>
      <w:szCs w:val="20"/>
    </w:rPr>
  </w:style>
  <w:style w:type="character" w:customStyle="1" w:styleId="Heading4Char0">
    <w:name w:val="Heading_4 Char"/>
    <w:basedOn w:val="DefaultParagraphFont"/>
    <w:link w:val="Heading40"/>
    <w:rsid w:val="00A24B35"/>
    <w:rPr>
      <w:rFonts w:eastAsia="Arial" w:cs="Arial"/>
      <w:i/>
      <w:iCs/>
      <w:color w:val="auto"/>
    </w:rPr>
  </w:style>
  <w:style w:type="paragraph" w:customStyle="1" w:styleId="Code">
    <w:name w:val="Code"/>
    <w:link w:val="CodeCar"/>
    <w:rsid w:val="00A24B35"/>
    <w:pPr>
      <w:pBdr>
        <w:top w:val="outset" w:sz="6" w:space="8" w:color="auto"/>
        <w:left w:val="outset" w:sz="6" w:space="15" w:color="auto"/>
        <w:bottom w:val="inset" w:sz="6" w:space="8" w:color="auto"/>
        <w:right w:val="inset" w:sz="6" w:space="0" w:color="auto"/>
      </w:pBdr>
      <w:shd w:val="clear" w:color="auto" w:fill="F2F2F2" w:themeFill="background1" w:themeFillShade="F2"/>
      <w:spacing w:after="0" w:line="288" w:lineRule="auto"/>
      <w:jc w:val="left"/>
      <w:textAlignment w:val="baseline"/>
    </w:pPr>
    <w:rPr>
      <w:rFonts w:ascii="Consolas" w:eastAsia="Times New Roman" w:hAnsi="Consolas" w:cs="Times New Roman"/>
      <w:color w:val="auto"/>
      <w:bdr w:val="none" w:sz="0" w:space="0" w:color="auto" w:frame="1"/>
      <w:lang w:val="en-US" w:eastAsia="fr-FR"/>
    </w:rPr>
  </w:style>
  <w:style w:type="character" w:customStyle="1" w:styleId="CodeCar">
    <w:name w:val="Code Car"/>
    <w:basedOn w:val="DefaultParagraphFont"/>
    <w:link w:val="Code"/>
    <w:rsid w:val="00A24B35"/>
    <w:rPr>
      <w:rFonts w:ascii="Consolas" w:eastAsia="Times New Roman" w:hAnsi="Consolas" w:cs="Times New Roman"/>
      <w:color w:val="auto"/>
      <w:bdr w:val="none" w:sz="0" w:space="0" w:color="auto" w:frame="1"/>
      <w:shd w:val="clear" w:color="auto" w:fill="F2F2F2" w:themeFill="background1" w:themeFillShade="F2"/>
      <w:lang w:val="en-US" w:eastAsia="fr-FR"/>
    </w:rPr>
  </w:style>
  <w:style w:type="paragraph" w:customStyle="1" w:styleId="GHBodytext">
    <w:name w:val="GH_Bodytext"/>
    <w:basedOn w:val="Normal"/>
    <w:qFormat/>
    <w:rsid w:val="00A24B35"/>
    <w:pPr>
      <w:spacing w:after="60" w:line="257" w:lineRule="auto"/>
    </w:pPr>
    <w:rPr>
      <w:rFonts w:ascii="Aptos Light" w:eastAsia="Arial" w:hAnsi="Aptos Light" w:cs="Arial"/>
      <w:bCs/>
      <w:color w:val="242828"/>
      <w:sz w:val="20"/>
      <w:szCs w:val="22"/>
      <w:lang w:val="en-US" w:eastAsia="en-GB"/>
    </w:rPr>
  </w:style>
  <w:style w:type="table" w:customStyle="1" w:styleId="Mytable">
    <w:name w:val="My_table"/>
    <w:basedOn w:val="TableSimple2"/>
    <w:uiPriority w:val="99"/>
    <w:rsid w:val="00A24B35"/>
    <w:pPr>
      <w:spacing w:before="0" w:after="0" w:line="240" w:lineRule="auto"/>
    </w:pPr>
    <w:rPr>
      <w:rFonts w:eastAsiaTheme="minorHAnsi" w:cstheme="minorBidi"/>
      <w:color w:val="242828" w:themeColor="text1"/>
      <w:sz w:val="20"/>
      <w:szCs w:val="20"/>
      <w:lang w:bidi="he-IL"/>
    </w:rPr>
    <w:tblPr/>
    <w:tcPr>
      <w:tcBorders>
        <w:top w:val="single" w:sz="6" w:space="0" w:color="000000"/>
        <w:left w:val="single" w:sz="6" w:space="0" w:color="000000"/>
      </w:tcBorders>
    </w:tcPr>
    <w:tblStylePr w:type="firstRow">
      <w:rPr>
        <w:rFonts w:ascii="Times New Roman Bold" w:hAnsi="Times New Roman Bold"/>
        <w:b w:val="0"/>
        <w:bCs/>
        <w:i/>
        <w:sz w:val="16"/>
      </w:rPr>
      <w:tblPr/>
      <w:tcPr>
        <w:tcBorders>
          <w:top w:val="nil"/>
          <w:left w:val="nil"/>
          <w:bottom w:val="single" w:sz="4" w:space="0" w:color="8C9797" w:themeColor="text1" w:themeTint="80"/>
          <w:right w:val="nil"/>
          <w:insideH w:val="nil"/>
          <w:insideV w:val="nil"/>
          <w:tl2br w:val="none" w:sz="0" w:space="0" w:color="auto"/>
          <w:tr2bl w:val="none" w:sz="0" w:space="0" w:color="auto"/>
        </w:tcBorders>
      </w:tcPr>
    </w:tblStylePr>
    <w:tblStylePr w:type="lastRow">
      <w:rPr>
        <w:rFonts w:ascii="Times New Roman Bold" w:hAnsi="Times New Roman Bold"/>
        <w:b w:val="0"/>
        <w:bCs/>
        <w:i/>
        <w:color w:val="auto"/>
        <w:sz w:val="16"/>
      </w:rPr>
    </w:tblStylePr>
    <w:tblStylePr w:type="firstCol">
      <w:rPr>
        <w:rFonts w:ascii="Times New Roman Bold" w:hAnsi="Times New Roman Bold"/>
        <w:b/>
        <w:bCs/>
        <w:i w:val="0"/>
        <w:sz w:val="16"/>
      </w:rPr>
    </w:tblStylePr>
    <w:tblStylePr w:type="lastCol">
      <w:rPr>
        <w:rFonts w:ascii="Times New Roman Bold" w:hAnsi="Times New Roman Bold"/>
        <w:b w:val="0"/>
        <w:bCs/>
        <w:i/>
        <w:sz w:val="16"/>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RicardoTable1">
    <w:name w:val="Ricardo Table1"/>
    <w:basedOn w:val="TableNormal"/>
    <w:uiPriority w:val="99"/>
    <w:unhideWhenUsed/>
    <w:rsid w:val="00A24B35"/>
    <w:pPr>
      <w:spacing w:before="60" w:after="60"/>
    </w:pPr>
    <w:rPr>
      <w:rFonts w:eastAsia="MS PGothic"/>
      <w:color w:val="242828"/>
      <w:lang w:eastAsia="en-GB"/>
    </w:rPr>
    <w:tblPr/>
    <w:tcPr>
      <w:shd w:val="clear" w:color="auto" w:fill="1A4596"/>
      <w:vAlign w:val="center"/>
    </w:tcPr>
    <w:tblStylePr w:type="firstRow">
      <w:pPr>
        <w:keepNext/>
        <w:wordWrap/>
        <w:jc w:val="left"/>
      </w:pPr>
      <w:rPr>
        <w:rFonts w:ascii="Arial" w:hAnsi="Arial"/>
        <w:b/>
        <w:color w:val="FFFFFF"/>
        <w:sz w:val="20"/>
      </w:rPr>
    </w:tblStylePr>
  </w:style>
  <w:style w:type="character" w:customStyle="1" w:styleId="fontstyle01">
    <w:name w:val="fontstyle01"/>
    <w:basedOn w:val="DefaultParagraphFont"/>
    <w:rsid w:val="00A24B35"/>
    <w:rPr>
      <w:rFonts w:ascii="TimesNewRomanPSMT" w:hAnsi="TimesNewRomanPSMT" w:hint="default"/>
      <w:b w:val="0"/>
      <w:bCs w:val="0"/>
      <w:i w:val="0"/>
      <w:iCs w:val="0"/>
      <w:color w:val="000000"/>
      <w:sz w:val="24"/>
      <w:szCs w:val="24"/>
    </w:rPr>
  </w:style>
  <w:style w:type="paragraph" w:customStyle="1" w:styleId="Tabletitle">
    <w:name w:val="Table title"/>
    <w:basedOn w:val="Normal"/>
    <w:link w:val="TabletitleChar"/>
    <w:qFormat/>
    <w:rsid w:val="00C92FA9"/>
    <w:pPr>
      <w:numPr>
        <w:numId w:val="35"/>
      </w:numPr>
      <w:ind w:left="714" w:hanging="357"/>
    </w:pPr>
    <w:rPr>
      <w:rFonts w:eastAsia="Calibri"/>
      <w:i/>
      <w:color w:val="auto"/>
      <w:sz w:val="22"/>
    </w:rPr>
  </w:style>
  <w:style w:type="character" w:customStyle="1" w:styleId="TabletitleChar">
    <w:name w:val="Table title Char"/>
    <w:basedOn w:val="DefaultParagraphFont"/>
    <w:link w:val="Tabletitle"/>
    <w:rsid w:val="00C92FA9"/>
    <w:rPr>
      <w:rFonts w:ascii="Times New Roman" w:eastAsia="Calibri" w:hAnsi="Times New Roman" w:cs="Times New Roman"/>
      <w:i/>
      <w:color w:val="auto"/>
      <w:sz w:val="22"/>
      <w:szCs w:val="24"/>
    </w:rPr>
  </w:style>
  <w:style w:type="paragraph" w:customStyle="1" w:styleId="Figuretitle">
    <w:name w:val="Figure title"/>
    <w:basedOn w:val="Tabletitle"/>
    <w:link w:val="FiguretitleChar"/>
    <w:qFormat/>
    <w:rsid w:val="00C92FA9"/>
    <w:pPr>
      <w:numPr>
        <w:numId w:val="33"/>
      </w:numPr>
      <w:ind w:left="714" w:hanging="357"/>
    </w:pPr>
  </w:style>
  <w:style w:type="character" w:customStyle="1" w:styleId="FiguretitleChar">
    <w:name w:val="Figure title Char"/>
    <w:basedOn w:val="TabletitleChar"/>
    <w:link w:val="Figuretitle"/>
    <w:rsid w:val="00C92FA9"/>
    <w:rPr>
      <w:rFonts w:ascii="Times New Roman" w:eastAsia="Calibri" w:hAnsi="Times New Roman" w:cs="Times New Roman"/>
      <w:i/>
      <w:color w:val="auto"/>
      <w:sz w:val="22"/>
      <w:szCs w:val="24"/>
    </w:rPr>
  </w:style>
  <w:style w:type="paragraph" w:customStyle="1" w:styleId="CharCharChar1">
    <w:name w:val="Char Char Char1"/>
    <w:basedOn w:val="Normal"/>
    <w:autoRedefine/>
    <w:uiPriority w:val="99"/>
    <w:locked/>
    <w:rsid w:val="00AB48A5"/>
    <w:pPr>
      <w:spacing w:after="160" w:line="240" w:lineRule="exact"/>
    </w:pPr>
    <w:rPr>
      <w:rFonts w:eastAsia="Calibri"/>
      <w:color w:val="auto"/>
      <w:vertAlign w:val="superscript"/>
    </w:rPr>
  </w:style>
  <w:style w:type="table" w:customStyle="1" w:styleId="TableAnnex">
    <w:name w:val="Table Annex"/>
    <w:basedOn w:val="TableNormal"/>
    <w:uiPriority w:val="99"/>
    <w:unhideWhenUsed/>
    <w:rsid w:val="009010D9"/>
    <w:pPr>
      <w:spacing w:before="60" w:after="60"/>
    </w:pPr>
    <w:rPr>
      <w:rFonts w:ascii="Times New Roman" w:eastAsiaTheme="minorEastAsia" w:hAnsi="Times New Roman"/>
      <w:color w:val="auto"/>
      <w:sz w:val="22"/>
      <w:lang w:eastAsia="en-GB"/>
    </w:rPr>
    <w:tblPr>
      <w:tblInd w:w="0" w:type="nil"/>
      <w:tblCellMar>
        <w:left w:w="0" w:type="dxa"/>
        <w:right w:w="0" w:type="dxa"/>
      </w:tblCellMar>
    </w:tblPr>
    <w:tblStylePr w:type="firstRow">
      <w:pPr>
        <w:keepNext/>
        <w:wordWrap/>
        <w:jc w:val="left"/>
      </w:pPr>
      <w:rPr>
        <w:rFonts w:ascii="Arial" w:hAnsi="Arial"/>
        <w:b/>
        <w:color w:val="FFFFFF" w:themeColor="background1"/>
        <w:sz w:val="20"/>
      </w:rPr>
    </w:tblStylePr>
  </w:style>
  <w:style w:type="character" w:customStyle="1" w:styleId="superscript">
    <w:name w:val="superscript"/>
    <w:basedOn w:val="DefaultParagraphFont"/>
    <w:rsid w:val="009010D9"/>
  </w:style>
  <w:style w:type="paragraph" w:customStyle="1" w:styleId="AnnexTitle">
    <w:name w:val="Annex Title"/>
    <w:basedOn w:val="Heading1"/>
    <w:next w:val="Normal"/>
    <w:link w:val="AnnexTitleChar"/>
    <w:autoRedefine/>
    <w:qFormat/>
    <w:rsid w:val="009010D9"/>
    <w:pPr>
      <w:keepLines w:val="0"/>
      <w:numPr>
        <w:numId w:val="0"/>
      </w:numPr>
      <w:pBdr>
        <w:bottom w:val="none" w:sz="0" w:space="0" w:color="auto"/>
      </w:pBdr>
      <w:spacing w:after="480"/>
      <w:jc w:val="center"/>
    </w:pPr>
    <w:rPr>
      <w:rFonts w:ascii="Times New Roman Bold" w:eastAsia="Times New Roman" w:hAnsi="Times New Roman Bold" w:cs="Times New Roman"/>
      <w:b/>
      <w:caps w:val="0"/>
      <w:color w:val="auto"/>
      <w:lang w:val="en-IE"/>
    </w:rPr>
  </w:style>
  <w:style w:type="character" w:customStyle="1" w:styleId="AnnexTitleChar">
    <w:name w:val="Annex Title Char"/>
    <w:basedOn w:val="DefaultParagraphFont"/>
    <w:link w:val="AnnexTitle"/>
    <w:rsid w:val="009010D9"/>
    <w:rPr>
      <w:rFonts w:ascii="Times New Roman Bold" w:eastAsia="Times New Roman" w:hAnsi="Times New Roman Bold" w:cs="Times New Roman"/>
      <w:b/>
      <w:color w:val="auto"/>
      <w:sz w:val="32"/>
      <w:szCs w:val="32"/>
      <w:lang w:val="en-IE"/>
    </w:rPr>
  </w:style>
  <w:style w:type="table" w:customStyle="1" w:styleId="CV11">
    <w:name w:val="CV11"/>
    <w:basedOn w:val="TableNormal"/>
    <w:next w:val="TableGrid"/>
    <w:uiPriority w:val="59"/>
    <w:rsid w:val="009010D9"/>
    <w:pPr>
      <w:spacing w:after="0" w:line="240" w:lineRule="auto"/>
      <w:jc w:val="left"/>
    </w:pPr>
    <w:rPr>
      <w:rFonts w:ascii="Times New Roman" w:eastAsia="Times New Roman" w:hAnsi="Times New Roman" w:cs="Times New Roman"/>
      <w:color w:val="auto"/>
      <w:lang w:eastAsia="en-GB"/>
    </w:rPr>
    <w:tblPr>
      <w:tblInd w:w="0" w:type="nil"/>
      <w:tblCellMar>
        <w:left w:w="0" w:type="dxa"/>
        <w:right w:w="0" w:type="dxa"/>
      </w:tblCellMar>
    </w:tblPr>
  </w:style>
  <w:style w:type="table" w:customStyle="1" w:styleId="CV12">
    <w:name w:val="CV12"/>
    <w:basedOn w:val="TableNormal"/>
    <w:next w:val="TableGrid"/>
    <w:uiPriority w:val="39"/>
    <w:rsid w:val="009010D9"/>
    <w:pPr>
      <w:spacing w:after="0" w:line="240" w:lineRule="auto"/>
      <w:jc w:val="left"/>
    </w:pPr>
    <w:rPr>
      <w:rFonts w:ascii="Times New Roman" w:eastAsia="Times New Roman" w:hAnsi="Times New Roman" w:cs="Times New Roman"/>
      <w:color w:val="auto"/>
      <w:lang w:eastAsia="en-GB"/>
    </w:rPr>
    <w:tblPr>
      <w:tblInd w:w="0" w:type="nil"/>
      <w:tblCellMar>
        <w:left w:w="0" w:type="dxa"/>
        <w:right w:w="0" w:type="dxa"/>
      </w:tblCellMar>
    </w:tblPr>
  </w:style>
  <w:style w:type="table" w:customStyle="1" w:styleId="CV13">
    <w:name w:val="CV13"/>
    <w:basedOn w:val="TableNormal"/>
    <w:next w:val="TableGrid"/>
    <w:uiPriority w:val="39"/>
    <w:rsid w:val="009010D9"/>
    <w:pPr>
      <w:spacing w:after="0" w:line="240" w:lineRule="auto"/>
      <w:jc w:val="left"/>
    </w:pPr>
    <w:rPr>
      <w:rFonts w:ascii="Times New Roman" w:eastAsia="Times New Roman" w:hAnsi="Times New Roman" w:cs="Times New Roman"/>
      <w:color w:val="auto"/>
      <w:lang w:eastAsia="en-GB"/>
    </w:rPr>
    <w:tblPr>
      <w:tblInd w:w="0" w:type="nil"/>
      <w:tblCellMar>
        <w:left w:w="0" w:type="dxa"/>
        <w:right w:w="0" w:type="dxa"/>
      </w:tblCellMar>
    </w:tblPr>
  </w:style>
  <w:style w:type="paragraph" w:customStyle="1" w:styleId="Declassification">
    <w:name w:val="Declassification"/>
    <w:basedOn w:val="Normal"/>
    <w:next w:val="Normal"/>
    <w:rsid w:val="009010D9"/>
    <w:pPr>
      <w:spacing w:after="0"/>
    </w:pPr>
    <w:rPr>
      <w:color w:val="auto"/>
      <w:lang w:val="en-IE"/>
    </w:rPr>
  </w:style>
  <w:style w:type="paragraph" w:customStyle="1" w:styleId="FooterCoverPage">
    <w:name w:val="Footer Cover Page"/>
    <w:basedOn w:val="Normal"/>
    <w:link w:val="FooterCoverPageChar"/>
    <w:rsid w:val="009010D9"/>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010D9"/>
    <w:rPr>
      <w:rFonts w:ascii="Times New Roman" w:hAnsi="Times New Roman" w:cs="Times New Roman"/>
      <w:sz w:val="24"/>
      <w:szCs w:val="24"/>
    </w:rPr>
  </w:style>
  <w:style w:type="paragraph" w:customStyle="1" w:styleId="FooterSensitivity">
    <w:name w:val="Footer Sensitivity"/>
    <w:basedOn w:val="Normal"/>
    <w:rsid w:val="009010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FooterLandscape">
    <w:name w:val="FooterLandscape"/>
    <w:basedOn w:val="Normal"/>
    <w:rsid w:val="009010D9"/>
    <w:pPr>
      <w:tabs>
        <w:tab w:val="center" w:pos="7285"/>
        <w:tab w:val="center" w:pos="10913"/>
        <w:tab w:val="right" w:pos="15137"/>
      </w:tabs>
      <w:spacing w:before="360" w:after="0"/>
      <w:ind w:left="-567" w:right="-567"/>
    </w:pPr>
    <w:rPr>
      <w:color w:val="auto"/>
      <w:lang w:val="en-IE"/>
    </w:rPr>
  </w:style>
  <w:style w:type="paragraph" w:customStyle="1" w:styleId="HeaderCoverPage">
    <w:name w:val="Header Cover Page"/>
    <w:basedOn w:val="Normal"/>
    <w:link w:val="HeaderCoverPageChar"/>
    <w:rsid w:val="009010D9"/>
    <w:pPr>
      <w:tabs>
        <w:tab w:val="center" w:pos="4535"/>
        <w:tab w:val="right" w:pos="9071"/>
      </w:tabs>
      <w:spacing w:before="0"/>
    </w:pPr>
  </w:style>
  <w:style w:type="character" w:customStyle="1" w:styleId="HeaderCoverPageChar">
    <w:name w:val="Header Cover Page Char"/>
    <w:basedOn w:val="DefaultParagraphFont"/>
    <w:link w:val="HeaderCoverPage"/>
    <w:rsid w:val="009010D9"/>
    <w:rPr>
      <w:rFonts w:ascii="Times New Roman" w:hAnsi="Times New Roman" w:cs="Times New Roman"/>
      <w:sz w:val="24"/>
      <w:szCs w:val="24"/>
    </w:rPr>
  </w:style>
  <w:style w:type="paragraph" w:customStyle="1" w:styleId="HeaderSensitivity">
    <w:name w:val="Header Sensitivity"/>
    <w:basedOn w:val="Normal"/>
    <w:rsid w:val="009010D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link w:val="HeaderSensitivityRightChar"/>
    <w:rsid w:val="009010D9"/>
    <w:pPr>
      <w:spacing w:before="0"/>
      <w:jc w:val="right"/>
    </w:pPr>
    <w:rPr>
      <w:sz w:val="28"/>
    </w:rPr>
  </w:style>
  <w:style w:type="character" w:customStyle="1" w:styleId="HeaderSensitivityRightChar">
    <w:name w:val="Header Sensitivity Right Char"/>
    <w:basedOn w:val="DefaultParagraphFont"/>
    <w:link w:val="HeaderSensitivityRight"/>
    <w:rsid w:val="009010D9"/>
    <w:rPr>
      <w:rFonts w:ascii="Times New Roman" w:hAnsi="Times New Roman" w:cs="Times New Roman"/>
      <w:sz w:val="28"/>
      <w:szCs w:val="24"/>
    </w:rPr>
  </w:style>
  <w:style w:type="paragraph" w:customStyle="1" w:styleId="HeaderLandscape">
    <w:name w:val="HeaderLandscape"/>
    <w:basedOn w:val="Normal"/>
    <w:rsid w:val="009010D9"/>
    <w:pPr>
      <w:tabs>
        <w:tab w:val="center" w:pos="7285"/>
        <w:tab w:val="right" w:pos="14003"/>
      </w:tabs>
    </w:pPr>
    <w:rPr>
      <w:color w:val="auto"/>
      <w:lang w:val="en-IE"/>
    </w:rPr>
  </w:style>
  <w:style w:type="paragraph" w:customStyle="1" w:styleId="Text1">
    <w:name w:val="Text 1"/>
    <w:basedOn w:val="Normal"/>
    <w:rsid w:val="009010D9"/>
    <w:pPr>
      <w:spacing w:after="240"/>
      <w:ind w:left="482"/>
    </w:pPr>
    <w:rPr>
      <w:rFonts w:eastAsia="Times New Roman"/>
      <w:color w:val="auto"/>
      <w:lang w:val="en-IE"/>
    </w:rPr>
  </w:style>
  <w:style w:type="paragraph" w:customStyle="1" w:styleId="ListDash1">
    <w:name w:val="List Dash 1"/>
    <w:basedOn w:val="Text1"/>
    <w:rsid w:val="009010D9"/>
    <w:pPr>
      <w:numPr>
        <w:numId w:val="39"/>
      </w:numPr>
      <w:tabs>
        <w:tab w:val="num" w:pos="360"/>
      </w:tabs>
      <w:ind w:left="482" w:firstLine="0"/>
    </w:pPr>
  </w:style>
  <w:style w:type="character" w:customStyle="1" w:styleId="Marker">
    <w:name w:val="Marker"/>
    <w:basedOn w:val="DefaultParagraphFont"/>
    <w:rsid w:val="009010D9"/>
    <w:rPr>
      <w:color w:val="0000FF"/>
      <w:shd w:val="clear" w:color="auto" w:fill="auto"/>
    </w:rPr>
  </w:style>
  <w:style w:type="paragraph" w:customStyle="1" w:styleId="Pagedecouverture">
    <w:name w:val="Page de couverture"/>
    <w:basedOn w:val="Normal"/>
    <w:next w:val="Normal"/>
    <w:rsid w:val="009010D9"/>
    <w:pPr>
      <w:spacing w:after="0"/>
    </w:pPr>
    <w:rPr>
      <w:color w:val="auto"/>
      <w:lang w:val="en-IE"/>
    </w:rPr>
  </w:style>
  <w:style w:type="paragraph" w:customStyle="1" w:styleId="Text2">
    <w:name w:val="Text 2"/>
    <w:basedOn w:val="Normal"/>
    <w:rsid w:val="009010D9"/>
    <w:pPr>
      <w:tabs>
        <w:tab w:val="left" w:pos="2302"/>
      </w:tabs>
      <w:spacing w:after="240"/>
      <w:ind w:left="1202"/>
    </w:pPr>
    <w:rPr>
      <w:rFonts w:eastAsia="Times New Roman"/>
      <w:color w:val="auto"/>
      <w:lang w:val="en-IE"/>
    </w:rPr>
  </w:style>
  <w:style w:type="table" w:customStyle="1" w:styleId="TableAnnex1">
    <w:name w:val="Table Annex1"/>
    <w:basedOn w:val="TableNormal"/>
    <w:uiPriority w:val="99"/>
    <w:rsid w:val="009010D9"/>
    <w:pPr>
      <w:spacing w:before="60" w:after="60" w:line="256" w:lineRule="auto"/>
    </w:pPr>
    <w:rPr>
      <w:rFonts w:ascii="Times New Roman" w:eastAsia="MS PGothic" w:hAnsi="Times New Roman" w:cs="Arial"/>
      <w:sz w:val="22"/>
      <w:lang w:eastAsia="en-GB"/>
    </w:rPr>
    <w:tblPr>
      <w:tblInd w:w="0" w:type="nil"/>
      <w:tblCellMar>
        <w:left w:w="0" w:type="dxa"/>
        <w:right w:w="0" w:type="dxa"/>
      </w:tblCellMar>
    </w:tblPr>
    <w:tblStylePr w:type="firstRow">
      <w:pPr>
        <w:wordWrap/>
        <w:jc w:val="left"/>
      </w:pPr>
      <w:rPr>
        <w:rFonts w:ascii="Arial" w:hAnsi="Arial" w:cs="Arial" w:hint="default"/>
        <w:b/>
        <w:color w:val="FFFFFF" w:themeColor="background1"/>
        <w:sz w:val="20"/>
        <w:szCs w:val="20"/>
      </w:rPr>
    </w:tblStylePr>
  </w:style>
  <w:style w:type="table" w:customStyle="1" w:styleId="ListTable3-Accent12">
    <w:name w:val="List Table 3 - Accent 12"/>
    <w:basedOn w:val="TableNormal"/>
    <w:next w:val="ListTable3-Accent1"/>
    <w:uiPriority w:val="48"/>
    <w:rsid w:val="009010D9"/>
    <w:pPr>
      <w:spacing w:after="0" w:line="240" w:lineRule="auto"/>
      <w:jc w:val="left"/>
    </w:pPr>
    <w:rPr>
      <w:rFonts w:ascii="Aptos" w:hAnsi="Aptos"/>
      <w:color w:val="auto"/>
      <w:kern w:val="2"/>
      <w:sz w:val="22"/>
      <w:szCs w:val="22"/>
      <w14:ligatures w14:val="standardContextual"/>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character" w:customStyle="1" w:styleId="UnresolvedMention10">
    <w:name w:val="Unresolved Mention1"/>
    <w:basedOn w:val="DefaultParagraphFont"/>
    <w:uiPriority w:val="99"/>
    <w:semiHidden/>
    <w:unhideWhenUsed/>
    <w:rsid w:val="00361315"/>
    <w:rPr>
      <w:color w:val="605E5C"/>
      <w:shd w:val="clear" w:color="auto" w:fill="E1DFDD"/>
    </w:rPr>
  </w:style>
  <w:style w:type="character" w:customStyle="1" w:styleId="Mention10">
    <w:name w:val="Mention1"/>
    <w:basedOn w:val="DefaultParagraphFont"/>
    <w:uiPriority w:val="99"/>
    <w:unhideWhenUsed/>
    <w:rsid w:val="00361315"/>
    <w:rPr>
      <w:color w:val="2B579A"/>
      <w:shd w:val="clear" w:color="auto" w:fill="E1DFDD"/>
    </w:rPr>
  </w:style>
  <w:style w:type="character" w:customStyle="1" w:styleId="Hashtag10">
    <w:name w:val="Hashtag1"/>
    <w:basedOn w:val="DefaultParagraphFont"/>
    <w:uiPriority w:val="99"/>
    <w:semiHidden/>
    <w:unhideWhenUsed/>
    <w:rsid w:val="00361315"/>
    <w:rPr>
      <w:rFonts w:ascii="Arial" w:hAnsi="Arial" w:cs="Arial"/>
      <w:color w:val="2B579A"/>
      <w:shd w:val="clear" w:color="auto" w:fill="E6E6E6"/>
    </w:rPr>
  </w:style>
  <w:style w:type="character" w:customStyle="1" w:styleId="SmartHyperlink10">
    <w:name w:val="Smart Hyperlink1"/>
    <w:basedOn w:val="DefaultParagraphFont"/>
    <w:uiPriority w:val="99"/>
    <w:semiHidden/>
    <w:unhideWhenUsed/>
    <w:rsid w:val="00361315"/>
    <w:rPr>
      <w:rFonts w:ascii="Arial" w:hAnsi="Arial" w:cs="Arial"/>
      <w:u w:val="dot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852">
      <w:bodyDiv w:val="1"/>
      <w:marLeft w:val="0"/>
      <w:marRight w:val="0"/>
      <w:marTop w:val="0"/>
      <w:marBottom w:val="0"/>
      <w:divBdr>
        <w:top w:val="none" w:sz="0" w:space="0" w:color="auto"/>
        <w:left w:val="none" w:sz="0" w:space="0" w:color="auto"/>
        <w:bottom w:val="none" w:sz="0" w:space="0" w:color="auto"/>
        <w:right w:val="none" w:sz="0" w:space="0" w:color="auto"/>
      </w:divBdr>
    </w:div>
    <w:div w:id="11225238">
      <w:bodyDiv w:val="1"/>
      <w:marLeft w:val="0"/>
      <w:marRight w:val="0"/>
      <w:marTop w:val="0"/>
      <w:marBottom w:val="0"/>
      <w:divBdr>
        <w:top w:val="none" w:sz="0" w:space="0" w:color="auto"/>
        <w:left w:val="none" w:sz="0" w:space="0" w:color="auto"/>
        <w:bottom w:val="none" w:sz="0" w:space="0" w:color="auto"/>
        <w:right w:val="none" w:sz="0" w:space="0" w:color="auto"/>
      </w:divBdr>
    </w:div>
    <w:div w:id="16545929">
      <w:bodyDiv w:val="1"/>
      <w:marLeft w:val="0"/>
      <w:marRight w:val="0"/>
      <w:marTop w:val="0"/>
      <w:marBottom w:val="0"/>
      <w:divBdr>
        <w:top w:val="none" w:sz="0" w:space="0" w:color="auto"/>
        <w:left w:val="none" w:sz="0" w:space="0" w:color="auto"/>
        <w:bottom w:val="none" w:sz="0" w:space="0" w:color="auto"/>
        <w:right w:val="none" w:sz="0" w:space="0" w:color="auto"/>
      </w:divBdr>
      <w:divsChild>
        <w:div w:id="756439440">
          <w:marLeft w:val="274"/>
          <w:marRight w:val="0"/>
          <w:marTop w:val="0"/>
          <w:marBottom w:val="0"/>
          <w:divBdr>
            <w:top w:val="none" w:sz="0" w:space="0" w:color="auto"/>
            <w:left w:val="none" w:sz="0" w:space="0" w:color="auto"/>
            <w:bottom w:val="none" w:sz="0" w:space="0" w:color="auto"/>
            <w:right w:val="none" w:sz="0" w:space="0" w:color="auto"/>
          </w:divBdr>
        </w:div>
        <w:div w:id="1215970024">
          <w:marLeft w:val="274"/>
          <w:marRight w:val="0"/>
          <w:marTop w:val="0"/>
          <w:marBottom w:val="0"/>
          <w:divBdr>
            <w:top w:val="none" w:sz="0" w:space="0" w:color="auto"/>
            <w:left w:val="none" w:sz="0" w:space="0" w:color="auto"/>
            <w:bottom w:val="none" w:sz="0" w:space="0" w:color="auto"/>
            <w:right w:val="none" w:sz="0" w:space="0" w:color="auto"/>
          </w:divBdr>
        </w:div>
        <w:div w:id="1673214500">
          <w:marLeft w:val="274"/>
          <w:marRight w:val="0"/>
          <w:marTop w:val="0"/>
          <w:marBottom w:val="0"/>
          <w:divBdr>
            <w:top w:val="none" w:sz="0" w:space="0" w:color="auto"/>
            <w:left w:val="none" w:sz="0" w:space="0" w:color="auto"/>
            <w:bottom w:val="none" w:sz="0" w:space="0" w:color="auto"/>
            <w:right w:val="none" w:sz="0" w:space="0" w:color="auto"/>
          </w:divBdr>
        </w:div>
        <w:div w:id="1841895079">
          <w:marLeft w:val="274"/>
          <w:marRight w:val="0"/>
          <w:marTop w:val="0"/>
          <w:marBottom w:val="0"/>
          <w:divBdr>
            <w:top w:val="none" w:sz="0" w:space="0" w:color="auto"/>
            <w:left w:val="none" w:sz="0" w:space="0" w:color="auto"/>
            <w:bottom w:val="none" w:sz="0" w:space="0" w:color="auto"/>
            <w:right w:val="none" w:sz="0" w:space="0" w:color="auto"/>
          </w:divBdr>
        </w:div>
        <w:div w:id="1995988493">
          <w:marLeft w:val="274"/>
          <w:marRight w:val="0"/>
          <w:marTop w:val="0"/>
          <w:marBottom w:val="0"/>
          <w:divBdr>
            <w:top w:val="none" w:sz="0" w:space="0" w:color="auto"/>
            <w:left w:val="none" w:sz="0" w:space="0" w:color="auto"/>
            <w:bottom w:val="none" w:sz="0" w:space="0" w:color="auto"/>
            <w:right w:val="none" w:sz="0" w:space="0" w:color="auto"/>
          </w:divBdr>
        </w:div>
      </w:divsChild>
    </w:div>
    <w:div w:id="34472949">
      <w:bodyDiv w:val="1"/>
      <w:marLeft w:val="0"/>
      <w:marRight w:val="0"/>
      <w:marTop w:val="0"/>
      <w:marBottom w:val="0"/>
      <w:divBdr>
        <w:top w:val="none" w:sz="0" w:space="0" w:color="auto"/>
        <w:left w:val="none" w:sz="0" w:space="0" w:color="auto"/>
        <w:bottom w:val="none" w:sz="0" w:space="0" w:color="auto"/>
        <w:right w:val="none" w:sz="0" w:space="0" w:color="auto"/>
      </w:divBdr>
    </w:div>
    <w:div w:id="47808071">
      <w:bodyDiv w:val="1"/>
      <w:marLeft w:val="0"/>
      <w:marRight w:val="0"/>
      <w:marTop w:val="0"/>
      <w:marBottom w:val="0"/>
      <w:divBdr>
        <w:top w:val="none" w:sz="0" w:space="0" w:color="auto"/>
        <w:left w:val="none" w:sz="0" w:space="0" w:color="auto"/>
        <w:bottom w:val="none" w:sz="0" w:space="0" w:color="auto"/>
        <w:right w:val="none" w:sz="0" w:space="0" w:color="auto"/>
      </w:divBdr>
    </w:div>
    <w:div w:id="49158664">
      <w:bodyDiv w:val="1"/>
      <w:marLeft w:val="0"/>
      <w:marRight w:val="0"/>
      <w:marTop w:val="0"/>
      <w:marBottom w:val="0"/>
      <w:divBdr>
        <w:top w:val="none" w:sz="0" w:space="0" w:color="auto"/>
        <w:left w:val="none" w:sz="0" w:space="0" w:color="auto"/>
        <w:bottom w:val="none" w:sz="0" w:space="0" w:color="auto"/>
        <w:right w:val="none" w:sz="0" w:space="0" w:color="auto"/>
      </w:divBdr>
    </w:div>
    <w:div w:id="50008043">
      <w:bodyDiv w:val="1"/>
      <w:marLeft w:val="0"/>
      <w:marRight w:val="0"/>
      <w:marTop w:val="0"/>
      <w:marBottom w:val="0"/>
      <w:divBdr>
        <w:top w:val="none" w:sz="0" w:space="0" w:color="auto"/>
        <w:left w:val="none" w:sz="0" w:space="0" w:color="auto"/>
        <w:bottom w:val="none" w:sz="0" w:space="0" w:color="auto"/>
        <w:right w:val="none" w:sz="0" w:space="0" w:color="auto"/>
      </w:divBdr>
    </w:div>
    <w:div w:id="55127638">
      <w:bodyDiv w:val="1"/>
      <w:marLeft w:val="0"/>
      <w:marRight w:val="0"/>
      <w:marTop w:val="0"/>
      <w:marBottom w:val="0"/>
      <w:divBdr>
        <w:top w:val="none" w:sz="0" w:space="0" w:color="auto"/>
        <w:left w:val="none" w:sz="0" w:space="0" w:color="auto"/>
        <w:bottom w:val="none" w:sz="0" w:space="0" w:color="auto"/>
        <w:right w:val="none" w:sz="0" w:space="0" w:color="auto"/>
      </w:divBdr>
    </w:div>
    <w:div w:id="56558773">
      <w:bodyDiv w:val="1"/>
      <w:marLeft w:val="0"/>
      <w:marRight w:val="0"/>
      <w:marTop w:val="0"/>
      <w:marBottom w:val="0"/>
      <w:divBdr>
        <w:top w:val="none" w:sz="0" w:space="0" w:color="auto"/>
        <w:left w:val="none" w:sz="0" w:space="0" w:color="auto"/>
        <w:bottom w:val="none" w:sz="0" w:space="0" w:color="auto"/>
        <w:right w:val="none" w:sz="0" w:space="0" w:color="auto"/>
      </w:divBdr>
    </w:div>
    <w:div w:id="60951394">
      <w:bodyDiv w:val="1"/>
      <w:marLeft w:val="0"/>
      <w:marRight w:val="0"/>
      <w:marTop w:val="0"/>
      <w:marBottom w:val="0"/>
      <w:divBdr>
        <w:top w:val="none" w:sz="0" w:space="0" w:color="auto"/>
        <w:left w:val="none" w:sz="0" w:space="0" w:color="auto"/>
        <w:bottom w:val="none" w:sz="0" w:space="0" w:color="auto"/>
        <w:right w:val="none" w:sz="0" w:space="0" w:color="auto"/>
      </w:divBdr>
    </w:div>
    <w:div w:id="66075797">
      <w:bodyDiv w:val="1"/>
      <w:marLeft w:val="0"/>
      <w:marRight w:val="0"/>
      <w:marTop w:val="0"/>
      <w:marBottom w:val="0"/>
      <w:divBdr>
        <w:top w:val="none" w:sz="0" w:space="0" w:color="auto"/>
        <w:left w:val="none" w:sz="0" w:space="0" w:color="auto"/>
        <w:bottom w:val="none" w:sz="0" w:space="0" w:color="auto"/>
        <w:right w:val="none" w:sz="0" w:space="0" w:color="auto"/>
      </w:divBdr>
    </w:div>
    <w:div w:id="67924395">
      <w:bodyDiv w:val="1"/>
      <w:marLeft w:val="0"/>
      <w:marRight w:val="0"/>
      <w:marTop w:val="0"/>
      <w:marBottom w:val="0"/>
      <w:divBdr>
        <w:top w:val="none" w:sz="0" w:space="0" w:color="auto"/>
        <w:left w:val="none" w:sz="0" w:space="0" w:color="auto"/>
        <w:bottom w:val="none" w:sz="0" w:space="0" w:color="auto"/>
        <w:right w:val="none" w:sz="0" w:space="0" w:color="auto"/>
      </w:divBdr>
    </w:div>
    <w:div w:id="90517736">
      <w:bodyDiv w:val="1"/>
      <w:marLeft w:val="0"/>
      <w:marRight w:val="0"/>
      <w:marTop w:val="0"/>
      <w:marBottom w:val="0"/>
      <w:divBdr>
        <w:top w:val="none" w:sz="0" w:space="0" w:color="auto"/>
        <w:left w:val="none" w:sz="0" w:space="0" w:color="auto"/>
        <w:bottom w:val="none" w:sz="0" w:space="0" w:color="auto"/>
        <w:right w:val="none" w:sz="0" w:space="0" w:color="auto"/>
      </w:divBdr>
    </w:div>
    <w:div w:id="93331345">
      <w:bodyDiv w:val="1"/>
      <w:marLeft w:val="0"/>
      <w:marRight w:val="0"/>
      <w:marTop w:val="0"/>
      <w:marBottom w:val="0"/>
      <w:divBdr>
        <w:top w:val="none" w:sz="0" w:space="0" w:color="auto"/>
        <w:left w:val="none" w:sz="0" w:space="0" w:color="auto"/>
        <w:bottom w:val="none" w:sz="0" w:space="0" w:color="auto"/>
        <w:right w:val="none" w:sz="0" w:space="0" w:color="auto"/>
      </w:divBdr>
    </w:div>
    <w:div w:id="98986667">
      <w:bodyDiv w:val="1"/>
      <w:marLeft w:val="0"/>
      <w:marRight w:val="0"/>
      <w:marTop w:val="0"/>
      <w:marBottom w:val="0"/>
      <w:divBdr>
        <w:top w:val="none" w:sz="0" w:space="0" w:color="auto"/>
        <w:left w:val="none" w:sz="0" w:space="0" w:color="auto"/>
        <w:bottom w:val="none" w:sz="0" w:space="0" w:color="auto"/>
        <w:right w:val="none" w:sz="0" w:space="0" w:color="auto"/>
      </w:divBdr>
    </w:div>
    <w:div w:id="117602277">
      <w:bodyDiv w:val="1"/>
      <w:marLeft w:val="0"/>
      <w:marRight w:val="0"/>
      <w:marTop w:val="0"/>
      <w:marBottom w:val="0"/>
      <w:divBdr>
        <w:top w:val="none" w:sz="0" w:space="0" w:color="auto"/>
        <w:left w:val="none" w:sz="0" w:space="0" w:color="auto"/>
        <w:bottom w:val="none" w:sz="0" w:space="0" w:color="auto"/>
        <w:right w:val="none" w:sz="0" w:space="0" w:color="auto"/>
      </w:divBdr>
    </w:div>
    <w:div w:id="119149462">
      <w:bodyDiv w:val="1"/>
      <w:marLeft w:val="0"/>
      <w:marRight w:val="0"/>
      <w:marTop w:val="0"/>
      <w:marBottom w:val="0"/>
      <w:divBdr>
        <w:top w:val="none" w:sz="0" w:space="0" w:color="auto"/>
        <w:left w:val="none" w:sz="0" w:space="0" w:color="auto"/>
        <w:bottom w:val="none" w:sz="0" w:space="0" w:color="auto"/>
        <w:right w:val="none" w:sz="0" w:space="0" w:color="auto"/>
      </w:divBdr>
    </w:div>
    <w:div w:id="129248677">
      <w:bodyDiv w:val="1"/>
      <w:marLeft w:val="0"/>
      <w:marRight w:val="0"/>
      <w:marTop w:val="0"/>
      <w:marBottom w:val="0"/>
      <w:divBdr>
        <w:top w:val="none" w:sz="0" w:space="0" w:color="auto"/>
        <w:left w:val="none" w:sz="0" w:space="0" w:color="auto"/>
        <w:bottom w:val="none" w:sz="0" w:space="0" w:color="auto"/>
        <w:right w:val="none" w:sz="0" w:space="0" w:color="auto"/>
      </w:divBdr>
    </w:div>
    <w:div w:id="133643244">
      <w:bodyDiv w:val="1"/>
      <w:marLeft w:val="0"/>
      <w:marRight w:val="0"/>
      <w:marTop w:val="0"/>
      <w:marBottom w:val="0"/>
      <w:divBdr>
        <w:top w:val="none" w:sz="0" w:space="0" w:color="auto"/>
        <w:left w:val="none" w:sz="0" w:space="0" w:color="auto"/>
        <w:bottom w:val="none" w:sz="0" w:space="0" w:color="auto"/>
        <w:right w:val="none" w:sz="0" w:space="0" w:color="auto"/>
      </w:divBdr>
    </w:div>
    <w:div w:id="145830368">
      <w:bodyDiv w:val="1"/>
      <w:marLeft w:val="0"/>
      <w:marRight w:val="0"/>
      <w:marTop w:val="0"/>
      <w:marBottom w:val="0"/>
      <w:divBdr>
        <w:top w:val="none" w:sz="0" w:space="0" w:color="auto"/>
        <w:left w:val="none" w:sz="0" w:space="0" w:color="auto"/>
        <w:bottom w:val="none" w:sz="0" w:space="0" w:color="auto"/>
        <w:right w:val="none" w:sz="0" w:space="0" w:color="auto"/>
      </w:divBdr>
    </w:div>
    <w:div w:id="150220207">
      <w:bodyDiv w:val="1"/>
      <w:marLeft w:val="0"/>
      <w:marRight w:val="0"/>
      <w:marTop w:val="0"/>
      <w:marBottom w:val="0"/>
      <w:divBdr>
        <w:top w:val="none" w:sz="0" w:space="0" w:color="auto"/>
        <w:left w:val="none" w:sz="0" w:space="0" w:color="auto"/>
        <w:bottom w:val="none" w:sz="0" w:space="0" w:color="auto"/>
        <w:right w:val="none" w:sz="0" w:space="0" w:color="auto"/>
      </w:divBdr>
    </w:div>
    <w:div w:id="194199995">
      <w:bodyDiv w:val="1"/>
      <w:marLeft w:val="0"/>
      <w:marRight w:val="0"/>
      <w:marTop w:val="0"/>
      <w:marBottom w:val="0"/>
      <w:divBdr>
        <w:top w:val="none" w:sz="0" w:space="0" w:color="auto"/>
        <w:left w:val="none" w:sz="0" w:space="0" w:color="auto"/>
        <w:bottom w:val="none" w:sz="0" w:space="0" w:color="auto"/>
        <w:right w:val="none" w:sz="0" w:space="0" w:color="auto"/>
      </w:divBdr>
    </w:div>
    <w:div w:id="195848198">
      <w:bodyDiv w:val="1"/>
      <w:marLeft w:val="0"/>
      <w:marRight w:val="0"/>
      <w:marTop w:val="0"/>
      <w:marBottom w:val="0"/>
      <w:divBdr>
        <w:top w:val="none" w:sz="0" w:space="0" w:color="auto"/>
        <w:left w:val="none" w:sz="0" w:space="0" w:color="auto"/>
        <w:bottom w:val="none" w:sz="0" w:space="0" w:color="auto"/>
        <w:right w:val="none" w:sz="0" w:space="0" w:color="auto"/>
      </w:divBdr>
    </w:div>
    <w:div w:id="199129872">
      <w:bodyDiv w:val="1"/>
      <w:marLeft w:val="0"/>
      <w:marRight w:val="0"/>
      <w:marTop w:val="0"/>
      <w:marBottom w:val="0"/>
      <w:divBdr>
        <w:top w:val="none" w:sz="0" w:space="0" w:color="auto"/>
        <w:left w:val="none" w:sz="0" w:space="0" w:color="auto"/>
        <w:bottom w:val="none" w:sz="0" w:space="0" w:color="auto"/>
        <w:right w:val="none" w:sz="0" w:space="0" w:color="auto"/>
      </w:divBdr>
    </w:div>
    <w:div w:id="202524172">
      <w:bodyDiv w:val="1"/>
      <w:marLeft w:val="0"/>
      <w:marRight w:val="0"/>
      <w:marTop w:val="0"/>
      <w:marBottom w:val="0"/>
      <w:divBdr>
        <w:top w:val="none" w:sz="0" w:space="0" w:color="auto"/>
        <w:left w:val="none" w:sz="0" w:space="0" w:color="auto"/>
        <w:bottom w:val="none" w:sz="0" w:space="0" w:color="auto"/>
        <w:right w:val="none" w:sz="0" w:space="0" w:color="auto"/>
      </w:divBdr>
    </w:div>
    <w:div w:id="206381362">
      <w:bodyDiv w:val="1"/>
      <w:marLeft w:val="0"/>
      <w:marRight w:val="0"/>
      <w:marTop w:val="0"/>
      <w:marBottom w:val="0"/>
      <w:divBdr>
        <w:top w:val="none" w:sz="0" w:space="0" w:color="auto"/>
        <w:left w:val="none" w:sz="0" w:space="0" w:color="auto"/>
        <w:bottom w:val="none" w:sz="0" w:space="0" w:color="auto"/>
        <w:right w:val="none" w:sz="0" w:space="0" w:color="auto"/>
      </w:divBdr>
    </w:div>
    <w:div w:id="225267546">
      <w:bodyDiv w:val="1"/>
      <w:marLeft w:val="0"/>
      <w:marRight w:val="0"/>
      <w:marTop w:val="0"/>
      <w:marBottom w:val="0"/>
      <w:divBdr>
        <w:top w:val="none" w:sz="0" w:space="0" w:color="auto"/>
        <w:left w:val="none" w:sz="0" w:space="0" w:color="auto"/>
        <w:bottom w:val="none" w:sz="0" w:space="0" w:color="auto"/>
        <w:right w:val="none" w:sz="0" w:space="0" w:color="auto"/>
      </w:divBdr>
    </w:div>
    <w:div w:id="248782795">
      <w:bodyDiv w:val="1"/>
      <w:marLeft w:val="0"/>
      <w:marRight w:val="0"/>
      <w:marTop w:val="0"/>
      <w:marBottom w:val="0"/>
      <w:divBdr>
        <w:top w:val="none" w:sz="0" w:space="0" w:color="auto"/>
        <w:left w:val="none" w:sz="0" w:space="0" w:color="auto"/>
        <w:bottom w:val="none" w:sz="0" w:space="0" w:color="auto"/>
        <w:right w:val="none" w:sz="0" w:space="0" w:color="auto"/>
      </w:divBdr>
    </w:div>
    <w:div w:id="252594950">
      <w:bodyDiv w:val="1"/>
      <w:marLeft w:val="0"/>
      <w:marRight w:val="0"/>
      <w:marTop w:val="0"/>
      <w:marBottom w:val="0"/>
      <w:divBdr>
        <w:top w:val="none" w:sz="0" w:space="0" w:color="auto"/>
        <w:left w:val="none" w:sz="0" w:space="0" w:color="auto"/>
        <w:bottom w:val="none" w:sz="0" w:space="0" w:color="auto"/>
        <w:right w:val="none" w:sz="0" w:space="0" w:color="auto"/>
      </w:divBdr>
    </w:div>
    <w:div w:id="258609644">
      <w:bodyDiv w:val="1"/>
      <w:marLeft w:val="0"/>
      <w:marRight w:val="0"/>
      <w:marTop w:val="0"/>
      <w:marBottom w:val="0"/>
      <w:divBdr>
        <w:top w:val="none" w:sz="0" w:space="0" w:color="auto"/>
        <w:left w:val="none" w:sz="0" w:space="0" w:color="auto"/>
        <w:bottom w:val="none" w:sz="0" w:space="0" w:color="auto"/>
        <w:right w:val="none" w:sz="0" w:space="0" w:color="auto"/>
      </w:divBdr>
    </w:div>
    <w:div w:id="272247666">
      <w:bodyDiv w:val="1"/>
      <w:marLeft w:val="0"/>
      <w:marRight w:val="0"/>
      <w:marTop w:val="0"/>
      <w:marBottom w:val="0"/>
      <w:divBdr>
        <w:top w:val="none" w:sz="0" w:space="0" w:color="auto"/>
        <w:left w:val="none" w:sz="0" w:space="0" w:color="auto"/>
        <w:bottom w:val="none" w:sz="0" w:space="0" w:color="auto"/>
        <w:right w:val="none" w:sz="0" w:space="0" w:color="auto"/>
      </w:divBdr>
      <w:divsChild>
        <w:div w:id="117994638">
          <w:marLeft w:val="0"/>
          <w:marRight w:val="0"/>
          <w:marTop w:val="0"/>
          <w:marBottom w:val="0"/>
          <w:divBdr>
            <w:top w:val="none" w:sz="0" w:space="0" w:color="auto"/>
            <w:left w:val="none" w:sz="0" w:space="0" w:color="auto"/>
            <w:bottom w:val="none" w:sz="0" w:space="0" w:color="auto"/>
            <w:right w:val="none" w:sz="0" w:space="0" w:color="auto"/>
          </w:divBdr>
        </w:div>
        <w:div w:id="184446440">
          <w:marLeft w:val="0"/>
          <w:marRight w:val="0"/>
          <w:marTop w:val="0"/>
          <w:marBottom w:val="0"/>
          <w:divBdr>
            <w:top w:val="none" w:sz="0" w:space="0" w:color="auto"/>
            <w:left w:val="none" w:sz="0" w:space="0" w:color="auto"/>
            <w:bottom w:val="none" w:sz="0" w:space="0" w:color="auto"/>
            <w:right w:val="none" w:sz="0" w:space="0" w:color="auto"/>
          </w:divBdr>
        </w:div>
        <w:div w:id="243417815">
          <w:marLeft w:val="0"/>
          <w:marRight w:val="0"/>
          <w:marTop w:val="0"/>
          <w:marBottom w:val="0"/>
          <w:divBdr>
            <w:top w:val="none" w:sz="0" w:space="0" w:color="auto"/>
            <w:left w:val="none" w:sz="0" w:space="0" w:color="auto"/>
            <w:bottom w:val="none" w:sz="0" w:space="0" w:color="auto"/>
            <w:right w:val="none" w:sz="0" w:space="0" w:color="auto"/>
          </w:divBdr>
        </w:div>
        <w:div w:id="895429730">
          <w:marLeft w:val="0"/>
          <w:marRight w:val="0"/>
          <w:marTop w:val="0"/>
          <w:marBottom w:val="0"/>
          <w:divBdr>
            <w:top w:val="none" w:sz="0" w:space="0" w:color="auto"/>
            <w:left w:val="none" w:sz="0" w:space="0" w:color="auto"/>
            <w:bottom w:val="none" w:sz="0" w:space="0" w:color="auto"/>
            <w:right w:val="none" w:sz="0" w:space="0" w:color="auto"/>
          </w:divBdr>
        </w:div>
        <w:div w:id="1312716758">
          <w:marLeft w:val="0"/>
          <w:marRight w:val="0"/>
          <w:marTop w:val="0"/>
          <w:marBottom w:val="0"/>
          <w:divBdr>
            <w:top w:val="none" w:sz="0" w:space="0" w:color="auto"/>
            <w:left w:val="none" w:sz="0" w:space="0" w:color="auto"/>
            <w:bottom w:val="none" w:sz="0" w:space="0" w:color="auto"/>
            <w:right w:val="none" w:sz="0" w:space="0" w:color="auto"/>
          </w:divBdr>
        </w:div>
      </w:divsChild>
    </w:div>
    <w:div w:id="275450647">
      <w:bodyDiv w:val="1"/>
      <w:marLeft w:val="0"/>
      <w:marRight w:val="0"/>
      <w:marTop w:val="0"/>
      <w:marBottom w:val="0"/>
      <w:divBdr>
        <w:top w:val="none" w:sz="0" w:space="0" w:color="auto"/>
        <w:left w:val="none" w:sz="0" w:space="0" w:color="auto"/>
        <w:bottom w:val="none" w:sz="0" w:space="0" w:color="auto"/>
        <w:right w:val="none" w:sz="0" w:space="0" w:color="auto"/>
      </w:divBdr>
    </w:div>
    <w:div w:id="279186315">
      <w:bodyDiv w:val="1"/>
      <w:marLeft w:val="0"/>
      <w:marRight w:val="0"/>
      <w:marTop w:val="0"/>
      <w:marBottom w:val="0"/>
      <w:divBdr>
        <w:top w:val="none" w:sz="0" w:space="0" w:color="auto"/>
        <w:left w:val="none" w:sz="0" w:space="0" w:color="auto"/>
        <w:bottom w:val="none" w:sz="0" w:space="0" w:color="auto"/>
        <w:right w:val="none" w:sz="0" w:space="0" w:color="auto"/>
      </w:divBdr>
      <w:divsChild>
        <w:div w:id="1347637214">
          <w:marLeft w:val="1800"/>
          <w:marRight w:val="0"/>
          <w:marTop w:val="80"/>
          <w:marBottom w:val="0"/>
          <w:divBdr>
            <w:top w:val="none" w:sz="0" w:space="0" w:color="auto"/>
            <w:left w:val="none" w:sz="0" w:space="0" w:color="auto"/>
            <w:bottom w:val="none" w:sz="0" w:space="0" w:color="auto"/>
            <w:right w:val="none" w:sz="0" w:space="0" w:color="auto"/>
          </w:divBdr>
        </w:div>
      </w:divsChild>
    </w:div>
    <w:div w:id="279337764">
      <w:bodyDiv w:val="1"/>
      <w:marLeft w:val="0"/>
      <w:marRight w:val="0"/>
      <w:marTop w:val="0"/>
      <w:marBottom w:val="0"/>
      <w:divBdr>
        <w:top w:val="none" w:sz="0" w:space="0" w:color="auto"/>
        <w:left w:val="none" w:sz="0" w:space="0" w:color="auto"/>
        <w:bottom w:val="none" w:sz="0" w:space="0" w:color="auto"/>
        <w:right w:val="none" w:sz="0" w:space="0" w:color="auto"/>
      </w:divBdr>
      <w:divsChild>
        <w:div w:id="862979306">
          <w:marLeft w:val="547"/>
          <w:marRight w:val="0"/>
          <w:marTop w:val="0"/>
          <w:marBottom w:val="0"/>
          <w:divBdr>
            <w:top w:val="none" w:sz="0" w:space="0" w:color="auto"/>
            <w:left w:val="none" w:sz="0" w:space="0" w:color="auto"/>
            <w:bottom w:val="none" w:sz="0" w:space="0" w:color="auto"/>
            <w:right w:val="none" w:sz="0" w:space="0" w:color="auto"/>
          </w:divBdr>
        </w:div>
      </w:divsChild>
    </w:div>
    <w:div w:id="284317745">
      <w:bodyDiv w:val="1"/>
      <w:marLeft w:val="0"/>
      <w:marRight w:val="0"/>
      <w:marTop w:val="0"/>
      <w:marBottom w:val="0"/>
      <w:divBdr>
        <w:top w:val="none" w:sz="0" w:space="0" w:color="auto"/>
        <w:left w:val="none" w:sz="0" w:space="0" w:color="auto"/>
        <w:bottom w:val="none" w:sz="0" w:space="0" w:color="auto"/>
        <w:right w:val="none" w:sz="0" w:space="0" w:color="auto"/>
      </w:divBdr>
    </w:div>
    <w:div w:id="284819805">
      <w:bodyDiv w:val="1"/>
      <w:marLeft w:val="0"/>
      <w:marRight w:val="0"/>
      <w:marTop w:val="0"/>
      <w:marBottom w:val="0"/>
      <w:divBdr>
        <w:top w:val="none" w:sz="0" w:space="0" w:color="auto"/>
        <w:left w:val="none" w:sz="0" w:space="0" w:color="auto"/>
        <w:bottom w:val="none" w:sz="0" w:space="0" w:color="auto"/>
        <w:right w:val="none" w:sz="0" w:space="0" w:color="auto"/>
      </w:divBdr>
    </w:div>
    <w:div w:id="293760573">
      <w:bodyDiv w:val="1"/>
      <w:marLeft w:val="0"/>
      <w:marRight w:val="0"/>
      <w:marTop w:val="0"/>
      <w:marBottom w:val="0"/>
      <w:divBdr>
        <w:top w:val="none" w:sz="0" w:space="0" w:color="auto"/>
        <w:left w:val="none" w:sz="0" w:space="0" w:color="auto"/>
        <w:bottom w:val="none" w:sz="0" w:space="0" w:color="auto"/>
        <w:right w:val="none" w:sz="0" w:space="0" w:color="auto"/>
      </w:divBdr>
    </w:div>
    <w:div w:id="313458877">
      <w:bodyDiv w:val="1"/>
      <w:marLeft w:val="0"/>
      <w:marRight w:val="0"/>
      <w:marTop w:val="0"/>
      <w:marBottom w:val="0"/>
      <w:divBdr>
        <w:top w:val="none" w:sz="0" w:space="0" w:color="auto"/>
        <w:left w:val="none" w:sz="0" w:space="0" w:color="auto"/>
        <w:bottom w:val="none" w:sz="0" w:space="0" w:color="auto"/>
        <w:right w:val="none" w:sz="0" w:space="0" w:color="auto"/>
      </w:divBdr>
    </w:div>
    <w:div w:id="329607148">
      <w:bodyDiv w:val="1"/>
      <w:marLeft w:val="0"/>
      <w:marRight w:val="0"/>
      <w:marTop w:val="0"/>
      <w:marBottom w:val="0"/>
      <w:divBdr>
        <w:top w:val="none" w:sz="0" w:space="0" w:color="auto"/>
        <w:left w:val="none" w:sz="0" w:space="0" w:color="auto"/>
        <w:bottom w:val="none" w:sz="0" w:space="0" w:color="auto"/>
        <w:right w:val="none" w:sz="0" w:space="0" w:color="auto"/>
      </w:divBdr>
      <w:divsChild>
        <w:div w:id="1942253509">
          <w:marLeft w:val="547"/>
          <w:marRight w:val="0"/>
          <w:marTop w:val="0"/>
          <w:marBottom w:val="0"/>
          <w:divBdr>
            <w:top w:val="none" w:sz="0" w:space="0" w:color="auto"/>
            <w:left w:val="none" w:sz="0" w:space="0" w:color="auto"/>
            <w:bottom w:val="none" w:sz="0" w:space="0" w:color="auto"/>
            <w:right w:val="none" w:sz="0" w:space="0" w:color="auto"/>
          </w:divBdr>
        </w:div>
      </w:divsChild>
    </w:div>
    <w:div w:id="338118074">
      <w:bodyDiv w:val="1"/>
      <w:marLeft w:val="0"/>
      <w:marRight w:val="0"/>
      <w:marTop w:val="0"/>
      <w:marBottom w:val="0"/>
      <w:divBdr>
        <w:top w:val="none" w:sz="0" w:space="0" w:color="auto"/>
        <w:left w:val="none" w:sz="0" w:space="0" w:color="auto"/>
        <w:bottom w:val="none" w:sz="0" w:space="0" w:color="auto"/>
        <w:right w:val="none" w:sz="0" w:space="0" w:color="auto"/>
      </w:divBdr>
    </w:div>
    <w:div w:id="352610951">
      <w:bodyDiv w:val="1"/>
      <w:marLeft w:val="0"/>
      <w:marRight w:val="0"/>
      <w:marTop w:val="0"/>
      <w:marBottom w:val="0"/>
      <w:divBdr>
        <w:top w:val="none" w:sz="0" w:space="0" w:color="auto"/>
        <w:left w:val="none" w:sz="0" w:space="0" w:color="auto"/>
        <w:bottom w:val="none" w:sz="0" w:space="0" w:color="auto"/>
        <w:right w:val="none" w:sz="0" w:space="0" w:color="auto"/>
      </w:divBdr>
    </w:div>
    <w:div w:id="361789790">
      <w:bodyDiv w:val="1"/>
      <w:marLeft w:val="0"/>
      <w:marRight w:val="0"/>
      <w:marTop w:val="0"/>
      <w:marBottom w:val="0"/>
      <w:divBdr>
        <w:top w:val="none" w:sz="0" w:space="0" w:color="auto"/>
        <w:left w:val="none" w:sz="0" w:space="0" w:color="auto"/>
        <w:bottom w:val="none" w:sz="0" w:space="0" w:color="auto"/>
        <w:right w:val="none" w:sz="0" w:space="0" w:color="auto"/>
      </w:divBdr>
    </w:div>
    <w:div w:id="366372430">
      <w:bodyDiv w:val="1"/>
      <w:marLeft w:val="0"/>
      <w:marRight w:val="0"/>
      <w:marTop w:val="0"/>
      <w:marBottom w:val="0"/>
      <w:divBdr>
        <w:top w:val="none" w:sz="0" w:space="0" w:color="auto"/>
        <w:left w:val="none" w:sz="0" w:space="0" w:color="auto"/>
        <w:bottom w:val="none" w:sz="0" w:space="0" w:color="auto"/>
        <w:right w:val="none" w:sz="0" w:space="0" w:color="auto"/>
      </w:divBdr>
      <w:divsChild>
        <w:div w:id="471408065">
          <w:marLeft w:val="288"/>
          <w:marRight w:val="0"/>
          <w:marTop w:val="0"/>
          <w:marBottom w:val="0"/>
          <w:divBdr>
            <w:top w:val="none" w:sz="0" w:space="0" w:color="auto"/>
            <w:left w:val="none" w:sz="0" w:space="0" w:color="auto"/>
            <w:bottom w:val="none" w:sz="0" w:space="0" w:color="auto"/>
            <w:right w:val="none" w:sz="0" w:space="0" w:color="auto"/>
          </w:divBdr>
        </w:div>
      </w:divsChild>
    </w:div>
    <w:div w:id="379938807">
      <w:bodyDiv w:val="1"/>
      <w:marLeft w:val="0"/>
      <w:marRight w:val="0"/>
      <w:marTop w:val="0"/>
      <w:marBottom w:val="0"/>
      <w:divBdr>
        <w:top w:val="none" w:sz="0" w:space="0" w:color="auto"/>
        <w:left w:val="none" w:sz="0" w:space="0" w:color="auto"/>
        <w:bottom w:val="none" w:sz="0" w:space="0" w:color="auto"/>
        <w:right w:val="none" w:sz="0" w:space="0" w:color="auto"/>
      </w:divBdr>
    </w:div>
    <w:div w:id="384331557">
      <w:bodyDiv w:val="1"/>
      <w:marLeft w:val="0"/>
      <w:marRight w:val="0"/>
      <w:marTop w:val="0"/>
      <w:marBottom w:val="0"/>
      <w:divBdr>
        <w:top w:val="none" w:sz="0" w:space="0" w:color="auto"/>
        <w:left w:val="none" w:sz="0" w:space="0" w:color="auto"/>
        <w:bottom w:val="none" w:sz="0" w:space="0" w:color="auto"/>
        <w:right w:val="none" w:sz="0" w:space="0" w:color="auto"/>
      </w:divBdr>
      <w:divsChild>
        <w:div w:id="608664211">
          <w:marLeft w:val="0"/>
          <w:marRight w:val="0"/>
          <w:marTop w:val="0"/>
          <w:marBottom w:val="0"/>
          <w:divBdr>
            <w:top w:val="none" w:sz="0" w:space="0" w:color="auto"/>
            <w:left w:val="none" w:sz="0" w:space="0" w:color="auto"/>
            <w:bottom w:val="none" w:sz="0" w:space="0" w:color="auto"/>
            <w:right w:val="none" w:sz="0" w:space="0" w:color="auto"/>
          </w:divBdr>
        </w:div>
      </w:divsChild>
    </w:div>
    <w:div w:id="385834409">
      <w:bodyDiv w:val="1"/>
      <w:marLeft w:val="0"/>
      <w:marRight w:val="0"/>
      <w:marTop w:val="0"/>
      <w:marBottom w:val="0"/>
      <w:divBdr>
        <w:top w:val="none" w:sz="0" w:space="0" w:color="auto"/>
        <w:left w:val="none" w:sz="0" w:space="0" w:color="auto"/>
        <w:bottom w:val="none" w:sz="0" w:space="0" w:color="auto"/>
        <w:right w:val="none" w:sz="0" w:space="0" w:color="auto"/>
      </w:divBdr>
    </w:div>
    <w:div w:id="385908089">
      <w:bodyDiv w:val="1"/>
      <w:marLeft w:val="0"/>
      <w:marRight w:val="0"/>
      <w:marTop w:val="0"/>
      <w:marBottom w:val="0"/>
      <w:divBdr>
        <w:top w:val="none" w:sz="0" w:space="0" w:color="auto"/>
        <w:left w:val="none" w:sz="0" w:space="0" w:color="auto"/>
        <w:bottom w:val="none" w:sz="0" w:space="0" w:color="auto"/>
        <w:right w:val="none" w:sz="0" w:space="0" w:color="auto"/>
      </w:divBdr>
    </w:div>
    <w:div w:id="392630506">
      <w:bodyDiv w:val="1"/>
      <w:marLeft w:val="0"/>
      <w:marRight w:val="0"/>
      <w:marTop w:val="0"/>
      <w:marBottom w:val="0"/>
      <w:divBdr>
        <w:top w:val="none" w:sz="0" w:space="0" w:color="auto"/>
        <w:left w:val="none" w:sz="0" w:space="0" w:color="auto"/>
        <w:bottom w:val="none" w:sz="0" w:space="0" w:color="auto"/>
        <w:right w:val="none" w:sz="0" w:space="0" w:color="auto"/>
      </w:divBdr>
      <w:divsChild>
        <w:div w:id="896667793">
          <w:marLeft w:val="274"/>
          <w:marRight w:val="0"/>
          <w:marTop w:val="0"/>
          <w:marBottom w:val="0"/>
          <w:divBdr>
            <w:top w:val="none" w:sz="0" w:space="0" w:color="auto"/>
            <w:left w:val="none" w:sz="0" w:space="0" w:color="auto"/>
            <w:bottom w:val="none" w:sz="0" w:space="0" w:color="auto"/>
            <w:right w:val="none" w:sz="0" w:space="0" w:color="auto"/>
          </w:divBdr>
        </w:div>
        <w:div w:id="1181502979">
          <w:marLeft w:val="274"/>
          <w:marRight w:val="0"/>
          <w:marTop w:val="0"/>
          <w:marBottom w:val="0"/>
          <w:divBdr>
            <w:top w:val="none" w:sz="0" w:space="0" w:color="auto"/>
            <w:left w:val="none" w:sz="0" w:space="0" w:color="auto"/>
            <w:bottom w:val="none" w:sz="0" w:space="0" w:color="auto"/>
            <w:right w:val="none" w:sz="0" w:space="0" w:color="auto"/>
          </w:divBdr>
        </w:div>
        <w:div w:id="2141603302">
          <w:marLeft w:val="274"/>
          <w:marRight w:val="0"/>
          <w:marTop w:val="0"/>
          <w:marBottom w:val="0"/>
          <w:divBdr>
            <w:top w:val="none" w:sz="0" w:space="0" w:color="auto"/>
            <w:left w:val="none" w:sz="0" w:space="0" w:color="auto"/>
            <w:bottom w:val="none" w:sz="0" w:space="0" w:color="auto"/>
            <w:right w:val="none" w:sz="0" w:space="0" w:color="auto"/>
          </w:divBdr>
        </w:div>
      </w:divsChild>
    </w:div>
    <w:div w:id="397442276">
      <w:bodyDiv w:val="1"/>
      <w:marLeft w:val="0"/>
      <w:marRight w:val="0"/>
      <w:marTop w:val="0"/>
      <w:marBottom w:val="0"/>
      <w:divBdr>
        <w:top w:val="none" w:sz="0" w:space="0" w:color="auto"/>
        <w:left w:val="none" w:sz="0" w:space="0" w:color="auto"/>
        <w:bottom w:val="none" w:sz="0" w:space="0" w:color="auto"/>
        <w:right w:val="none" w:sz="0" w:space="0" w:color="auto"/>
      </w:divBdr>
    </w:div>
    <w:div w:id="407264975">
      <w:bodyDiv w:val="1"/>
      <w:marLeft w:val="0"/>
      <w:marRight w:val="0"/>
      <w:marTop w:val="0"/>
      <w:marBottom w:val="0"/>
      <w:divBdr>
        <w:top w:val="none" w:sz="0" w:space="0" w:color="auto"/>
        <w:left w:val="none" w:sz="0" w:space="0" w:color="auto"/>
        <w:bottom w:val="none" w:sz="0" w:space="0" w:color="auto"/>
        <w:right w:val="none" w:sz="0" w:space="0" w:color="auto"/>
      </w:divBdr>
    </w:div>
    <w:div w:id="408967620">
      <w:bodyDiv w:val="1"/>
      <w:marLeft w:val="0"/>
      <w:marRight w:val="0"/>
      <w:marTop w:val="0"/>
      <w:marBottom w:val="0"/>
      <w:divBdr>
        <w:top w:val="none" w:sz="0" w:space="0" w:color="auto"/>
        <w:left w:val="none" w:sz="0" w:space="0" w:color="auto"/>
        <w:bottom w:val="none" w:sz="0" w:space="0" w:color="auto"/>
        <w:right w:val="none" w:sz="0" w:space="0" w:color="auto"/>
      </w:divBdr>
    </w:div>
    <w:div w:id="426997554">
      <w:bodyDiv w:val="1"/>
      <w:marLeft w:val="0"/>
      <w:marRight w:val="0"/>
      <w:marTop w:val="0"/>
      <w:marBottom w:val="0"/>
      <w:divBdr>
        <w:top w:val="none" w:sz="0" w:space="0" w:color="auto"/>
        <w:left w:val="none" w:sz="0" w:space="0" w:color="auto"/>
        <w:bottom w:val="none" w:sz="0" w:space="0" w:color="auto"/>
        <w:right w:val="none" w:sz="0" w:space="0" w:color="auto"/>
      </w:divBdr>
    </w:div>
    <w:div w:id="457769141">
      <w:bodyDiv w:val="1"/>
      <w:marLeft w:val="0"/>
      <w:marRight w:val="0"/>
      <w:marTop w:val="0"/>
      <w:marBottom w:val="0"/>
      <w:divBdr>
        <w:top w:val="none" w:sz="0" w:space="0" w:color="auto"/>
        <w:left w:val="none" w:sz="0" w:space="0" w:color="auto"/>
        <w:bottom w:val="none" w:sz="0" w:space="0" w:color="auto"/>
        <w:right w:val="none" w:sz="0" w:space="0" w:color="auto"/>
      </w:divBdr>
    </w:div>
    <w:div w:id="467167364">
      <w:bodyDiv w:val="1"/>
      <w:marLeft w:val="0"/>
      <w:marRight w:val="0"/>
      <w:marTop w:val="0"/>
      <w:marBottom w:val="0"/>
      <w:divBdr>
        <w:top w:val="none" w:sz="0" w:space="0" w:color="auto"/>
        <w:left w:val="none" w:sz="0" w:space="0" w:color="auto"/>
        <w:bottom w:val="none" w:sz="0" w:space="0" w:color="auto"/>
        <w:right w:val="none" w:sz="0" w:space="0" w:color="auto"/>
      </w:divBdr>
    </w:div>
    <w:div w:id="482429582">
      <w:bodyDiv w:val="1"/>
      <w:marLeft w:val="0"/>
      <w:marRight w:val="0"/>
      <w:marTop w:val="0"/>
      <w:marBottom w:val="0"/>
      <w:divBdr>
        <w:top w:val="none" w:sz="0" w:space="0" w:color="auto"/>
        <w:left w:val="none" w:sz="0" w:space="0" w:color="auto"/>
        <w:bottom w:val="none" w:sz="0" w:space="0" w:color="auto"/>
        <w:right w:val="none" w:sz="0" w:space="0" w:color="auto"/>
      </w:divBdr>
    </w:div>
    <w:div w:id="487795649">
      <w:bodyDiv w:val="1"/>
      <w:marLeft w:val="0"/>
      <w:marRight w:val="0"/>
      <w:marTop w:val="0"/>
      <w:marBottom w:val="0"/>
      <w:divBdr>
        <w:top w:val="none" w:sz="0" w:space="0" w:color="auto"/>
        <w:left w:val="none" w:sz="0" w:space="0" w:color="auto"/>
        <w:bottom w:val="none" w:sz="0" w:space="0" w:color="auto"/>
        <w:right w:val="none" w:sz="0" w:space="0" w:color="auto"/>
      </w:divBdr>
    </w:div>
    <w:div w:id="492185330">
      <w:bodyDiv w:val="1"/>
      <w:marLeft w:val="0"/>
      <w:marRight w:val="0"/>
      <w:marTop w:val="0"/>
      <w:marBottom w:val="0"/>
      <w:divBdr>
        <w:top w:val="none" w:sz="0" w:space="0" w:color="auto"/>
        <w:left w:val="none" w:sz="0" w:space="0" w:color="auto"/>
        <w:bottom w:val="none" w:sz="0" w:space="0" w:color="auto"/>
        <w:right w:val="none" w:sz="0" w:space="0" w:color="auto"/>
      </w:divBdr>
    </w:div>
    <w:div w:id="508838346">
      <w:bodyDiv w:val="1"/>
      <w:marLeft w:val="0"/>
      <w:marRight w:val="0"/>
      <w:marTop w:val="0"/>
      <w:marBottom w:val="0"/>
      <w:divBdr>
        <w:top w:val="none" w:sz="0" w:space="0" w:color="auto"/>
        <w:left w:val="none" w:sz="0" w:space="0" w:color="auto"/>
        <w:bottom w:val="none" w:sz="0" w:space="0" w:color="auto"/>
        <w:right w:val="none" w:sz="0" w:space="0" w:color="auto"/>
      </w:divBdr>
    </w:div>
    <w:div w:id="520510378">
      <w:bodyDiv w:val="1"/>
      <w:marLeft w:val="0"/>
      <w:marRight w:val="0"/>
      <w:marTop w:val="0"/>
      <w:marBottom w:val="0"/>
      <w:divBdr>
        <w:top w:val="none" w:sz="0" w:space="0" w:color="auto"/>
        <w:left w:val="none" w:sz="0" w:space="0" w:color="auto"/>
        <w:bottom w:val="none" w:sz="0" w:space="0" w:color="auto"/>
        <w:right w:val="none" w:sz="0" w:space="0" w:color="auto"/>
      </w:divBdr>
    </w:div>
    <w:div w:id="531773943">
      <w:bodyDiv w:val="1"/>
      <w:marLeft w:val="0"/>
      <w:marRight w:val="0"/>
      <w:marTop w:val="0"/>
      <w:marBottom w:val="0"/>
      <w:divBdr>
        <w:top w:val="none" w:sz="0" w:space="0" w:color="auto"/>
        <w:left w:val="none" w:sz="0" w:space="0" w:color="auto"/>
        <w:bottom w:val="none" w:sz="0" w:space="0" w:color="auto"/>
        <w:right w:val="none" w:sz="0" w:space="0" w:color="auto"/>
      </w:divBdr>
      <w:divsChild>
        <w:div w:id="109857421">
          <w:marLeft w:val="274"/>
          <w:marRight w:val="0"/>
          <w:marTop w:val="0"/>
          <w:marBottom w:val="60"/>
          <w:divBdr>
            <w:top w:val="none" w:sz="0" w:space="0" w:color="auto"/>
            <w:left w:val="none" w:sz="0" w:space="0" w:color="auto"/>
            <w:bottom w:val="none" w:sz="0" w:space="0" w:color="auto"/>
            <w:right w:val="none" w:sz="0" w:space="0" w:color="auto"/>
          </w:divBdr>
        </w:div>
        <w:div w:id="819151992">
          <w:marLeft w:val="274"/>
          <w:marRight w:val="0"/>
          <w:marTop w:val="0"/>
          <w:marBottom w:val="60"/>
          <w:divBdr>
            <w:top w:val="none" w:sz="0" w:space="0" w:color="auto"/>
            <w:left w:val="none" w:sz="0" w:space="0" w:color="auto"/>
            <w:bottom w:val="none" w:sz="0" w:space="0" w:color="auto"/>
            <w:right w:val="none" w:sz="0" w:space="0" w:color="auto"/>
          </w:divBdr>
        </w:div>
        <w:div w:id="974143508">
          <w:marLeft w:val="274"/>
          <w:marRight w:val="0"/>
          <w:marTop w:val="0"/>
          <w:marBottom w:val="60"/>
          <w:divBdr>
            <w:top w:val="none" w:sz="0" w:space="0" w:color="auto"/>
            <w:left w:val="none" w:sz="0" w:space="0" w:color="auto"/>
            <w:bottom w:val="none" w:sz="0" w:space="0" w:color="auto"/>
            <w:right w:val="none" w:sz="0" w:space="0" w:color="auto"/>
          </w:divBdr>
        </w:div>
        <w:div w:id="1021735906">
          <w:marLeft w:val="274"/>
          <w:marRight w:val="0"/>
          <w:marTop w:val="0"/>
          <w:marBottom w:val="60"/>
          <w:divBdr>
            <w:top w:val="none" w:sz="0" w:space="0" w:color="auto"/>
            <w:left w:val="none" w:sz="0" w:space="0" w:color="auto"/>
            <w:bottom w:val="none" w:sz="0" w:space="0" w:color="auto"/>
            <w:right w:val="none" w:sz="0" w:space="0" w:color="auto"/>
          </w:divBdr>
        </w:div>
        <w:div w:id="1115438825">
          <w:marLeft w:val="274"/>
          <w:marRight w:val="0"/>
          <w:marTop w:val="0"/>
          <w:marBottom w:val="60"/>
          <w:divBdr>
            <w:top w:val="none" w:sz="0" w:space="0" w:color="auto"/>
            <w:left w:val="none" w:sz="0" w:space="0" w:color="auto"/>
            <w:bottom w:val="none" w:sz="0" w:space="0" w:color="auto"/>
            <w:right w:val="none" w:sz="0" w:space="0" w:color="auto"/>
          </w:divBdr>
        </w:div>
        <w:div w:id="1243023847">
          <w:marLeft w:val="274"/>
          <w:marRight w:val="0"/>
          <w:marTop w:val="0"/>
          <w:marBottom w:val="60"/>
          <w:divBdr>
            <w:top w:val="none" w:sz="0" w:space="0" w:color="auto"/>
            <w:left w:val="none" w:sz="0" w:space="0" w:color="auto"/>
            <w:bottom w:val="none" w:sz="0" w:space="0" w:color="auto"/>
            <w:right w:val="none" w:sz="0" w:space="0" w:color="auto"/>
          </w:divBdr>
        </w:div>
        <w:div w:id="1458639178">
          <w:marLeft w:val="274"/>
          <w:marRight w:val="0"/>
          <w:marTop w:val="0"/>
          <w:marBottom w:val="60"/>
          <w:divBdr>
            <w:top w:val="none" w:sz="0" w:space="0" w:color="auto"/>
            <w:left w:val="none" w:sz="0" w:space="0" w:color="auto"/>
            <w:bottom w:val="none" w:sz="0" w:space="0" w:color="auto"/>
            <w:right w:val="none" w:sz="0" w:space="0" w:color="auto"/>
          </w:divBdr>
        </w:div>
        <w:div w:id="1482696794">
          <w:marLeft w:val="274"/>
          <w:marRight w:val="0"/>
          <w:marTop w:val="0"/>
          <w:marBottom w:val="60"/>
          <w:divBdr>
            <w:top w:val="none" w:sz="0" w:space="0" w:color="auto"/>
            <w:left w:val="none" w:sz="0" w:space="0" w:color="auto"/>
            <w:bottom w:val="none" w:sz="0" w:space="0" w:color="auto"/>
            <w:right w:val="none" w:sz="0" w:space="0" w:color="auto"/>
          </w:divBdr>
        </w:div>
        <w:div w:id="1769618231">
          <w:marLeft w:val="274"/>
          <w:marRight w:val="0"/>
          <w:marTop w:val="0"/>
          <w:marBottom w:val="60"/>
          <w:divBdr>
            <w:top w:val="none" w:sz="0" w:space="0" w:color="auto"/>
            <w:left w:val="none" w:sz="0" w:space="0" w:color="auto"/>
            <w:bottom w:val="none" w:sz="0" w:space="0" w:color="auto"/>
            <w:right w:val="none" w:sz="0" w:space="0" w:color="auto"/>
          </w:divBdr>
        </w:div>
        <w:div w:id="1853761381">
          <w:marLeft w:val="274"/>
          <w:marRight w:val="0"/>
          <w:marTop w:val="0"/>
          <w:marBottom w:val="60"/>
          <w:divBdr>
            <w:top w:val="none" w:sz="0" w:space="0" w:color="auto"/>
            <w:left w:val="none" w:sz="0" w:space="0" w:color="auto"/>
            <w:bottom w:val="none" w:sz="0" w:space="0" w:color="auto"/>
            <w:right w:val="none" w:sz="0" w:space="0" w:color="auto"/>
          </w:divBdr>
        </w:div>
      </w:divsChild>
    </w:div>
    <w:div w:id="553084908">
      <w:bodyDiv w:val="1"/>
      <w:marLeft w:val="0"/>
      <w:marRight w:val="0"/>
      <w:marTop w:val="0"/>
      <w:marBottom w:val="0"/>
      <w:divBdr>
        <w:top w:val="none" w:sz="0" w:space="0" w:color="auto"/>
        <w:left w:val="none" w:sz="0" w:space="0" w:color="auto"/>
        <w:bottom w:val="none" w:sz="0" w:space="0" w:color="auto"/>
        <w:right w:val="none" w:sz="0" w:space="0" w:color="auto"/>
      </w:divBdr>
    </w:div>
    <w:div w:id="559362267">
      <w:bodyDiv w:val="1"/>
      <w:marLeft w:val="0"/>
      <w:marRight w:val="0"/>
      <w:marTop w:val="0"/>
      <w:marBottom w:val="0"/>
      <w:divBdr>
        <w:top w:val="none" w:sz="0" w:space="0" w:color="auto"/>
        <w:left w:val="none" w:sz="0" w:space="0" w:color="auto"/>
        <w:bottom w:val="none" w:sz="0" w:space="0" w:color="auto"/>
        <w:right w:val="none" w:sz="0" w:space="0" w:color="auto"/>
      </w:divBdr>
    </w:div>
    <w:div w:id="563640716">
      <w:bodyDiv w:val="1"/>
      <w:marLeft w:val="0"/>
      <w:marRight w:val="0"/>
      <w:marTop w:val="0"/>
      <w:marBottom w:val="0"/>
      <w:divBdr>
        <w:top w:val="none" w:sz="0" w:space="0" w:color="auto"/>
        <w:left w:val="none" w:sz="0" w:space="0" w:color="auto"/>
        <w:bottom w:val="none" w:sz="0" w:space="0" w:color="auto"/>
        <w:right w:val="none" w:sz="0" w:space="0" w:color="auto"/>
      </w:divBdr>
      <w:divsChild>
        <w:div w:id="587269798">
          <w:marLeft w:val="0"/>
          <w:marRight w:val="0"/>
          <w:marTop w:val="0"/>
          <w:marBottom w:val="0"/>
          <w:divBdr>
            <w:top w:val="none" w:sz="0" w:space="0" w:color="auto"/>
            <w:left w:val="none" w:sz="0" w:space="0" w:color="auto"/>
            <w:bottom w:val="none" w:sz="0" w:space="0" w:color="auto"/>
            <w:right w:val="none" w:sz="0" w:space="0" w:color="auto"/>
          </w:divBdr>
        </w:div>
      </w:divsChild>
    </w:div>
    <w:div w:id="566965180">
      <w:bodyDiv w:val="1"/>
      <w:marLeft w:val="0"/>
      <w:marRight w:val="0"/>
      <w:marTop w:val="0"/>
      <w:marBottom w:val="0"/>
      <w:divBdr>
        <w:top w:val="none" w:sz="0" w:space="0" w:color="auto"/>
        <w:left w:val="none" w:sz="0" w:space="0" w:color="auto"/>
        <w:bottom w:val="none" w:sz="0" w:space="0" w:color="auto"/>
        <w:right w:val="none" w:sz="0" w:space="0" w:color="auto"/>
      </w:divBdr>
    </w:div>
    <w:div w:id="571623742">
      <w:bodyDiv w:val="1"/>
      <w:marLeft w:val="0"/>
      <w:marRight w:val="0"/>
      <w:marTop w:val="0"/>
      <w:marBottom w:val="0"/>
      <w:divBdr>
        <w:top w:val="none" w:sz="0" w:space="0" w:color="auto"/>
        <w:left w:val="none" w:sz="0" w:space="0" w:color="auto"/>
        <w:bottom w:val="none" w:sz="0" w:space="0" w:color="auto"/>
        <w:right w:val="none" w:sz="0" w:space="0" w:color="auto"/>
      </w:divBdr>
    </w:div>
    <w:div w:id="586810054">
      <w:bodyDiv w:val="1"/>
      <w:marLeft w:val="0"/>
      <w:marRight w:val="0"/>
      <w:marTop w:val="0"/>
      <w:marBottom w:val="0"/>
      <w:divBdr>
        <w:top w:val="none" w:sz="0" w:space="0" w:color="auto"/>
        <w:left w:val="none" w:sz="0" w:space="0" w:color="auto"/>
        <w:bottom w:val="none" w:sz="0" w:space="0" w:color="auto"/>
        <w:right w:val="none" w:sz="0" w:space="0" w:color="auto"/>
      </w:divBdr>
    </w:div>
    <w:div w:id="594023705">
      <w:bodyDiv w:val="1"/>
      <w:marLeft w:val="0"/>
      <w:marRight w:val="0"/>
      <w:marTop w:val="0"/>
      <w:marBottom w:val="0"/>
      <w:divBdr>
        <w:top w:val="none" w:sz="0" w:space="0" w:color="auto"/>
        <w:left w:val="none" w:sz="0" w:space="0" w:color="auto"/>
        <w:bottom w:val="none" w:sz="0" w:space="0" w:color="auto"/>
        <w:right w:val="none" w:sz="0" w:space="0" w:color="auto"/>
      </w:divBdr>
    </w:div>
    <w:div w:id="599215385">
      <w:bodyDiv w:val="1"/>
      <w:marLeft w:val="0"/>
      <w:marRight w:val="0"/>
      <w:marTop w:val="0"/>
      <w:marBottom w:val="0"/>
      <w:divBdr>
        <w:top w:val="none" w:sz="0" w:space="0" w:color="auto"/>
        <w:left w:val="none" w:sz="0" w:space="0" w:color="auto"/>
        <w:bottom w:val="none" w:sz="0" w:space="0" w:color="auto"/>
        <w:right w:val="none" w:sz="0" w:space="0" w:color="auto"/>
      </w:divBdr>
    </w:div>
    <w:div w:id="611671039">
      <w:bodyDiv w:val="1"/>
      <w:marLeft w:val="0"/>
      <w:marRight w:val="0"/>
      <w:marTop w:val="0"/>
      <w:marBottom w:val="0"/>
      <w:divBdr>
        <w:top w:val="none" w:sz="0" w:space="0" w:color="auto"/>
        <w:left w:val="none" w:sz="0" w:space="0" w:color="auto"/>
        <w:bottom w:val="none" w:sz="0" w:space="0" w:color="auto"/>
        <w:right w:val="none" w:sz="0" w:space="0" w:color="auto"/>
      </w:divBdr>
    </w:div>
    <w:div w:id="618688306">
      <w:bodyDiv w:val="1"/>
      <w:marLeft w:val="0"/>
      <w:marRight w:val="0"/>
      <w:marTop w:val="0"/>
      <w:marBottom w:val="0"/>
      <w:divBdr>
        <w:top w:val="none" w:sz="0" w:space="0" w:color="auto"/>
        <w:left w:val="none" w:sz="0" w:space="0" w:color="auto"/>
        <w:bottom w:val="none" w:sz="0" w:space="0" w:color="auto"/>
        <w:right w:val="none" w:sz="0" w:space="0" w:color="auto"/>
      </w:divBdr>
    </w:div>
    <w:div w:id="643510094">
      <w:bodyDiv w:val="1"/>
      <w:marLeft w:val="0"/>
      <w:marRight w:val="0"/>
      <w:marTop w:val="0"/>
      <w:marBottom w:val="0"/>
      <w:divBdr>
        <w:top w:val="none" w:sz="0" w:space="0" w:color="auto"/>
        <w:left w:val="none" w:sz="0" w:space="0" w:color="auto"/>
        <w:bottom w:val="none" w:sz="0" w:space="0" w:color="auto"/>
        <w:right w:val="none" w:sz="0" w:space="0" w:color="auto"/>
      </w:divBdr>
      <w:divsChild>
        <w:div w:id="104420790">
          <w:marLeft w:val="274"/>
          <w:marRight w:val="0"/>
          <w:marTop w:val="0"/>
          <w:marBottom w:val="60"/>
          <w:divBdr>
            <w:top w:val="none" w:sz="0" w:space="0" w:color="auto"/>
            <w:left w:val="none" w:sz="0" w:space="0" w:color="auto"/>
            <w:bottom w:val="none" w:sz="0" w:space="0" w:color="auto"/>
            <w:right w:val="none" w:sz="0" w:space="0" w:color="auto"/>
          </w:divBdr>
        </w:div>
        <w:div w:id="515657391">
          <w:marLeft w:val="274"/>
          <w:marRight w:val="0"/>
          <w:marTop w:val="0"/>
          <w:marBottom w:val="60"/>
          <w:divBdr>
            <w:top w:val="none" w:sz="0" w:space="0" w:color="auto"/>
            <w:left w:val="none" w:sz="0" w:space="0" w:color="auto"/>
            <w:bottom w:val="none" w:sz="0" w:space="0" w:color="auto"/>
            <w:right w:val="none" w:sz="0" w:space="0" w:color="auto"/>
          </w:divBdr>
        </w:div>
        <w:div w:id="682824543">
          <w:marLeft w:val="274"/>
          <w:marRight w:val="0"/>
          <w:marTop w:val="0"/>
          <w:marBottom w:val="60"/>
          <w:divBdr>
            <w:top w:val="none" w:sz="0" w:space="0" w:color="auto"/>
            <w:left w:val="none" w:sz="0" w:space="0" w:color="auto"/>
            <w:bottom w:val="none" w:sz="0" w:space="0" w:color="auto"/>
            <w:right w:val="none" w:sz="0" w:space="0" w:color="auto"/>
          </w:divBdr>
        </w:div>
        <w:div w:id="866256197">
          <w:marLeft w:val="274"/>
          <w:marRight w:val="0"/>
          <w:marTop w:val="0"/>
          <w:marBottom w:val="60"/>
          <w:divBdr>
            <w:top w:val="none" w:sz="0" w:space="0" w:color="auto"/>
            <w:left w:val="none" w:sz="0" w:space="0" w:color="auto"/>
            <w:bottom w:val="none" w:sz="0" w:space="0" w:color="auto"/>
            <w:right w:val="none" w:sz="0" w:space="0" w:color="auto"/>
          </w:divBdr>
        </w:div>
        <w:div w:id="969094678">
          <w:marLeft w:val="274"/>
          <w:marRight w:val="0"/>
          <w:marTop w:val="0"/>
          <w:marBottom w:val="60"/>
          <w:divBdr>
            <w:top w:val="none" w:sz="0" w:space="0" w:color="auto"/>
            <w:left w:val="none" w:sz="0" w:space="0" w:color="auto"/>
            <w:bottom w:val="none" w:sz="0" w:space="0" w:color="auto"/>
            <w:right w:val="none" w:sz="0" w:space="0" w:color="auto"/>
          </w:divBdr>
        </w:div>
        <w:div w:id="1009676975">
          <w:marLeft w:val="274"/>
          <w:marRight w:val="0"/>
          <w:marTop w:val="0"/>
          <w:marBottom w:val="60"/>
          <w:divBdr>
            <w:top w:val="none" w:sz="0" w:space="0" w:color="auto"/>
            <w:left w:val="none" w:sz="0" w:space="0" w:color="auto"/>
            <w:bottom w:val="none" w:sz="0" w:space="0" w:color="auto"/>
            <w:right w:val="none" w:sz="0" w:space="0" w:color="auto"/>
          </w:divBdr>
        </w:div>
        <w:div w:id="1347755962">
          <w:marLeft w:val="274"/>
          <w:marRight w:val="0"/>
          <w:marTop w:val="0"/>
          <w:marBottom w:val="60"/>
          <w:divBdr>
            <w:top w:val="none" w:sz="0" w:space="0" w:color="auto"/>
            <w:left w:val="none" w:sz="0" w:space="0" w:color="auto"/>
            <w:bottom w:val="none" w:sz="0" w:space="0" w:color="auto"/>
            <w:right w:val="none" w:sz="0" w:space="0" w:color="auto"/>
          </w:divBdr>
        </w:div>
        <w:div w:id="1868445491">
          <w:marLeft w:val="274"/>
          <w:marRight w:val="0"/>
          <w:marTop w:val="0"/>
          <w:marBottom w:val="60"/>
          <w:divBdr>
            <w:top w:val="none" w:sz="0" w:space="0" w:color="auto"/>
            <w:left w:val="none" w:sz="0" w:space="0" w:color="auto"/>
            <w:bottom w:val="none" w:sz="0" w:space="0" w:color="auto"/>
            <w:right w:val="none" w:sz="0" w:space="0" w:color="auto"/>
          </w:divBdr>
        </w:div>
        <w:div w:id="1922131428">
          <w:marLeft w:val="274"/>
          <w:marRight w:val="0"/>
          <w:marTop w:val="0"/>
          <w:marBottom w:val="60"/>
          <w:divBdr>
            <w:top w:val="none" w:sz="0" w:space="0" w:color="auto"/>
            <w:left w:val="none" w:sz="0" w:space="0" w:color="auto"/>
            <w:bottom w:val="none" w:sz="0" w:space="0" w:color="auto"/>
            <w:right w:val="none" w:sz="0" w:space="0" w:color="auto"/>
          </w:divBdr>
        </w:div>
      </w:divsChild>
    </w:div>
    <w:div w:id="645821158">
      <w:bodyDiv w:val="1"/>
      <w:marLeft w:val="0"/>
      <w:marRight w:val="0"/>
      <w:marTop w:val="0"/>
      <w:marBottom w:val="0"/>
      <w:divBdr>
        <w:top w:val="none" w:sz="0" w:space="0" w:color="auto"/>
        <w:left w:val="none" w:sz="0" w:space="0" w:color="auto"/>
        <w:bottom w:val="none" w:sz="0" w:space="0" w:color="auto"/>
        <w:right w:val="none" w:sz="0" w:space="0" w:color="auto"/>
      </w:divBdr>
    </w:div>
    <w:div w:id="653605657">
      <w:bodyDiv w:val="1"/>
      <w:marLeft w:val="0"/>
      <w:marRight w:val="0"/>
      <w:marTop w:val="0"/>
      <w:marBottom w:val="0"/>
      <w:divBdr>
        <w:top w:val="none" w:sz="0" w:space="0" w:color="auto"/>
        <w:left w:val="none" w:sz="0" w:space="0" w:color="auto"/>
        <w:bottom w:val="none" w:sz="0" w:space="0" w:color="auto"/>
        <w:right w:val="none" w:sz="0" w:space="0" w:color="auto"/>
      </w:divBdr>
    </w:div>
    <w:div w:id="667750783">
      <w:bodyDiv w:val="1"/>
      <w:marLeft w:val="0"/>
      <w:marRight w:val="0"/>
      <w:marTop w:val="0"/>
      <w:marBottom w:val="0"/>
      <w:divBdr>
        <w:top w:val="none" w:sz="0" w:space="0" w:color="auto"/>
        <w:left w:val="none" w:sz="0" w:space="0" w:color="auto"/>
        <w:bottom w:val="none" w:sz="0" w:space="0" w:color="auto"/>
        <w:right w:val="none" w:sz="0" w:space="0" w:color="auto"/>
      </w:divBdr>
    </w:div>
    <w:div w:id="679544089">
      <w:bodyDiv w:val="1"/>
      <w:marLeft w:val="0"/>
      <w:marRight w:val="0"/>
      <w:marTop w:val="0"/>
      <w:marBottom w:val="0"/>
      <w:divBdr>
        <w:top w:val="none" w:sz="0" w:space="0" w:color="auto"/>
        <w:left w:val="none" w:sz="0" w:space="0" w:color="auto"/>
        <w:bottom w:val="none" w:sz="0" w:space="0" w:color="auto"/>
        <w:right w:val="none" w:sz="0" w:space="0" w:color="auto"/>
      </w:divBdr>
    </w:div>
    <w:div w:id="684944342">
      <w:bodyDiv w:val="1"/>
      <w:marLeft w:val="0"/>
      <w:marRight w:val="0"/>
      <w:marTop w:val="0"/>
      <w:marBottom w:val="0"/>
      <w:divBdr>
        <w:top w:val="none" w:sz="0" w:space="0" w:color="auto"/>
        <w:left w:val="none" w:sz="0" w:space="0" w:color="auto"/>
        <w:bottom w:val="none" w:sz="0" w:space="0" w:color="auto"/>
        <w:right w:val="none" w:sz="0" w:space="0" w:color="auto"/>
      </w:divBdr>
    </w:div>
    <w:div w:id="696155669">
      <w:bodyDiv w:val="1"/>
      <w:marLeft w:val="0"/>
      <w:marRight w:val="0"/>
      <w:marTop w:val="0"/>
      <w:marBottom w:val="0"/>
      <w:divBdr>
        <w:top w:val="none" w:sz="0" w:space="0" w:color="auto"/>
        <w:left w:val="none" w:sz="0" w:space="0" w:color="auto"/>
        <w:bottom w:val="none" w:sz="0" w:space="0" w:color="auto"/>
        <w:right w:val="none" w:sz="0" w:space="0" w:color="auto"/>
      </w:divBdr>
    </w:div>
    <w:div w:id="707728268">
      <w:bodyDiv w:val="1"/>
      <w:marLeft w:val="0"/>
      <w:marRight w:val="0"/>
      <w:marTop w:val="0"/>
      <w:marBottom w:val="0"/>
      <w:divBdr>
        <w:top w:val="none" w:sz="0" w:space="0" w:color="auto"/>
        <w:left w:val="none" w:sz="0" w:space="0" w:color="auto"/>
        <w:bottom w:val="none" w:sz="0" w:space="0" w:color="auto"/>
        <w:right w:val="none" w:sz="0" w:space="0" w:color="auto"/>
      </w:divBdr>
    </w:div>
    <w:div w:id="713314389">
      <w:bodyDiv w:val="1"/>
      <w:marLeft w:val="0"/>
      <w:marRight w:val="0"/>
      <w:marTop w:val="0"/>
      <w:marBottom w:val="0"/>
      <w:divBdr>
        <w:top w:val="none" w:sz="0" w:space="0" w:color="auto"/>
        <w:left w:val="none" w:sz="0" w:space="0" w:color="auto"/>
        <w:bottom w:val="none" w:sz="0" w:space="0" w:color="auto"/>
        <w:right w:val="none" w:sz="0" w:space="0" w:color="auto"/>
      </w:divBdr>
    </w:div>
    <w:div w:id="720637822">
      <w:bodyDiv w:val="1"/>
      <w:marLeft w:val="0"/>
      <w:marRight w:val="0"/>
      <w:marTop w:val="0"/>
      <w:marBottom w:val="0"/>
      <w:divBdr>
        <w:top w:val="none" w:sz="0" w:space="0" w:color="auto"/>
        <w:left w:val="none" w:sz="0" w:space="0" w:color="auto"/>
        <w:bottom w:val="none" w:sz="0" w:space="0" w:color="auto"/>
        <w:right w:val="none" w:sz="0" w:space="0" w:color="auto"/>
      </w:divBdr>
    </w:div>
    <w:div w:id="751897298">
      <w:bodyDiv w:val="1"/>
      <w:marLeft w:val="0"/>
      <w:marRight w:val="0"/>
      <w:marTop w:val="0"/>
      <w:marBottom w:val="0"/>
      <w:divBdr>
        <w:top w:val="none" w:sz="0" w:space="0" w:color="auto"/>
        <w:left w:val="none" w:sz="0" w:space="0" w:color="auto"/>
        <w:bottom w:val="none" w:sz="0" w:space="0" w:color="auto"/>
        <w:right w:val="none" w:sz="0" w:space="0" w:color="auto"/>
      </w:divBdr>
    </w:div>
    <w:div w:id="764039114">
      <w:bodyDiv w:val="1"/>
      <w:marLeft w:val="0"/>
      <w:marRight w:val="0"/>
      <w:marTop w:val="0"/>
      <w:marBottom w:val="0"/>
      <w:divBdr>
        <w:top w:val="none" w:sz="0" w:space="0" w:color="auto"/>
        <w:left w:val="none" w:sz="0" w:space="0" w:color="auto"/>
        <w:bottom w:val="none" w:sz="0" w:space="0" w:color="auto"/>
        <w:right w:val="none" w:sz="0" w:space="0" w:color="auto"/>
      </w:divBdr>
    </w:div>
    <w:div w:id="773786324">
      <w:bodyDiv w:val="1"/>
      <w:marLeft w:val="0"/>
      <w:marRight w:val="0"/>
      <w:marTop w:val="0"/>
      <w:marBottom w:val="0"/>
      <w:divBdr>
        <w:top w:val="none" w:sz="0" w:space="0" w:color="auto"/>
        <w:left w:val="none" w:sz="0" w:space="0" w:color="auto"/>
        <w:bottom w:val="none" w:sz="0" w:space="0" w:color="auto"/>
        <w:right w:val="none" w:sz="0" w:space="0" w:color="auto"/>
      </w:divBdr>
    </w:div>
    <w:div w:id="773943620">
      <w:bodyDiv w:val="1"/>
      <w:marLeft w:val="0"/>
      <w:marRight w:val="0"/>
      <w:marTop w:val="0"/>
      <w:marBottom w:val="0"/>
      <w:divBdr>
        <w:top w:val="none" w:sz="0" w:space="0" w:color="auto"/>
        <w:left w:val="none" w:sz="0" w:space="0" w:color="auto"/>
        <w:bottom w:val="none" w:sz="0" w:space="0" w:color="auto"/>
        <w:right w:val="none" w:sz="0" w:space="0" w:color="auto"/>
      </w:divBdr>
    </w:div>
    <w:div w:id="796340564">
      <w:bodyDiv w:val="1"/>
      <w:marLeft w:val="0"/>
      <w:marRight w:val="0"/>
      <w:marTop w:val="0"/>
      <w:marBottom w:val="0"/>
      <w:divBdr>
        <w:top w:val="none" w:sz="0" w:space="0" w:color="auto"/>
        <w:left w:val="none" w:sz="0" w:space="0" w:color="auto"/>
        <w:bottom w:val="none" w:sz="0" w:space="0" w:color="auto"/>
        <w:right w:val="none" w:sz="0" w:space="0" w:color="auto"/>
      </w:divBdr>
      <w:divsChild>
        <w:div w:id="299700741">
          <w:marLeft w:val="0"/>
          <w:marRight w:val="0"/>
          <w:marTop w:val="0"/>
          <w:marBottom w:val="0"/>
          <w:divBdr>
            <w:top w:val="none" w:sz="0" w:space="0" w:color="auto"/>
            <w:left w:val="none" w:sz="0" w:space="0" w:color="auto"/>
            <w:bottom w:val="none" w:sz="0" w:space="0" w:color="auto"/>
            <w:right w:val="none" w:sz="0" w:space="0" w:color="auto"/>
          </w:divBdr>
        </w:div>
        <w:div w:id="453522380">
          <w:marLeft w:val="0"/>
          <w:marRight w:val="0"/>
          <w:marTop w:val="0"/>
          <w:marBottom w:val="0"/>
          <w:divBdr>
            <w:top w:val="none" w:sz="0" w:space="0" w:color="auto"/>
            <w:left w:val="none" w:sz="0" w:space="0" w:color="auto"/>
            <w:bottom w:val="none" w:sz="0" w:space="0" w:color="auto"/>
            <w:right w:val="none" w:sz="0" w:space="0" w:color="auto"/>
          </w:divBdr>
        </w:div>
        <w:div w:id="842936445">
          <w:marLeft w:val="0"/>
          <w:marRight w:val="0"/>
          <w:marTop w:val="0"/>
          <w:marBottom w:val="0"/>
          <w:divBdr>
            <w:top w:val="none" w:sz="0" w:space="0" w:color="auto"/>
            <w:left w:val="none" w:sz="0" w:space="0" w:color="auto"/>
            <w:bottom w:val="none" w:sz="0" w:space="0" w:color="auto"/>
            <w:right w:val="none" w:sz="0" w:space="0" w:color="auto"/>
          </w:divBdr>
        </w:div>
        <w:div w:id="1773478522">
          <w:marLeft w:val="0"/>
          <w:marRight w:val="0"/>
          <w:marTop w:val="0"/>
          <w:marBottom w:val="0"/>
          <w:divBdr>
            <w:top w:val="none" w:sz="0" w:space="0" w:color="auto"/>
            <w:left w:val="none" w:sz="0" w:space="0" w:color="auto"/>
            <w:bottom w:val="none" w:sz="0" w:space="0" w:color="auto"/>
            <w:right w:val="none" w:sz="0" w:space="0" w:color="auto"/>
          </w:divBdr>
        </w:div>
      </w:divsChild>
    </w:div>
    <w:div w:id="797574363">
      <w:bodyDiv w:val="1"/>
      <w:marLeft w:val="0"/>
      <w:marRight w:val="0"/>
      <w:marTop w:val="0"/>
      <w:marBottom w:val="0"/>
      <w:divBdr>
        <w:top w:val="none" w:sz="0" w:space="0" w:color="auto"/>
        <w:left w:val="none" w:sz="0" w:space="0" w:color="auto"/>
        <w:bottom w:val="none" w:sz="0" w:space="0" w:color="auto"/>
        <w:right w:val="none" w:sz="0" w:space="0" w:color="auto"/>
      </w:divBdr>
    </w:div>
    <w:div w:id="820123281">
      <w:bodyDiv w:val="1"/>
      <w:marLeft w:val="0"/>
      <w:marRight w:val="0"/>
      <w:marTop w:val="0"/>
      <w:marBottom w:val="0"/>
      <w:divBdr>
        <w:top w:val="none" w:sz="0" w:space="0" w:color="auto"/>
        <w:left w:val="none" w:sz="0" w:space="0" w:color="auto"/>
        <w:bottom w:val="none" w:sz="0" w:space="0" w:color="auto"/>
        <w:right w:val="none" w:sz="0" w:space="0" w:color="auto"/>
      </w:divBdr>
      <w:divsChild>
        <w:div w:id="49574153">
          <w:marLeft w:val="1080"/>
          <w:marRight w:val="0"/>
          <w:marTop w:val="0"/>
          <w:marBottom w:val="0"/>
          <w:divBdr>
            <w:top w:val="none" w:sz="0" w:space="0" w:color="auto"/>
            <w:left w:val="none" w:sz="0" w:space="0" w:color="auto"/>
            <w:bottom w:val="none" w:sz="0" w:space="0" w:color="auto"/>
            <w:right w:val="none" w:sz="0" w:space="0" w:color="auto"/>
          </w:divBdr>
        </w:div>
        <w:div w:id="681661399">
          <w:marLeft w:val="1080"/>
          <w:marRight w:val="0"/>
          <w:marTop w:val="0"/>
          <w:marBottom w:val="0"/>
          <w:divBdr>
            <w:top w:val="none" w:sz="0" w:space="0" w:color="auto"/>
            <w:left w:val="none" w:sz="0" w:space="0" w:color="auto"/>
            <w:bottom w:val="none" w:sz="0" w:space="0" w:color="auto"/>
            <w:right w:val="none" w:sz="0" w:space="0" w:color="auto"/>
          </w:divBdr>
        </w:div>
        <w:div w:id="1607419840">
          <w:marLeft w:val="1080"/>
          <w:marRight w:val="0"/>
          <w:marTop w:val="0"/>
          <w:marBottom w:val="0"/>
          <w:divBdr>
            <w:top w:val="none" w:sz="0" w:space="0" w:color="auto"/>
            <w:left w:val="none" w:sz="0" w:space="0" w:color="auto"/>
            <w:bottom w:val="none" w:sz="0" w:space="0" w:color="auto"/>
            <w:right w:val="none" w:sz="0" w:space="0" w:color="auto"/>
          </w:divBdr>
        </w:div>
      </w:divsChild>
    </w:div>
    <w:div w:id="824275510">
      <w:bodyDiv w:val="1"/>
      <w:marLeft w:val="0"/>
      <w:marRight w:val="0"/>
      <w:marTop w:val="0"/>
      <w:marBottom w:val="0"/>
      <w:divBdr>
        <w:top w:val="none" w:sz="0" w:space="0" w:color="auto"/>
        <w:left w:val="none" w:sz="0" w:space="0" w:color="auto"/>
        <w:bottom w:val="none" w:sz="0" w:space="0" w:color="auto"/>
        <w:right w:val="none" w:sz="0" w:space="0" w:color="auto"/>
      </w:divBdr>
    </w:div>
    <w:div w:id="826047107">
      <w:bodyDiv w:val="1"/>
      <w:marLeft w:val="0"/>
      <w:marRight w:val="0"/>
      <w:marTop w:val="0"/>
      <w:marBottom w:val="0"/>
      <w:divBdr>
        <w:top w:val="none" w:sz="0" w:space="0" w:color="auto"/>
        <w:left w:val="none" w:sz="0" w:space="0" w:color="auto"/>
        <w:bottom w:val="none" w:sz="0" w:space="0" w:color="auto"/>
        <w:right w:val="none" w:sz="0" w:space="0" w:color="auto"/>
      </w:divBdr>
    </w:div>
    <w:div w:id="831604488">
      <w:bodyDiv w:val="1"/>
      <w:marLeft w:val="0"/>
      <w:marRight w:val="0"/>
      <w:marTop w:val="0"/>
      <w:marBottom w:val="0"/>
      <w:divBdr>
        <w:top w:val="none" w:sz="0" w:space="0" w:color="auto"/>
        <w:left w:val="none" w:sz="0" w:space="0" w:color="auto"/>
        <w:bottom w:val="none" w:sz="0" w:space="0" w:color="auto"/>
        <w:right w:val="none" w:sz="0" w:space="0" w:color="auto"/>
      </w:divBdr>
    </w:div>
    <w:div w:id="833299268">
      <w:bodyDiv w:val="1"/>
      <w:marLeft w:val="0"/>
      <w:marRight w:val="0"/>
      <w:marTop w:val="0"/>
      <w:marBottom w:val="0"/>
      <w:divBdr>
        <w:top w:val="none" w:sz="0" w:space="0" w:color="auto"/>
        <w:left w:val="none" w:sz="0" w:space="0" w:color="auto"/>
        <w:bottom w:val="none" w:sz="0" w:space="0" w:color="auto"/>
        <w:right w:val="none" w:sz="0" w:space="0" w:color="auto"/>
      </w:divBdr>
    </w:div>
    <w:div w:id="840117752">
      <w:bodyDiv w:val="1"/>
      <w:marLeft w:val="0"/>
      <w:marRight w:val="0"/>
      <w:marTop w:val="0"/>
      <w:marBottom w:val="0"/>
      <w:divBdr>
        <w:top w:val="none" w:sz="0" w:space="0" w:color="auto"/>
        <w:left w:val="none" w:sz="0" w:space="0" w:color="auto"/>
        <w:bottom w:val="none" w:sz="0" w:space="0" w:color="auto"/>
        <w:right w:val="none" w:sz="0" w:space="0" w:color="auto"/>
      </w:divBdr>
    </w:div>
    <w:div w:id="841354631">
      <w:bodyDiv w:val="1"/>
      <w:marLeft w:val="0"/>
      <w:marRight w:val="0"/>
      <w:marTop w:val="0"/>
      <w:marBottom w:val="0"/>
      <w:divBdr>
        <w:top w:val="none" w:sz="0" w:space="0" w:color="auto"/>
        <w:left w:val="none" w:sz="0" w:space="0" w:color="auto"/>
        <w:bottom w:val="none" w:sz="0" w:space="0" w:color="auto"/>
        <w:right w:val="none" w:sz="0" w:space="0" w:color="auto"/>
      </w:divBdr>
    </w:div>
    <w:div w:id="850291570">
      <w:bodyDiv w:val="1"/>
      <w:marLeft w:val="0"/>
      <w:marRight w:val="0"/>
      <w:marTop w:val="0"/>
      <w:marBottom w:val="0"/>
      <w:divBdr>
        <w:top w:val="none" w:sz="0" w:space="0" w:color="auto"/>
        <w:left w:val="none" w:sz="0" w:space="0" w:color="auto"/>
        <w:bottom w:val="none" w:sz="0" w:space="0" w:color="auto"/>
        <w:right w:val="none" w:sz="0" w:space="0" w:color="auto"/>
      </w:divBdr>
    </w:div>
    <w:div w:id="851144912">
      <w:bodyDiv w:val="1"/>
      <w:marLeft w:val="0"/>
      <w:marRight w:val="0"/>
      <w:marTop w:val="0"/>
      <w:marBottom w:val="0"/>
      <w:divBdr>
        <w:top w:val="none" w:sz="0" w:space="0" w:color="auto"/>
        <w:left w:val="none" w:sz="0" w:space="0" w:color="auto"/>
        <w:bottom w:val="none" w:sz="0" w:space="0" w:color="auto"/>
        <w:right w:val="none" w:sz="0" w:space="0" w:color="auto"/>
      </w:divBdr>
    </w:div>
    <w:div w:id="851186932">
      <w:bodyDiv w:val="1"/>
      <w:marLeft w:val="0"/>
      <w:marRight w:val="0"/>
      <w:marTop w:val="0"/>
      <w:marBottom w:val="0"/>
      <w:divBdr>
        <w:top w:val="none" w:sz="0" w:space="0" w:color="auto"/>
        <w:left w:val="none" w:sz="0" w:space="0" w:color="auto"/>
        <w:bottom w:val="none" w:sz="0" w:space="0" w:color="auto"/>
        <w:right w:val="none" w:sz="0" w:space="0" w:color="auto"/>
      </w:divBdr>
    </w:div>
    <w:div w:id="855772034">
      <w:bodyDiv w:val="1"/>
      <w:marLeft w:val="0"/>
      <w:marRight w:val="0"/>
      <w:marTop w:val="0"/>
      <w:marBottom w:val="0"/>
      <w:divBdr>
        <w:top w:val="none" w:sz="0" w:space="0" w:color="auto"/>
        <w:left w:val="none" w:sz="0" w:space="0" w:color="auto"/>
        <w:bottom w:val="none" w:sz="0" w:space="0" w:color="auto"/>
        <w:right w:val="none" w:sz="0" w:space="0" w:color="auto"/>
      </w:divBdr>
    </w:div>
    <w:div w:id="858542263">
      <w:bodyDiv w:val="1"/>
      <w:marLeft w:val="0"/>
      <w:marRight w:val="0"/>
      <w:marTop w:val="0"/>
      <w:marBottom w:val="0"/>
      <w:divBdr>
        <w:top w:val="none" w:sz="0" w:space="0" w:color="auto"/>
        <w:left w:val="none" w:sz="0" w:space="0" w:color="auto"/>
        <w:bottom w:val="none" w:sz="0" w:space="0" w:color="auto"/>
        <w:right w:val="none" w:sz="0" w:space="0" w:color="auto"/>
      </w:divBdr>
    </w:div>
    <w:div w:id="863635329">
      <w:bodyDiv w:val="1"/>
      <w:marLeft w:val="0"/>
      <w:marRight w:val="0"/>
      <w:marTop w:val="0"/>
      <w:marBottom w:val="0"/>
      <w:divBdr>
        <w:top w:val="none" w:sz="0" w:space="0" w:color="auto"/>
        <w:left w:val="none" w:sz="0" w:space="0" w:color="auto"/>
        <w:bottom w:val="none" w:sz="0" w:space="0" w:color="auto"/>
        <w:right w:val="none" w:sz="0" w:space="0" w:color="auto"/>
      </w:divBdr>
    </w:div>
    <w:div w:id="876045854">
      <w:bodyDiv w:val="1"/>
      <w:marLeft w:val="0"/>
      <w:marRight w:val="0"/>
      <w:marTop w:val="0"/>
      <w:marBottom w:val="0"/>
      <w:divBdr>
        <w:top w:val="none" w:sz="0" w:space="0" w:color="auto"/>
        <w:left w:val="none" w:sz="0" w:space="0" w:color="auto"/>
        <w:bottom w:val="none" w:sz="0" w:space="0" w:color="auto"/>
        <w:right w:val="none" w:sz="0" w:space="0" w:color="auto"/>
      </w:divBdr>
    </w:div>
    <w:div w:id="883829701">
      <w:bodyDiv w:val="1"/>
      <w:marLeft w:val="0"/>
      <w:marRight w:val="0"/>
      <w:marTop w:val="0"/>
      <w:marBottom w:val="0"/>
      <w:divBdr>
        <w:top w:val="none" w:sz="0" w:space="0" w:color="auto"/>
        <w:left w:val="none" w:sz="0" w:space="0" w:color="auto"/>
        <w:bottom w:val="none" w:sz="0" w:space="0" w:color="auto"/>
        <w:right w:val="none" w:sz="0" w:space="0" w:color="auto"/>
      </w:divBdr>
    </w:div>
    <w:div w:id="911358183">
      <w:bodyDiv w:val="1"/>
      <w:marLeft w:val="0"/>
      <w:marRight w:val="0"/>
      <w:marTop w:val="0"/>
      <w:marBottom w:val="0"/>
      <w:divBdr>
        <w:top w:val="none" w:sz="0" w:space="0" w:color="auto"/>
        <w:left w:val="none" w:sz="0" w:space="0" w:color="auto"/>
        <w:bottom w:val="none" w:sz="0" w:space="0" w:color="auto"/>
        <w:right w:val="none" w:sz="0" w:space="0" w:color="auto"/>
      </w:divBdr>
    </w:div>
    <w:div w:id="916474002">
      <w:bodyDiv w:val="1"/>
      <w:marLeft w:val="0"/>
      <w:marRight w:val="0"/>
      <w:marTop w:val="0"/>
      <w:marBottom w:val="0"/>
      <w:divBdr>
        <w:top w:val="none" w:sz="0" w:space="0" w:color="auto"/>
        <w:left w:val="none" w:sz="0" w:space="0" w:color="auto"/>
        <w:bottom w:val="none" w:sz="0" w:space="0" w:color="auto"/>
        <w:right w:val="none" w:sz="0" w:space="0" w:color="auto"/>
      </w:divBdr>
    </w:div>
    <w:div w:id="920063411">
      <w:bodyDiv w:val="1"/>
      <w:marLeft w:val="0"/>
      <w:marRight w:val="0"/>
      <w:marTop w:val="0"/>
      <w:marBottom w:val="0"/>
      <w:divBdr>
        <w:top w:val="none" w:sz="0" w:space="0" w:color="auto"/>
        <w:left w:val="none" w:sz="0" w:space="0" w:color="auto"/>
        <w:bottom w:val="none" w:sz="0" w:space="0" w:color="auto"/>
        <w:right w:val="none" w:sz="0" w:space="0" w:color="auto"/>
      </w:divBdr>
    </w:div>
    <w:div w:id="923413384">
      <w:bodyDiv w:val="1"/>
      <w:marLeft w:val="0"/>
      <w:marRight w:val="0"/>
      <w:marTop w:val="0"/>
      <w:marBottom w:val="0"/>
      <w:divBdr>
        <w:top w:val="none" w:sz="0" w:space="0" w:color="auto"/>
        <w:left w:val="none" w:sz="0" w:space="0" w:color="auto"/>
        <w:bottom w:val="none" w:sz="0" w:space="0" w:color="auto"/>
        <w:right w:val="none" w:sz="0" w:space="0" w:color="auto"/>
      </w:divBdr>
      <w:divsChild>
        <w:div w:id="1714765373">
          <w:marLeft w:val="360"/>
          <w:marRight w:val="0"/>
          <w:marTop w:val="0"/>
          <w:marBottom w:val="60"/>
          <w:divBdr>
            <w:top w:val="none" w:sz="0" w:space="0" w:color="auto"/>
            <w:left w:val="none" w:sz="0" w:space="0" w:color="auto"/>
            <w:bottom w:val="none" w:sz="0" w:space="0" w:color="auto"/>
            <w:right w:val="none" w:sz="0" w:space="0" w:color="auto"/>
          </w:divBdr>
        </w:div>
        <w:div w:id="1776552752">
          <w:marLeft w:val="360"/>
          <w:marRight w:val="0"/>
          <w:marTop w:val="0"/>
          <w:marBottom w:val="60"/>
          <w:divBdr>
            <w:top w:val="none" w:sz="0" w:space="0" w:color="auto"/>
            <w:left w:val="none" w:sz="0" w:space="0" w:color="auto"/>
            <w:bottom w:val="none" w:sz="0" w:space="0" w:color="auto"/>
            <w:right w:val="none" w:sz="0" w:space="0" w:color="auto"/>
          </w:divBdr>
        </w:div>
        <w:div w:id="1895433969">
          <w:marLeft w:val="360"/>
          <w:marRight w:val="0"/>
          <w:marTop w:val="0"/>
          <w:marBottom w:val="60"/>
          <w:divBdr>
            <w:top w:val="none" w:sz="0" w:space="0" w:color="auto"/>
            <w:left w:val="none" w:sz="0" w:space="0" w:color="auto"/>
            <w:bottom w:val="none" w:sz="0" w:space="0" w:color="auto"/>
            <w:right w:val="none" w:sz="0" w:space="0" w:color="auto"/>
          </w:divBdr>
        </w:div>
      </w:divsChild>
    </w:div>
    <w:div w:id="923806856">
      <w:bodyDiv w:val="1"/>
      <w:marLeft w:val="0"/>
      <w:marRight w:val="0"/>
      <w:marTop w:val="0"/>
      <w:marBottom w:val="0"/>
      <w:divBdr>
        <w:top w:val="none" w:sz="0" w:space="0" w:color="auto"/>
        <w:left w:val="none" w:sz="0" w:space="0" w:color="auto"/>
        <w:bottom w:val="none" w:sz="0" w:space="0" w:color="auto"/>
        <w:right w:val="none" w:sz="0" w:space="0" w:color="auto"/>
      </w:divBdr>
    </w:div>
    <w:div w:id="924655633">
      <w:bodyDiv w:val="1"/>
      <w:marLeft w:val="0"/>
      <w:marRight w:val="0"/>
      <w:marTop w:val="0"/>
      <w:marBottom w:val="0"/>
      <w:divBdr>
        <w:top w:val="none" w:sz="0" w:space="0" w:color="auto"/>
        <w:left w:val="none" w:sz="0" w:space="0" w:color="auto"/>
        <w:bottom w:val="none" w:sz="0" w:space="0" w:color="auto"/>
        <w:right w:val="none" w:sz="0" w:space="0" w:color="auto"/>
      </w:divBdr>
    </w:div>
    <w:div w:id="932081971">
      <w:bodyDiv w:val="1"/>
      <w:marLeft w:val="0"/>
      <w:marRight w:val="0"/>
      <w:marTop w:val="0"/>
      <w:marBottom w:val="0"/>
      <w:divBdr>
        <w:top w:val="none" w:sz="0" w:space="0" w:color="auto"/>
        <w:left w:val="none" w:sz="0" w:space="0" w:color="auto"/>
        <w:bottom w:val="none" w:sz="0" w:space="0" w:color="auto"/>
        <w:right w:val="none" w:sz="0" w:space="0" w:color="auto"/>
      </w:divBdr>
    </w:div>
    <w:div w:id="932781852">
      <w:bodyDiv w:val="1"/>
      <w:marLeft w:val="0"/>
      <w:marRight w:val="0"/>
      <w:marTop w:val="0"/>
      <w:marBottom w:val="0"/>
      <w:divBdr>
        <w:top w:val="none" w:sz="0" w:space="0" w:color="auto"/>
        <w:left w:val="none" w:sz="0" w:space="0" w:color="auto"/>
        <w:bottom w:val="none" w:sz="0" w:space="0" w:color="auto"/>
        <w:right w:val="none" w:sz="0" w:space="0" w:color="auto"/>
      </w:divBdr>
    </w:div>
    <w:div w:id="944775621">
      <w:bodyDiv w:val="1"/>
      <w:marLeft w:val="0"/>
      <w:marRight w:val="0"/>
      <w:marTop w:val="0"/>
      <w:marBottom w:val="0"/>
      <w:divBdr>
        <w:top w:val="none" w:sz="0" w:space="0" w:color="auto"/>
        <w:left w:val="none" w:sz="0" w:space="0" w:color="auto"/>
        <w:bottom w:val="none" w:sz="0" w:space="0" w:color="auto"/>
        <w:right w:val="none" w:sz="0" w:space="0" w:color="auto"/>
      </w:divBdr>
    </w:div>
    <w:div w:id="952175483">
      <w:bodyDiv w:val="1"/>
      <w:marLeft w:val="0"/>
      <w:marRight w:val="0"/>
      <w:marTop w:val="0"/>
      <w:marBottom w:val="0"/>
      <w:divBdr>
        <w:top w:val="none" w:sz="0" w:space="0" w:color="auto"/>
        <w:left w:val="none" w:sz="0" w:space="0" w:color="auto"/>
        <w:bottom w:val="none" w:sz="0" w:space="0" w:color="auto"/>
        <w:right w:val="none" w:sz="0" w:space="0" w:color="auto"/>
      </w:divBdr>
      <w:divsChild>
        <w:div w:id="1011227564">
          <w:marLeft w:val="0"/>
          <w:marRight w:val="0"/>
          <w:marTop w:val="0"/>
          <w:marBottom w:val="0"/>
          <w:divBdr>
            <w:top w:val="none" w:sz="0" w:space="0" w:color="auto"/>
            <w:left w:val="none" w:sz="0" w:space="0" w:color="auto"/>
            <w:bottom w:val="none" w:sz="0" w:space="0" w:color="auto"/>
            <w:right w:val="none" w:sz="0" w:space="0" w:color="auto"/>
          </w:divBdr>
        </w:div>
      </w:divsChild>
    </w:div>
    <w:div w:id="960645326">
      <w:bodyDiv w:val="1"/>
      <w:marLeft w:val="0"/>
      <w:marRight w:val="0"/>
      <w:marTop w:val="0"/>
      <w:marBottom w:val="0"/>
      <w:divBdr>
        <w:top w:val="none" w:sz="0" w:space="0" w:color="auto"/>
        <w:left w:val="none" w:sz="0" w:space="0" w:color="auto"/>
        <w:bottom w:val="none" w:sz="0" w:space="0" w:color="auto"/>
        <w:right w:val="none" w:sz="0" w:space="0" w:color="auto"/>
      </w:divBdr>
    </w:div>
    <w:div w:id="979306867">
      <w:bodyDiv w:val="1"/>
      <w:marLeft w:val="0"/>
      <w:marRight w:val="0"/>
      <w:marTop w:val="0"/>
      <w:marBottom w:val="0"/>
      <w:divBdr>
        <w:top w:val="none" w:sz="0" w:space="0" w:color="auto"/>
        <w:left w:val="none" w:sz="0" w:space="0" w:color="auto"/>
        <w:bottom w:val="none" w:sz="0" w:space="0" w:color="auto"/>
        <w:right w:val="none" w:sz="0" w:space="0" w:color="auto"/>
      </w:divBdr>
    </w:div>
    <w:div w:id="979648982">
      <w:bodyDiv w:val="1"/>
      <w:marLeft w:val="0"/>
      <w:marRight w:val="0"/>
      <w:marTop w:val="0"/>
      <w:marBottom w:val="0"/>
      <w:divBdr>
        <w:top w:val="none" w:sz="0" w:space="0" w:color="auto"/>
        <w:left w:val="none" w:sz="0" w:space="0" w:color="auto"/>
        <w:bottom w:val="none" w:sz="0" w:space="0" w:color="auto"/>
        <w:right w:val="none" w:sz="0" w:space="0" w:color="auto"/>
      </w:divBdr>
    </w:div>
    <w:div w:id="986979903">
      <w:bodyDiv w:val="1"/>
      <w:marLeft w:val="0"/>
      <w:marRight w:val="0"/>
      <w:marTop w:val="0"/>
      <w:marBottom w:val="0"/>
      <w:divBdr>
        <w:top w:val="none" w:sz="0" w:space="0" w:color="auto"/>
        <w:left w:val="none" w:sz="0" w:space="0" w:color="auto"/>
        <w:bottom w:val="none" w:sz="0" w:space="0" w:color="auto"/>
        <w:right w:val="none" w:sz="0" w:space="0" w:color="auto"/>
      </w:divBdr>
    </w:div>
    <w:div w:id="988362895">
      <w:bodyDiv w:val="1"/>
      <w:marLeft w:val="0"/>
      <w:marRight w:val="0"/>
      <w:marTop w:val="0"/>
      <w:marBottom w:val="0"/>
      <w:divBdr>
        <w:top w:val="none" w:sz="0" w:space="0" w:color="auto"/>
        <w:left w:val="none" w:sz="0" w:space="0" w:color="auto"/>
        <w:bottom w:val="none" w:sz="0" w:space="0" w:color="auto"/>
        <w:right w:val="none" w:sz="0" w:space="0" w:color="auto"/>
      </w:divBdr>
    </w:div>
    <w:div w:id="990907984">
      <w:bodyDiv w:val="1"/>
      <w:marLeft w:val="0"/>
      <w:marRight w:val="0"/>
      <w:marTop w:val="0"/>
      <w:marBottom w:val="0"/>
      <w:divBdr>
        <w:top w:val="none" w:sz="0" w:space="0" w:color="auto"/>
        <w:left w:val="none" w:sz="0" w:space="0" w:color="auto"/>
        <w:bottom w:val="none" w:sz="0" w:space="0" w:color="auto"/>
        <w:right w:val="none" w:sz="0" w:space="0" w:color="auto"/>
      </w:divBdr>
    </w:div>
    <w:div w:id="994530887">
      <w:bodyDiv w:val="1"/>
      <w:marLeft w:val="0"/>
      <w:marRight w:val="0"/>
      <w:marTop w:val="0"/>
      <w:marBottom w:val="0"/>
      <w:divBdr>
        <w:top w:val="none" w:sz="0" w:space="0" w:color="auto"/>
        <w:left w:val="none" w:sz="0" w:space="0" w:color="auto"/>
        <w:bottom w:val="none" w:sz="0" w:space="0" w:color="auto"/>
        <w:right w:val="none" w:sz="0" w:space="0" w:color="auto"/>
      </w:divBdr>
      <w:divsChild>
        <w:div w:id="1323124025">
          <w:marLeft w:val="288"/>
          <w:marRight w:val="0"/>
          <w:marTop w:val="0"/>
          <w:marBottom w:val="0"/>
          <w:divBdr>
            <w:top w:val="none" w:sz="0" w:space="0" w:color="auto"/>
            <w:left w:val="none" w:sz="0" w:space="0" w:color="auto"/>
            <w:bottom w:val="none" w:sz="0" w:space="0" w:color="auto"/>
            <w:right w:val="none" w:sz="0" w:space="0" w:color="auto"/>
          </w:divBdr>
        </w:div>
      </w:divsChild>
    </w:div>
    <w:div w:id="1001927012">
      <w:bodyDiv w:val="1"/>
      <w:marLeft w:val="0"/>
      <w:marRight w:val="0"/>
      <w:marTop w:val="0"/>
      <w:marBottom w:val="0"/>
      <w:divBdr>
        <w:top w:val="none" w:sz="0" w:space="0" w:color="auto"/>
        <w:left w:val="none" w:sz="0" w:space="0" w:color="auto"/>
        <w:bottom w:val="none" w:sz="0" w:space="0" w:color="auto"/>
        <w:right w:val="none" w:sz="0" w:space="0" w:color="auto"/>
      </w:divBdr>
    </w:div>
    <w:div w:id="1004288330">
      <w:bodyDiv w:val="1"/>
      <w:marLeft w:val="0"/>
      <w:marRight w:val="0"/>
      <w:marTop w:val="0"/>
      <w:marBottom w:val="0"/>
      <w:divBdr>
        <w:top w:val="none" w:sz="0" w:space="0" w:color="auto"/>
        <w:left w:val="none" w:sz="0" w:space="0" w:color="auto"/>
        <w:bottom w:val="none" w:sz="0" w:space="0" w:color="auto"/>
        <w:right w:val="none" w:sz="0" w:space="0" w:color="auto"/>
      </w:divBdr>
    </w:div>
    <w:div w:id="1018777023">
      <w:bodyDiv w:val="1"/>
      <w:marLeft w:val="0"/>
      <w:marRight w:val="0"/>
      <w:marTop w:val="0"/>
      <w:marBottom w:val="0"/>
      <w:divBdr>
        <w:top w:val="none" w:sz="0" w:space="0" w:color="auto"/>
        <w:left w:val="none" w:sz="0" w:space="0" w:color="auto"/>
        <w:bottom w:val="none" w:sz="0" w:space="0" w:color="auto"/>
        <w:right w:val="none" w:sz="0" w:space="0" w:color="auto"/>
      </w:divBdr>
    </w:div>
    <w:div w:id="1019307879">
      <w:bodyDiv w:val="1"/>
      <w:marLeft w:val="0"/>
      <w:marRight w:val="0"/>
      <w:marTop w:val="0"/>
      <w:marBottom w:val="0"/>
      <w:divBdr>
        <w:top w:val="none" w:sz="0" w:space="0" w:color="auto"/>
        <w:left w:val="none" w:sz="0" w:space="0" w:color="auto"/>
        <w:bottom w:val="none" w:sz="0" w:space="0" w:color="auto"/>
        <w:right w:val="none" w:sz="0" w:space="0" w:color="auto"/>
      </w:divBdr>
    </w:div>
    <w:div w:id="1052460015">
      <w:bodyDiv w:val="1"/>
      <w:marLeft w:val="0"/>
      <w:marRight w:val="0"/>
      <w:marTop w:val="0"/>
      <w:marBottom w:val="0"/>
      <w:divBdr>
        <w:top w:val="none" w:sz="0" w:space="0" w:color="auto"/>
        <w:left w:val="none" w:sz="0" w:space="0" w:color="auto"/>
        <w:bottom w:val="none" w:sz="0" w:space="0" w:color="auto"/>
        <w:right w:val="none" w:sz="0" w:space="0" w:color="auto"/>
      </w:divBdr>
    </w:div>
    <w:div w:id="1057780669">
      <w:bodyDiv w:val="1"/>
      <w:marLeft w:val="0"/>
      <w:marRight w:val="0"/>
      <w:marTop w:val="0"/>
      <w:marBottom w:val="0"/>
      <w:divBdr>
        <w:top w:val="none" w:sz="0" w:space="0" w:color="auto"/>
        <w:left w:val="none" w:sz="0" w:space="0" w:color="auto"/>
        <w:bottom w:val="none" w:sz="0" w:space="0" w:color="auto"/>
        <w:right w:val="none" w:sz="0" w:space="0" w:color="auto"/>
      </w:divBdr>
    </w:div>
    <w:div w:id="1063216910">
      <w:bodyDiv w:val="1"/>
      <w:marLeft w:val="0"/>
      <w:marRight w:val="0"/>
      <w:marTop w:val="0"/>
      <w:marBottom w:val="0"/>
      <w:divBdr>
        <w:top w:val="none" w:sz="0" w:space="0" w:color="auto"/>
        <w:left w:val="none" w:sz="0" w:space="0" w:color="auto"/>
        <w:bottom w:val="none" w:sz="0" w:space="0" w:color="auto"/>
        <w:right w:val="none" w:sz="0" w:space="0" w:color="auto"/>
      </w:divBdr>
    </w:div>
    <w:div w:id="1084689368">
      <w:bodyDiv w:val="1"/>
      <w:marLeft w:val="0"/>
      <w:marRight w:val="0"/>
      <w:marTop w:val="0"/>
      <w:marBottom w:val="0"/>
      <w:divBdr>
        <w:top w:val="none" w:sz="0" w:space="0" w:color="auto"/>
        <w:left w:val="none" w:sz="0" w:space="0" w:color="auto"/>
        <w:bottom w:val="none" w:sz="0" w:space="0" w:color="auto"/>
        <w:right w:val="none" w:sz="0" w:space="0" w:color="auto"/>
      </w:divBdr>
    </w:div>
    <w:div w:id="1096559503">
      <w:bodyDiv w:val="1"/>
      <w:marLeft w:val="0"/>
      <w:marRight w:val="0"/>
      <w:marTop w:val="0"/>
      <w:marBottom w:val="0"/>
      <w:divBdr>
        <w:top w:val="none" w:sz="0" w:space="0" w:color="auto"/>
        <w:left w:val="none" w:sz="0" w:space="0" w:color="auto"/>
        <w:bottom w:val="none" w:sz="0" w:space="0" w:color="auto"/>
        <w:right w:val="none" w:sz="0" w:space="0" w:color="auto"/>
      </w:divBdr>
    </w:div>
    <w:div w:id="1107576002">
      <w:bodyDiv w:val="1"/>
      <w:marLeft w:val="0"/>
      <w:marRight w:val="0"/>
      <w:marTop w:val="0"/>
      <w:marBottom w:val="0"/>
      <w:divBdr>
        <w:top w:val="none" w:sz="0" w:space="0" w:color="auto"/>
        <w:left w:val="none" w:sz="0" w:space="0" w:color="auto"/>
        <w:bottom w:val="none" w:sz="0" w:space="0" w:color="auto"/>
        <w:right w:val="none" w:sz="0" w:space="0" w:color="auto"/>
      </w:divBdr>
    </w:div>
    <w:div w:id="1109738740">
      <w:bodyDiv w:val="1"/>
      <w:marLeft w:val="0"/>
      <w:marRight w:val="0"/>
      <w:marTop w:val="0"/>
      <w:marBottom w:val="0"/>
      <w:divBdr>
        <w:top w:val="none" w:sz="0" w:space="0" w:color="auto"/>
        <w:left w:val="none" w:sz="0" w:space="0" w:color="auto"/>
        <w:bottom w:val="none" w:sz="0" w:space="0" w:color="auto"/>
        <w:right w:val="none" w:sz="0" w:space="0" w:color="auto"/>
      </w:divBdr>
    </w:div>
    <w:div w:id="1137264010">
      <w:bodyDiv w:val="1"/>
      <w:marLeft w:val="0"/>
      <w:marRight w:val="0"/>
      <w:marTop w:val="0"/>
      <w:marBottom w:val="0"/>
      <w:divBdr>
        <w:top w:val="none" w:sz="0" w:space="0" w:color="auto"/>
        <w:left w:val="none" w:sz="0" w:space="0" w:color="auto"/>
        <w:bottom w:val="none" w:sz="0" w:space="0" w:color="auto"/>
        <w:right w:val="none" w:sz="0" w:space="0" w:color="auto"/>
      </w:divBdr>
    </w:div>
    <w:div w:id="1162428324">
      <w:bodyDiv w:val="1"/>
      <w:marLeft w:val="0"/>
      <w:marRight w:val="0"/>
      <w:marTop w:val="0"/>
      <w:marBottom w:val="0"/>
      <w:divBdr>
        <w:top w:val="none" w:sz="0" w:space="0" w:color="auto"/>
        <w:left w:val="none" w:sz="0" w:space="0" w:color="auto"/>
        <w:bottom w:val="none" w:sz="0" w:space="0" w:color="auto"/>
        <w:right w:val="none" w:sz="0" w:space="0" w:color="auto"/>
      </w:divBdr>
    </w:div>
    <w:div w:id="1165589562">
      <w:bodyDiv w:val="1"/>
      <w:marLeft w:val="0"/>
      <w:marRight w:val="0"/>
      <w:marTop w:val="0"/>
      <w:marBottom w:val="0"/>
      <w:divBdr>
        <w:top w:val="none" w:sz="0" w:space="0" w:color="auto"/>
        <w:left w:val="none" w:sz="0" w:space="0" w:color="auto"/>
        <w:bottom w:val="none" w:sz="0" w:space="0" w:color="auto"/>
        <w:right w:val="none" w:sz="0" w:space="0" w:color="auto"/>
      </w:divBdr>
    </w:div>
    <w:div w:id="1165630872">
      <w:bodyDiv w:val="1"/>
      <w:marLeft w:val="0"/>
      <w:marRight w:val="0"/>
      <w:marTop w:val="0"/>
      <w:marBottom w:val="0"/>
      <w:divBdr>
        <w:top w:val="none" w:sz="0" w:space="0" w:color="auto"/>
        <w:left w:val="none" w:sz="0" w:space="0" w:color="auto"/>
        <w:bottom w:val="none" w:sz="0" w:space="0" w:color="auto"/>
        <w:right w:val="none" w:sz="0" w:space="0" w:color="auto"/>
      </w:divBdr>
    </w:div>
    <w:div w:id="1175916650">
      <w:bodyDiv w:val="1"/>
      <w:marLeft w:val="0"/>
      <w:marRight w:val="0"/>
      <w:marTop w:val="0"/>
      <w:marBottom w:val="0"/>
      <w:divBdr>
        <w:top w:val="none" w:sz="0" w:space="0" w:color="auto"/>
        <w:left w:val="none" w:sz="0" w:space="0" w:color="auto"/>
        <w:bottom w:val="none" w:sz="0" w:space="0" w:color="auto"/>
        <w:right w:val="none" w:sz="0" w:space="0" w:color="auto"/>
      </w:divBdr>
    </w:div>
    <w:div w:id="1176576713">
      <w:bodyDiv w:val="1"/>
      <w:marLeft w:val="0"/>
      <w:marRight w:val="0"/>
      <w:marTop w:val="0"/>
      <w:marBottom w:val="0"/>
      <w:divBdr>
        <w:top w:val="none" w:sz="0" w:space="0" w:color="auto"/>
        <w:left w:val="none" w:sz="0" w:space="0" w:color="auto"/>
        <w:bottom w:val="none" w:sz="0" w:space="0" w:color="auto"/>
        <w:right w:val="none" w:sz="0" w:space="0" w:color="auto"/>
      </w:divBdr>
    </w:div>
    <w:div w:id="1176766285">
      <w:bodyDiv w:val="1"/>
      <w:marLeft w:val="0"/>
      <w:marRight w:val="0"/>
      <w:marTop w:val="0"/>
      <w:marBottom w:val="0"/>
      <w:divBdr>
        <w:top w:val="none" w:sz="0" w:space="0" w:color="auto"/>
        <w:left w:val="none" w:sz="0" w:space="0" w:color="auto"/>
        <w:bottom w:val="none" w:sz="0" w:space="0" w:color="auto"/>
        <w:right w:val="none" w:sz="0" w:space="0" w:color="auto"/>
      </w:divBdr>
    </w:div>
    <w:div w:id="1177578707">
      <w:bodyDiv w:val="1"/>
      <w:marLeft w:val="0"/>
      <w:marRight w:val="0"/>
      <w:marTop w:val="0"/>
      <w:marBottom w:val="0"/>
      <w:divBdr>
        <w:top w:val="none" w:sz="0" w:space="0" w:color="auto"/>
        <w:left w:val="none" w:sz="0" w:space="0" w:color="auto"/>
        <w:bottom w:val="none" w:sz="0" w:space="0" w:color="auto"/>
        <w:right w:val="none" w:sz="0" w:space="0" w:color="auto"/>
      </w:divBdr>
    </w:div>
    <w:div w:id="1179613801">
      <w:bodyDiv w:val="1"/>
      <w:marLeft w:val="0"/>
      <w:marRight w:val="0"/>
      <w:marTop w:val="0"/>
      <w:marBottom w:val="0"/>
      <w:divBdr>
        <w:top w:val="none" w:sz="0" w:space="0" w:color="auto"/>
        <w:left w:val="none" w:sz="0" w:space="0" w:color="auto"/>
        <w:bottom w:val="none" w:sz="0" w:space="0" w:color="auto"/>
        <w:right w:val="none" w:sz="0" w:space="0" w:color="auto"/>
      </w:divBdr>
    </w:div>
    <w:div w:id="1207252331">
      <w:bodyDiv w:val="1"/>
      <w:marLeft w:val="0"/>
      <w:marRight w:val="0"/>
      <w:marTop w:val="0"/>
      <w:marBottom w:val="0"/>
      <w:divBdr>
        <w:top w:val="none" w:sz="0" w:space="0" w:color="auto"/>
        <w:left w:val="none" w:sz="0" w:space="0" w:color="auto"/>
        <w:bottom w:val="none" w:sz="0" w:space="0" w:color="auto"/>
        <w:right w:val="none" w:sz="0" w:space="0" w:color="auto"/>
      </w:divBdr>
    </w:div>
    <w:div w:id="1209992754">
      <w:bodyDiv w:val="1"/>
      <w:marLeft w:val="0"/>
      <w:marRight w:val="0"/>
      <w:marTop w:val="0"/>
      <w:marBottom w:val="0"/>
      <w:divBdr>
        <w:top w:val="none" w:sz="0" w:space="0" w:color="auto"/>
        <w:left w:val="none" w:sz="0" w:space="0" w:color="auto"/>
        <w:bottom w:val="none" w:sz="0" w:space="0" w:color="auto"/>
        <w:right w:val="none" w:sz="0" w:space="0" w:color="auto"/>
      </w:divBdr>
    </w:div>
    <w:div w:id="1212570554">
      <w:bodyDiv w:val="1"/>
      <w:marLeft w:val="0"/>
      <w:marRight w:val="0"/>
      <w:marTop w:val="0"/>
      <w:marBottom w:val="0"/>
      <w:divBdr>
        <w:top w:val="none" w:sz="0" w:space="0" w:color="auto"/>
        <w:left w:val="none" w:sz="0" w:space="0" w:color="auto"/>
        <w:bottom w:val="none" w:sz="0" w:space="0" w:color="auto"/>
        <w:right w:val="none" w:sz="0" w:space="0" w:color="auto"/>
      </w:divBdr>
    </w:div>
    <w:div w:id="1220284857">
      <w:bodyDiv w:val="1"/>
      <w:marLeft w:val="0"/>
      <w:marRight w:val="0"/>
      <w:marTop w:val="0"/>
      <w:marBottom w:val="0"/>
      <w:divBdr>
        <w:top w:val="none" w:sz="0" w:space="0" w:color="auto"/>
        <w:left w:val="none" w:sz="0" w:space="0" w:color="auto"/>
        <w:bottom w:val="none" w:sz="0" w:space="0" w:color="auto"/>
        <w:right w:val="none" w:sz="0" w:space="0" w:color="auto"/>
      </w:divBdr>
    </w:div>
    <w:div w:id="1228341961">
      <w:bodyDiv w:val="1"/>
      <w:marLeft w:val="0"/>
      <w:marRight w:val="0"/>
      <w:marTop w:val="0"/>
      <w:marBottom w:val="0"/>
      <w:divBdr>
        <w:top w:val="none" w:sz="0" w:space="0" w:color="auto"/>
        <w:left w:val="none" w:sz="0" w:space="0" w:color="auto"/>
        <w:bottom w:val="none" w:sz="0" w:space="0" w:color="auto"/>
        <w:right w:val="none" w:sz="0" w:space="0" w:color="auto"/>
      </w:divBdr>
    </w:div>
    <w:div w:id="1231038012">
      <w:bodyDiv w:val="1"/>
      <w:marLeft w:val="0"/>
      <w:marRight w:val="0"/>
      <w:marTop w:val="0"/>
      <w:marBottom w:val="0"/>
      <w:divBdr>
        <w:top w:val="none" w:sz="0" w:space="0" w:color="auto"/>
        <w:left w:val="none" w:sz="0" w:space="0" w:color="auto"/>
        <w:bottom w:val="none" w:sz="0" w:space="0" w:color="auto"/>
        <w:right w:val="none" w:sz="0" w:space="0" w:color="auto"/>
      </w:divBdr>
    </w:div>
    <w:div w:id="1242254118">
      <w:bodyDiv w:val="1"/>
      <w:marLeft w:val="0"/>
      <w:marRight w:val="0"/>
      <w:marTop w:val="0"/>
      <w:marBottom w:val="0"/>
      <w:divBdr>
        <w:top w:val="none" w:sz="0" w:space="0" w:color="auto"/>
        <w:left w:val="none" w:sz="0" w:space="0" w:color="auto"/>
        <w:bottom w:val="none" w:sz="0" w:space="0" w:color="auto"/>
        <w:right w:val="none" w:sz="0" w:space="0" w:color="auto"/>
      </w:divBdr>
    </w:div>
    <w:div w:id="1276399680">
      <w:bodyDiv w:val="1"/>
      <w:marLeft w:val="0"/>
      <w:marRight w:val="0"/>
      <w:marTop w:val="0"/>
      <w:marBottom w:val="0"/>
      <w:divBdr>
        <w:top w:val="none" w:sz="0" w:space="0" w:color="auto"/>
        <w:left w:val="none" w:sz="0" w:space="0" w:color="auto"/>
        <w:bottom w:val="none" w:sz="0" w:space="0" w:color="auto"/>
        <w:right w:val="none" w:sz="0" w:space="0" w:color="auto"/>
      </w:divBdr>
    </w:div>
    <w:div w:id="1278298951">
      <w:bodyDiv w:val="1"/>
      <w:marLeft w:val="0"/>
      <w:marRight w:val="0"/>
      <w:marTop w:val="0"/>
      <w:marBottom w:val="0"/>
      <w:divBdr>
        <w:top w:val="none" w:sz="0" w:space="0" w:color="auto"/>
        <w:left w:val="none" w:sz="0" w:space="0" w:color="auto"/>
        <w:bottom w:val="none" w:sz="0" w:space="0" w:color="auto"/>
        <w:right w:val="none" w:sz="0" w:space="0" w:color="auto"/>
      </w:divBdr>
    </w:div>
    <w:div w:id="1298031840">
      <w:bodyDiv w:val="1"/>
      <w:marLeft w:val="0"/>
      <w:marRight w:val="0"/>
      <w:marTop w:val="0"/>
      <w:marBottom w:val="0"/>
      <w:divBdr>
        <w:top w:val="none" w:sz="0" w:space="0" w:color="auto"/>
        <w:left w:val="none" w:sz="0" w:space="0" w:color="auto"/>
        <w:bottom w:val="none" w:sz="0" w:space="0" w:color="auto"/>
        <w:right w:val="none" w:sz="0" w:space="0" w:color="auto"/>
      </w:divBdr>
    </w:div>
    <w:div w:id="1299608495">
      <w:bodyDiv w:val="1"/>
      <w:marLeft w:val="0"/>
      <w:marRight w:val="0"/>
      <w:marTop w:val="0"/>
      <w:marBottom w:val="0"/>
      <w:divBdr>
        <w:top w:val="none" w:sz="0" w:space="0" w:color="auto"/>
        <w:left w:val="none" w:sz="0" w:space="0" w:color="auto"/>
        <w:bottom w:val="none" w:sz="0" w:space="0" w:color="auto"/>
        <w:right w:val="none" w:sz="0" w:space="0" w:color="auto"/>
      </w:divBdr>
    </w:div>
    <w:div w:id="1308392785">
      <w:bodyDiv w:val="1"/>
      <w:marLeft w:val="0"/>
      <w:marRight w:val="0"/>
      <w:marTop w:val="0"/>
      <w:marBottom w:val="0"/>
      <w:divBdr>
        <w:top w:val="none" w:sz="0" w:space="0" w:color="auto"/>
        <w:left w:val="none" w:sz="0" w:space="0" w:color="auto"/>
        <w:bottom w:val="none" w:sz="0" w:space="0" w:color="auto"/>
        <w:right w:val="none" w:sz="0" w:space="0" w:color="auto"/>
      </w:divBdr>
    </w:div>
    <w:div w:id="1315262132">
      <w:bodyDiv w:val="1"/>
      <w:marLeft w:val="0"/>
      <w:marRight w:val="0"/>
      <w:marTop w:val="0"/>
      <w:marBottom w:val="0"/>
      <w:divBdr>
        <w:top w:val="none" w:sz="0" w:space="0" w:color="auto"/>
        <w:left w:val="none" w:sz="0" w:space="0" w:color="auto"/>
        <w:bottom w:val="none" w:sz="0" w:space="0" w:color="auto"/>
        <w:right w:val="none" w:sz="0" w:space="0" w:color="auto"/>
      </w:divBdr>
    </w:div>
    <w:div w:id="1331252234">
      <w:bodyDiv w:val="1"/>
      <w:marLeft w:val="0"/>
      <w:marRight w:val="0"/>
      <w:marTop w:val="0"/>
      <w:marBottom w:val="0"/>
      <w:divBdr>
        <w:top w:val="none" w:sz="0" w:space="0" w:color="auto"/>
        <w:left w:val="none" w:sz="0" w:space="0" w:color="auto"/>
        <w:bottom w:val="none" w:sz="0" w:space="0" w:color="auto"/>
        <w:right w:val="none" w:sz="0" w:space="0" w:color="auto"/>
      </w:divBdr>
      <w:divsChild>
        <w:div w:id="1338579452">
          <w:marLeft w:val="0"/>
          <w:marRight w:val="0"/>
          <w:marTop w:val="0"/>
          <w:marBottom w:val="0"/>
          <w:divBdr>
            <w:top w:val="none" w:sz="0" w:space="0" w:color="auto"/>
            <w:left w:val="none" w:sz="0" w:space="0" w:color="auto"/>
            <w:bottom w:val="none" w:sz="0" w:space="0" w:color="auto"/>
            <w:right w:val="none" w:sz="0" w:space="0" w:color="auto"/>
          </w:divBdr>
        </w:div>
      </w:divsChild>
    </w:div>
    <w:div w:id="1346443737">
      <w:bodyDiv w:val="1"/>
      <w:marLeft w:val="0"/>
      <w:marRight w:val="0"/>
      <w:marTop w:val="0"/>
      <w:marBottom w:val="0"/>
      <w:divBdr>
        <w:top w:val="none" w:sz="0" w:space="0" w:color="auto"/>
        <w:left w:val="none" w:sz="0" w:space="0" w:color="auto"/>
        <w:bottom w:val="none" w:sz="0" w:space="0" w:color="auto"/>
        <w:right w:val="none" w:sz="0" w:space="0" w:color="auto"/>
      </w:divBdr>
    </w:div>
    <w:div w:id="1357927709">
      <w:bodyDiv w:val="1"/>
      <w:marLeft w:val="0"/>
      <w:marRight w:val="0"/>
      <w:marTop w:val="0"/>
      <w:marBottom w:val="0"/>
      <w:divBdr>
        <w:top w:val="none" w:sz="0" w:space="0" w:color="auto"/>
        <w:left w:val="none" w:sz="0" w:space="0" w:color="auto"/>
        <w:bottom w:val="none" w:sz="0" w:space="0" w:color="auto"/>
        <w:right w:val="none" w:sz="0" w:space="0" w:color="auto"/>
      </w:divBdr>
    </w:div>
    <w:div w:id="1358235658">
      <w:bodyDiv w:val="1"/>
      <w:marLeft w:val="0"/>
      <w:marRight w:val="0"/>
      <w:marTop w:val="0"/>
      <w:marBottom w:val="0"/>
      <w:divBdr>
        <w:top w:val="none" w:sz="0" w:space="0" w:color="auto"/>
        <w:left w:val="none" w:sz="0" w:space="0" w:color="auto"/>
        <w:bottom w:val="none" w:sz="0" w:space="0" w:color="auto"/>
        <w:right w:val="none" w:sz="0" w:space="0" w:color="auto"/>
      </w:divBdr>
    </w:div>
    <w:div w:id="1366564141">
      <w:bodyDiv w:val="1"/>
      <w:marLeft w:val="0"/>
      <w:marRight w:val="0"/>
      <w:marTop w:val="0"/>
      <w:marBottom w:val="0"/>
      <w:divBdr>
        <w:top w:val="none" w:sz="0" w:space="0" w:color="auto"/>
        <w:left w:val="none" w:sz="0" w:space="0" w:color="auto"/>
        <w:bottom w:val="none" w:sz="0" w:space="0" w:color="auto"/>
        <w:right w:val="none" w:sz="0" w:space="0" w:color="auto"/>
      </w:divBdr>
    </w:div>
    <w:div w:id="1370374699">
      <w:bodyDiv w:val="1"/>
      <w:marLeft w:val="0"/>
      <w:marRight w:val="0"/>
      <w:marTop w:val="0"/>
      <w:marBottom w:val="0"/>
      <w:divBdr>
        <w:top w:val="none" w:sz="0" w:space="0" w:color="auto"/>
        <w:left w:val="none" w:sz="0" w:space="0" w:color="auto"/>
        <w:bottom w:val="none" w:sz="0" w:space="0" w:color="auto"/>
        <w:right w:val="none" w:sz="0" w:space="0" w:color="auto"/>
      </w:divBdr>
      <w:divsChild>
        <w:div w:id="1476606659">
          <w:marLeft w:val="0"/>
          <w:marRight w:val="0"/>
          <w:marTop w:val="0"/>
          <w:marBottom w:val="0"/>
          <w:divBdr>
            <w:top w:val="none" w:sz="0" w:space="0" w:color="auto"/>
            <w:left w:val="none" w:sz="0" w:space="0" w:color="auto"/>
            <w:bottom w:val="none" w:sz="0" w:space="0" w:color="auto"/>
            <w:right w:val="none" w:sz="0" w:space="0" w:color="auto"/>
          </w:divBdr>
        </w:div>
      </w:divsChild>
    </w:div>
    <w:div w:id="1378120678">
      <w:bodyDiv w:val="1"/>
      <w:marLeft w:val="0"/>
      <w:marRight w:val="0"/>
      <w:marTop w:val="0"/>
      <w:marBottom w:val="0"/>
      <w:divBdr>
        <w:top w:val="none" w:sz="0" w:space="0" w:color="auto"/>
        <w:left w:val="none" w:sz="0" w:space="0" w:color="auto"/>
        <w:bottom w:val="none" w:sz="0" w:space="0" w:color="auto"/>
        <w:right w:val="none" w:sz="0" w:space="0" w:color="auto"/>
      </w:divBdr>
    </w:div>
    <w:div w:id="1384982919">
      <w:bodyDiv w:val="1"/>
      <w:marLeft w:val="0"/>
      <w:marRight w:val="0"/>
      <w:marTop w:val="0"/>
      <w:marBottom w:val="0"/>
      <w:divBdr>
        <w:top w:val="none" w:sz="0" w:space="0" w:color="auto"/>
        <w:left w:val="none" w:sz="0" w:space="0" w:color="auto"/>
        <w:bottom w:val="none" w:sz="0" w:space="0" w:color="auto"/>
        <w:right w:val="none" w:sz="0" w:space="0" w:color="auto"/>
      </w:divBdr>
    </w:div>
    <w:div w:id="1388066331">
      <w:bodyDiv w:val="1"/>
      <w:marLeft w:val="0"/>
      <w:marRight w:val="0"/>
      <w:marTop w:val="0"/>
      <w:marBottom w:val="0"/>
      <w:divBdr>
        <w:top w:val="none" w:sz="0" w:space="0" w:color="auto"/>
        <w:left w:val="none" w:sz="0" w:space="0" w:color="auto"/>
        <w:bottom w:val="none" w:sz="0" w:space="0" w:color="auto"/>
        <w:right w:val="none" w:sz="0" w:space="0" w:color="auto"/>
      </w:divBdr>
    </w:div>
    <w:div w:id="1394311058">
      <w:bodyDiv w:val="1"/>
      <w:marLeft w:val="0"/>
      <w:marRight w:val="0"/>
      <w:marTop w:val="0"/>
      <w:marBottom w:val="0"/>
      <w:divBdr>
        <w:top w:val="none" w:sz="0" w:space="0" w:color="auto"/>
        <w:left w:val="none" w:sz="0" w:space="0" w:color="auto"/>
        <w:bottom w:val="none" w:sz="0" w:space="0" w:color="auto"/>
        <w:right w:val="none" w:sz="0" w:space="0" w:color="auto"/>
      </w:divBdr>
    </w:div>
    <w:div w:id="1397162254">
      <w:bodyDiv w:val="1"/>
      <w:marLeft w:val="0"/>
      <w:marRight w:val="0"/>
      <w:marTop w:val="0"/>
      <w:marBottom w:val="0"/>
      <w:divBdr>
        <w:top w:val="none" w:sz="0" w:space="0" w:color="auto"/>
        <w:left w:val="none" w:sz="0" w:space="0" w:color="auto"/>
        <w:bottom w:val="none" w:sz="0" w:space="0" w:color="auto"/>
        <w:right w:val="none" w:sz="0" w:space="0" w:color="auto"/>
      </w:divBdr>
    </w:div>
    <w:div w:id="1425809083">
      <w:bodyDiv w:val="1"/>
      <w:marLeft w:val="0"/>
      <w:marRight w:val="0"/>
      <w:marTop w:val="0"/>
      <w:marBottom w:val="0"/>
      <w:divBdr>
        <w:top w:val="none" w:sz="0" w:space="0" w:color="auto"/>
        <w:left w:val="none" w:sz="0" w:space="0" w:color="auto"/>
        <w:bottom w:val="none" w:sz="0" w:space="0" w:color="auto"/>
        <w:right w:val="none" w:sz="0" w:space="0" w:color="auto"/>
      </w:divBdr>
    </w:div>
    <w:div w:id="1434396548">
      <w:bodyDiv w:val="1"/>
      <w:marLeft w:val="0"/>
      <w:marRight w:val="0"/>
      <w:marTop w:val="0"/>
      <w:marBottom w:val="0"/>
      <w:divBdr>
        <w:top w:val="none" w:sz="0" w:space="0" w:color="auto"/>
        <w:left w:val="none" w:sz="0" w:space="0" w:color="auto"/>
        <w:bottom w:val="none" w:sz="0" w:space="0" w:color="auto"/>
        <w:right w:val="none" w:sz="0" w:space="0" w:color="auto"/>
      </w:divBdr>
    </w:div>
    <w:div w:id="1450512504">
      <w:bodyDiv w:val="1"/>
      <w:marLeft w:val="0"/>
      <w:marRight w:val="0"/>
      <w:marTop w:val="0"/>
      <w:marBottom w:val="0"/>
      <w:divBdr>
        <w:top w:val="none" w:sz="0" w:space="0" w:color="auto"/>
        <w:left w:val="none" w:sz="0" w:space="0" w:color="auto"/>
        <w:bottom w:val="none" w:sz="0" w:space="0" w:color="auto"/>
        <w:right w:val="none" w:sz="0" w:space="0" w:color="auto"/>
      </w:divBdr>
    </w:div>
    <w:div w:id="1458139564">
      <w:bodyDiv w:val="1"/>
      <w:marLeft w:val="0"/>
      <w:marRight w:val="0"/>
      <w:marTop w:val="0"/>
      <w:marBottom w:val="0"/>
      <w:divBdr>
        <w:top w:val="none" w:sz="0" w:space="0" w:color="auto"/>
        <w:left w:val="none" w:sz="0" w:space="0" w:color="auto"/>
        <w:bottom w:val="none" w:sz="0" w:space="0" w:color="auto"/>
        <w:right w:val="none" w:sz="0" w:space="0" w:color="auto"/>
      </w:divBdr>
    </w:div>
    <w:div w:id="1463770341">
      <w:bodyDiv w:val="1"/>
      <w:marLeft w:val="0"/>
      <w:marRight w:val="0"/>
      <w:marTop w:val="0"/>
      <w:marBottom w:val="0"/>
      <w:divBdr>
        <w:top w:val="none" w:sz="0" w:space="0" w:color="auto"/>
        <w:left w:val="none" w:sz="0" w:space="0" w:color="auto"/>
        <w:bottom w:val="none" w:sz="0" w:space="0" w:color="auto"/>
        <w:right w:val="none" w:sz="0" w:space="0" w:color="auto"/>
      </w:divBdr>
    </w:div>
    <w:div w:id="1464542277">
      <w:bodyDiv w:val="1"/>
      <w:marLeft w:val="0"/>
      <w:marRight w:val="0"/>
      <w:marTop w:val="0"/>
      <w:marBottom w:val="0"/>
      <w:divBdr>
        <w:top w:val="none" w:sz="0" w:space="0" w:color="auto"/>
        <w:left w:val="none" w:sz="0" w:space="0" w:color="auto"/>
        <w:bottom w:val="none" w:sz="0" w:space="0" w:color="auto"/>
        <w:right w:val="none" w:sz="0" w:space="0" w:color="auto"/>
      </w:divBdr>
    </w:div>
    <w:div w:id="1467776882">
      <w:bodyDiv w:val="1"/>
      <w:marLeft w:val="0"/>
      <w:marRight w:val="0"/>
      <w:marTop w:val="0"/>
      <w:marBottom w:val="0"/>
      <w:divBdr>
        <w:top w:val="none" w:sz="0" w:space="0" w:color="auto"/>
        <w:left w:val="none" w:sz="0" w:space="0" w:color="auto"/>
        <w:bottom w:val="none" w:sz="0" w:space="0" w:color="auto"/>
        <w:right w:val="none" w:sz="0" w:space="0" w:color="auto"/>
      </w:divBdr>
      <w:divsChild>
        <w:div w:id="33577733">
          <w:marLeft w:val="274"/>
          <w:marRight w:val="0"/>
          <w:marTop w:val="0"/>
          <w:marBottom w:val="60"/>
          <w:divBdr>
            <w:top w:val="none" w:sz="0" w:space="0" w:color="auto"/>
            <w:left w:val="none" w:sz="0" w:space="0" w:color="auto"/>
            <w:bottom w:val="none" w:sz="0" w:space="0" w:color="auto"/>
            <w:right w:val="none" w:sz="0" w:space="0" w:color="auto"/>
          </w:divBdr>
        </w:div>
        <w:div w:id="341906494">
          <w:marLeft w:val="274"/>
          <w:marRight w:val="0"/>
          <w:marTop w:val="0"/>
          <w:marBottom w:val="60"/>
          <w:divBdr>
            <w:top w:val="none" w:sz="0" w:space="0" w:color="auto"/>
            <w:left w:val="none" w:sz="0" w:space="0" w:color="auto"/>
            <w:bottom w:val="none" w:sz="0" w:space="0" w:color="auto"/>
            <w:right w:val="none" w:sz="0" w:space="0" w:color="auto"/>
          </w:divBdr>
        </w:div>
        <w:div w:id="389034794">
          <w:marLeft w:val="274"/>
          <w:marRight w:val="0"/>
          <w:marTop w:val="0"/>
          <w:marBottom w:val="60"/>
          <w:divBdr>
            <w:top w:val="none" w:sz="0" w:space="0" w:color="auto"/>
            <w:left w:val="none" w:sz="0" w:space="0" w:color="auto"/>
            <w:bottom w:val="none" w:sz="0" w:space="0" w:color="auto"/>
            <w:right w:val="none" w:sz="0" w:space="0" w:color="auto"/>
          </w:divBdr>
        </w:div>
        <w:div w:id="412313523">
          <w:marLeft w:val="274"/>
          <w:marRight w:val="0"/>
          <w:marTop w:val="0"/>
          <w:marBottom w:val="60"/>
          <w:divBdr>
            <w:top w:val="none" w:sz="0" w:space="0" w:color="auto"/>
            <w:left w:val="none" w:sz="0" w:space="0" w:color="auto"/>
            <w:bottom w:val="none" w:sz="0" w:space="0" w:color="auto"/>
            <w:right w:val="none" w:sz="0" w:space="0" w:color="auto"/>
          </w:divBdr>
        </w:div>
        <w:div w:id="603268244">
          <w:marLeft w:val="274"/>
          <w:marRight w:val="0"/>
          <w:marTop w:val="0"/>
          <w:marBottom w:val="60"/>
          <w:divBdr>
            <w:top w:val="none" w:sz="0" w:space="0" w:color="auto"/>
            <w:left w:val="none" w:sz="0" w:space="0" w:color="auto"/>
            <w:bottom w:val="none" w:sz="0" w:space="0" w:color="auto"/>
            <w:right w:val="none" w:sz="0" w:space="0" w:color="auto"/>
          </w:divBdr>
        </w:div>
        <w:div w:id="759176434">
          <w:marLeft w:val="274"/>
          <w:marRight w:val="0"/>
          <w:marTop w:val="0"/>
          <w:marBottom w:val="60"/>
          <w:divBdr>
            <w:top w:val="none" w:sz="0" w:space="0" w:color="auto"/>
            <w:left w:val="none" w:sz="0" w:space="0" w:color="auto"/>
            <w:bottom w:val="none" w:sz="0" w:space="0" w:color="auto"/>
            <w:right w:val="none" w:sz="0" w:space="0" w:color="auto"/>
          </w:divBdr>
        </w:div>
        <w:div w:id="913048089">
          <w:marLeft w:val="274"/>
          <w:marRight w:val="0"/>
          <w:marTop w:val="0"/>
          <w:marBottom w:val="60"/>
          <w:divBdr>
            <w:top w:val="none" w:sz="0" w:space="0" w:color="auto"/>
            <w:left w:val="none" w:sz="0" w:space="0" w:color="auto"/>
            <w:bottom w:val="none" w:sz="0" w:space="0" w:color="auto"/>
            <w:right w:val="none" w:sz="0" w:space="0" w:color="auto"/>
          </w:divBdr>
        </w:div>
        <w:div w:id="1610233541">
          <w:marLeft w:val="274"/>
          <w:marRight w:val="0"/>
          <w:marTop w:val="0"/>
          <w:marBottom w:val="60"/>
          <w:divBdr>
            <w:top w:val="none" w:sz="0" w:space="0" w:color="auto"/>
            <w:left w:val="none" w:sz="0" w:space="0" w:color="auto"/>
            <w:bottom w:val="none" w:sz="0" w:space="0" w:color="auto"/>
            <w:right w:val="none" w:sz="0" w:space="0" w:color="auto"/>
          </w:divBdr>
        </w:div>
        <w:div w:id="1975133750">
          <w:marLeft w:val="274"/>
          <w:marRight w:val="0"/>
          <w:marTop w:val="0"/>
          <w:marBottom w:val="60"/>
          <w:divBdr>
            <w:top w:val="none" w:sz="0" w:space="0" w:color="auto"/>
            <w:left w:val="none" w:sz="0" w:space="0" w:color="auto"/>
            <w:bottom w:val="none" w:sz="0" w:space="0" w:color="auto"/>
            <w:right w:val="none" w:sz="0" w:space="0" w:color="auto"/>
          </w:divBdr>
        </w:div>
      </w:divsChild>
    </w:div>
    <w:div w:id="1476684915">
      <w:bodyDiv w:val="1"/>
      <w:marLeft w:val="0"/>
      <w:marRight w:val="0"/>
      <w:marTop w:val="0"/>
      <w:marBottom w:val="0"/>
      <w:divBdr>
        <w:top w:val="none" w:sz="0" w:space="0" w:color="auto"/>
        <w:left w:val="none" w:sz="0" w:space="0" w:color="auto"/>
        <w:bottom w:val="none" w:sz="0" w:space="0" w:color="auto"/>
        <w:right w:val="none" w:sz="0" w:space="0" w:color="auto"/>
      </w:divBdr>
    </w:div>
    <w:div w:id="1491095030">
      <w:bodyDiv w:val="1"/>
      <w:marLeft w:val="0"/>
      <w:marRight w:val="0"/>
      <w:marTop w:val="0"/>
      <w:marBottom w:val="0"/>
      <w:divBdr>
        <w:top w:val="none" w:sz="0" w:space="0" w:color="auto"/>
        <w:left w:val="none" w:sz="0" w:space="0" w:color="auto"/>
        <w:bottom w:val="none" w:sz="0" w:space="0" w:color="auto"/>
        <w:right w:val="none" w:sz="0" w:space="0" w:color="auto"/>
      </w:divBdr>
      <w:divsChild>
        <w:div w:id="253124750">
          <w:marLeft w:val="1267"/>
          <w:marRight w:val="0"/>
          <w:marTop w:val="0"/>
          <w:marBottom w:val="0"/>
          <w:divBdr>
            <w:top w:val="none" w:sz="0" w:space="0" w:color="auto"/>
            <w:left w:val="none" w:sz="0" w:space="0" w:color="auto"/>
            <w:bottom w:val="none" w:sz="0" w:space="0" w:color="auto"/>
            <w:right w:val="none" w:sz="0" w:space="0" w:color="auto"/>
          </w:divBdr>
        </w:div>
        <w:div w:id="379329724">
          <w:marLeft w:val="1267"/>
          <w:marRight w:val="0"/>
          <w:marTop w:val="0"/>
          <w:marBottom w:val="0"/>
          <w:divBdr>
            <w:top w:val="none" w:sz="0" w:space="0" w:color="auto"/>
            <w:left w:val="none" w:sz="0" w:space="0" w:color="auto"/>
            <w:bottom w:val="none" w:sz="0" w:space="0" w:color="auto"/>
            <w:right w:val="none" w:sz="0" w:space="0" w:color="auto"/>
          </w:divBdr>
        </w:div>
        <w:div w:id="1688211677">
          <w:marLeft w:val="1267"/>
          <w:marRight w:val="0"/>
          <w:marTop w:val="0"/>
          <w:marBottom w:val="0"/>
          <w:divBdr>
            <w:top w:val="none" w:sz="0" w:space="0" w:color="auto"/>
            <w:left w:val="none" w:sz="0" w:space="0" w:color="auto"/>
            <w:bottom w:val="none" w:sz="0" w:space="0" w:color="auto"/>
            <w:right w:val="none" w:sz="0" w:space="0" w:color="auto"/>
          </w:divBdr>
        </w:div>
        <w:div w:id="2047944096">
          <w:marLeft w:val="1267"/>
          <w:marRight w:val="0"/>
          <w:marTop w:val="0"/>
          <w:marBottom w:val="0"/>
          <w:divBdr>
            <w:top w:val="none" w:sz="0" w:space="0" w:color="auto"/>
            <w:left w:val="none" w:sz="0" w:space="0" w:color="auto"/>
            <w:bottom w:val="none" w:sz="0" w:space="0" w:color="auto"/>
            <w:right w:val="none" w:sz="0" w:space="0" w:color="auto"/>
          </w:divBdr>
        </w:div>
        <w:div w:id="2114666461">
          <w:marLeft w:val="1267"/>
          <w:marRight w:val="0"/>
          <w:marTop w:val="0"/>
          <w:marBottom w:val="0"/>
          <w:divBdr>
            <w:top w:val="none" w:sz="0" w:space="0" w:color="auto"/>
            <w:left w:val="none" w:sz="0" w:space="0" w:color="auto"/>
            <w:bottom w:val="none" w:sz="0" w:space="0" w:color="auto"/>
            <w:right w:val="none" w:sz="0" w:space="0" w:color="auto"/>
          </w:divBdr>
        </w:div>
      </w:divsChild>
    </w:div>
    <w:div w:id="1495728566">
      <w:bodyDiv w:val="1"/>
      <w:marLeft w:val="0"/>
      <w:marRight w:val="0"/>
      <w:marTop w:val="0"/>
      <w:marBottom w:val="0"/>
      <w:divBdr>
        <w:top w:val="none" w:sz="0" w:space="0" w:color="auto"/>
        <w:left w:val="none" w:sz="0" w:space="0" w:color="auto"/>
        <w:bottom w:val="none" w:sz="0" w:space="0" w:color="auto"/>
        <w:right w:val="none" w:sz="0" w:space="0" w:color="auto"/>
      </w:divBdr>
    </w:div>
    <w:div w:id="1510411125">
      <w:bodyDiv w:val="1"/>
      <w:marLeft w:val="0"/>
      <w:marRight w:val="0"/>
      <w:marTop w:val="0"/>
      <w:marBottom w:val="0"/>
      <w:divBdr>
        <w:top w:val="none" w:sz="0" w:space="0" w:color="auto"/>
        <w:left w:val="none" w:sz="0" w:space="0" w:color="auto"/>
        <w:bottom w:val="none" w:sz="0" w:space="0" w:color="auto"/>
        <w:right w:val="none" w:sz="0" w:space="0" w:color="auto"/>
      </w:divBdr>
    </w:div>
    <w:div w:id="1513494293">
      <w:bodyDiv w:val="1"/>
      <w:marLeft w:val="0"/>
      <w:marRight w:val="0"/>
      <w:marTop w:val="0"/>
      <w:marBottom w:val="0"/>
      <w:divBdr>
        <w:top w:val="none" w:sz="0" w:space="0" w:color="auto"/>
        <w:left w:val="none" w:sz="0" w:space="0" w:color="auto"/>
        <w:bottom w:val="none" w:sz="0" w:space="0" w:color="auto"/>
        <w:right w:val="none" w:sz="0" w:space="0" w:color="auto"/>
      </w:divBdr>
    </w:div>
    <w:div w:id="1540894712">
      <w:bodyDiv w:val="1"/>
      <w:marLeft w:val="0"/>
      <w:marRight w:val="0"/>
      <w:marTop w:val="0"/>
      <w:marBottom w:val="0"/>
      <w:divBdr>
        <w:top w:val="none" w:sz="0" w:space="0" w:color="auto"/>
        <w:left w:val="none" w:sz="0" w:space="0" w:color="auto"/>
        <w:bottom w:val="none" w:sz="0" w:space="0" w:color="auto"/>
        <w:right w:val="none" w:sz="0" w:space="0" w:color="auto"/>
      </w:divBdr>
    </w:div>
    <w:div w:id="1543052711">
      <w:bodyDiv w:val="1"/>
      <w:marLeft w:val="0"/>
      <w:marRight w:val="0"/>
      <w:marTop w:val="0"/>
      <w:marBottom w:val="0"/>
      <w:divBdr>
        <w:top w:val="none" w:sz="0" w:space="0" w:color="auto"/>
        <w:left w:val="none" w:sz="0" w:space="0" w:color="auto"/>
        <w:bottom w:val="none" w:sz="0" w:space="0" w:color="auto"/>
        <w:right w:val="none" w:sz="0" w:space="0" w:color="auto"/>
      </w:divBdr>
    </w:div>
    <w:div w:id="1546671664">
      <w:bodyDiv w:val="1"/>
      <w:marLeft w:val="0"/>
      <w:marRight w:val="0"/>
      <w:marTop w:val="0"/>
      <w:marBottom w:val="0"/>
      <w:divBdr>
        <w:top w:val="none" w:sz="0" w:space="0" w:color="auto"/>
        <w:left w:val="none" w:sz="0" w:space="0" w:color="auto"/>
        <w:bottom w:val="none" w:sz="0" w:space="0" w:color="auto"/>
        <w:right w:val="none" w:sz="0" w:space="0" w:color="auto"/>
      </w:divBdr>
    </w:div>
    <w:div w:id="1561210278">
      <w:bodyDiv w:val="1"/>
      <w:marLeft w:val="0"/>
      <w:marRight w:val="0"/>
      <w:marTop w:val="0"/>
      <w:marBottom w:val="0"/>
      <w:divBdr>
        <w:top w:val="none" w:sz="0" w:space="0" w:color="auto"/>
        <w:left w:val="none" w:sz="0" w:space="0" w:color="auto"/>
        <w:bottom w:val="none" w:sz="0" w:space="0" w:color="auto"/>
        <w:right w:val="none" w:sz="0" w:space="0" w:color="auto"/>
      </w:divBdr>
      <w:divsChild>
        <w:div w:id="497813220">
          <w:marLeft w:val="288"/>
          <w:marRight w:val="0"/>
          <w:marTop w:val="0"/>
          <w:marBottom w:val="0"/>
          <w:divBdr>
            <w:top w:val="none" w:sz="0" w:space="0" w:color="auto"/>
            <w:left w:val="none" w:sz="0" w:space="0" w:color="auto"/>
            <w:bottom w:val="none" w:sz="0" w:space="0" w:color="auto"/>
            <w:right w:val="none" w:sz="0" w:space="0" w:color="auto"/>
          </w:divBdr>
        </w:div>
        <w:div w:id="1035812980">
          <w:marLeft w:val="288"/>
          <w:marRight w:val="0"/>
          <w:marTop w:val="0"/>
          <w:marBottom w:val="0"/>
          <w:divBdr>
            <w:top w:val="none" w:sz="0" w:space="0" w:color="auto"/>
            <w:left w:val="none" w:sz="0" w:space="0" w:color="auto"/>
            <w:bottom w:val="none" w:sz="0" w:space="0" w:color="auto"/>
            <w:right w:val="none" w:sz="0" w:space="0" w:color="auto"/>
          </w:divBdr>
        </w:div>
        <w:div w:id="1449810147">
          <w:marLeft w:val="288"/>
          <w:marRight w:val="0"/>
          <w:marTop w:val="0"/>
          <w:marBottom w:val="0"/>
          <w:divBdr>
            <w:top w:val="none" w:sz="0" w:space="0" w:color="auto"/>
            <w:left w:val="none" w:sz="0" w:space="0" w:color="auto"/>
            <w:bottom w:val="none" w:sz="0" w:space="0" w:color="auto"/>
            <w:right w:val="none" w:sz="0" w:space="0" w:color="auto"/>
          </w:divBdr>
        </w:div>
      </w:divsChild>
    </w:div>
    <w:div w:id="1563979126">
      <w:bodyDiv w:val="1"/>
      <w:marLeft w:val="0"/>
      <w:marRight w:val="0"/>
      <w:marTop w:val="0"/>
      <w:marBottom w:val="0"/>
      <w:divBdr>
        <w:top w:val="none" w:sz="0" w:space="0" w:color="auto"/>
        <w:left w:val="none" w:sz="0" w:space="0" w:color="auto"/>
        <w:bottom w:val="none" w:sz="0" w:space="0" w:color="auto"/>
        <w:right w:val="none" w:sz="0" w:space="0" w:color="auto"/>
      </w:divBdr>
    </w:div>
    <w:div w:id="1569144324">
      <w:bodyDiv w:val="1"/>
      <w:marLeft w:val="0"/>
      <w:marRight w:val="0"/>
      <w:marTop w:val="0"/>
      <w:marBottom w:val="0"/>
      <w:divBdr>
        <w:top w:val="none" w:sz="0" w:space="0" w:color="auto"/>
        <w:left w:val="none" w:sz="0" w:space="0" w:color="auto"/>
        <w:bottom w:val="none" w:sz="0" w:space="0" w:color="auto"/>
        <w:right w:val="none" w:sz="0" w:space="0" w:color="auto"/>
      </w:divBdr>
    </w:div>
    <w:div w:id="1573391795">
      <w:bodyDiv w:val="1"/>
      <w:marLeft w:val="0"/>
      <w:marRight w:val="0"/>
      <w:marTop w:val="0"/>
      <w:marBottom w:val="0"/>
      <w:divBdr>
        <w:top w:val="none" w:sz="0" w:space="0" w:color="auto"/>
        <w:left w:val="none" w:sz="0" w:space="0" w:color="auto"/>
        <w:bottom w:val="none" w:sz="0" w:space="0" w:color="auto"/>
        <w:right w:val="none" w:sz="0" w:space="0" w:color="auto"/>
      </w:divBdr>
      <w:divsChild>
        <w:div w:id="14187801">
          <w:marLeft w:val="274"/>
          <w:marRight w:val="0"/>
          <w:marTop w:val="0"/>
          <w:marBottom w:val="0"/>
          <w:divBdr>
            <w:top w:val="none" w:sz="0" w:space="0" w:color="auto"/>
            <w:left w:val="none" w:sz="0" w:space="0" w:color="auto"/>
            <w:bottom w:val="none" w:sz="0" w:space="0" w:color="auto"/>
            <w:right w:val="none" w:sz="0" w:space="0" w:color="auto"/>
          </w:divBdr>
        </w:div>
        <w:div w:id="216209089">
          <w:marLeft w:val="274"/>
          <w:marRight w:val="0"/>
          <w:marTop w:val="0"/>
          <w:marBottom w:val="0"/>
          <w:divBdr>
            <w:top w:val="none" w:sz="0" w:space="0" w:color="auto"/>
            <w:left w:val="none" w:sz="0" w:space="0" w:color="auto"/>
            <w:bottom w:val="none" w:sz="0" w:space="0" w:color="auto"/>
            <w:right w:val="none" w:sz="0" w:space="0" w:color="auto"/>
          </w:divBdr>
        </w:div>
        <w:div w:id="992678273">
          <w:marLeft w:val="274"/>
          <w:marRight w:val="0"/>
          <w:marTop w:val="0"/>
          <w:marBottom w:val="0"/>
          <w:divBdr>
            <w:top w:val="none" w:sz="0" w:space="0" w:color="auto"/>
            <w:left w:val="none" w:sz="0" w:space="0" w:color="auto"/>
            <w:bottom w:val="none" w:sz="0" w:space="0" w:color="auto"/>
            <w:right w:val="none" w:sz="0" w:space="0" w:color="auto"/>
          </w:divBdr>
        </w:div>
      </w:divsChild>
    </w:div>
    <w:div w:id="1583023038">
      <w:bodyDiv w:val="1"/>
      <w:marLeft w:val="0"/>
      <w:marRight w:val="0"/>
      <w:marTop w:val="0"/>
      <w:marBottom w:val="0"/>
      <w:divBdr>
        <w:top w:val="none" w:sz="0" w:space="0" w:color="auto"/>
        <w:left w:val="none" w:sz="0" w:space="0" w:color="auto"/>
        <w:bottom w:val="none" w:sz="0" w:space="0" w:color="auto"/>
        <w:right w:val="none" w:sz="0" w:space="0" w:color="auto"/>
      </w:divBdr>
    </w:div>
    <w:div w:id="1629042272">
      <w:bodyDiv w:val="1"/>
      <w:marLeft w:val="0"/>
      <w:marRight w:val="0"/>
      <w:marTop w:val="0"/>
      <w:marBottom w:val="0"/>
      <w:divBdr>
        <w:top w:val="none" w:sz="0" w:space="0" w:color="auto"/>
        <w:left w:val="none" w:sz="0" w:space="0" w:color="auto"/>
        <w:bottom w:val="none" w:sz="0" w:space="0" w:color="auto"/>
        <w:right w:val="none" w:sz="0" w:space="0" w:color="auto"/>
      </w:divBdr>
    </w:div>
    <w:div w:id="1642954575">
      <w:bodyDiv w:val="1"/>
      <w:marLeft w:val="0"/>
      <w:marRight w:val="0"/>
      <w:marTop w:val="0"/>
      <w:marBottom w:val="0"/>
      <w:divBdr>
        <w:top w:val="none" w:sz="0" w:space="0" w:color="auto"/>
        <w:left w:val="none" w:sz="0" w:space="0" w:color="auto"/>
        <w:bottom w:val="none" w:sz="0" w:space="0" w:color="auto"/>
        <w:right w:val="none" w:sz="0" w:space="0" w:color="auto"/>
      </w:divBdr>
    </w:div>
    <w:div w:id="1644383904">
      <w:bodyDiv w:val="1"/>
      <w:marLeft w:val="0"/>
      <w:marRight w:val="0"/>
      <w:marTop w:val="0"/>
      <w:marBottom w:val="0"/>
      <w:divBdr>
        <w:top w:val="none" w:sz="0" w:space="0" w:color="auto"/>
        <w:left w:val="none" w:sz="0" w:space="0" w:color="auto"/>
        <w:bottom w:val="none" w:sz="0" w:space="0" w:color="auto"/>
        <w:right w:val="none" w:sz="0" w:space="0" w:color="auto"/>
      </w:divBdr>
    </w:div>
    <w:div w:id="1651058446">
      <w:bodyDiv w:val="1"/>
      <w:marLeft w:val="0"/>
      <w:marRight w:val="0"/>
      <w:marTop w:val="0"/>
      <w:marBottom w:val="0"/>
      <w:divBdr>
        <w:top w:val="none" w:sz="0" w:space="0" w:color="auto"/>
        <w:left w:val="none" w:sz="0" w:space="0" w:color="auto"/>
        <w:bottom w:val="none" w:sz="0" w:space="0" w:color="auto"/>
        <w:right w:val="none" w:sz="0" w:space="0" w:color="auto"/>
      </w:divBdr>
    </w:div>
    <w:div w:id="1654413001">
      <w:bodyDiv w:val="1"/>
      <w:marLeft w:val="0"/>
      <w:marRight w:val="0"/>
      <w:marTop w:val="0"/>
      <w:marBottom w:val="0"/>
      <w:divBdr>
        <w:top w:val="none" w:sz="0" w:space="0" w:color="auto"/>
        <w:left w:val="none" w:sz="0" w:space="0" w:color="auto"/>
        <w:bottom w:val="none" w:sz="0" w:space="0" w:color="auto"/>
        <w:right w:val="none" w:sz="0" w:space="0" w:color="auto"/>
      </w:divBdr>
    </w:div>
    <w:div w:id="1654942094">
      <w:bodyDiv w:val="1"/>
      <w:marLeft w:val="0"/>
      <w:marRight w:val="0"/>
      <w:marTop w:val="0"/>
      <w:marBottom w:val="0"/>
      <w:divBdr>
        <w:top w:val="none" w:sz="0" w:space="0" w:color="auto"/>
        <w:left w:val="none" w:sz="0" w:space="0" w:color="auto"/>
        <w:bottom w:val="none" w:sz="0" w:space="0" w:color="auto"/>
        <w:right w:val="none" w:sz="0" w:space="0" w:color="auto"/>
      </w:divBdr>
    </w:div>
    <w:div w:id="1659531608">
      <w:bodyDiv w:val="1"/>
      <w:marLeft w:val="0"/>
      <w:marRight w:val="0"/>
      <w:marTop w:val="0"/>
      <w:marBottom w:val="0"/>
      <w:divBdr>
        <w:top w:val="none" w:sz="0" w:space="0" w:color="auto"/>
        <w:left w:val="none" w:sz="0" w:space="0" w:color="auto"/>
        <w:bottom w:val="none" w:sz="0" w:space="0" w:color="auto"/>
        <w:right w:val="none" w:sz="0" w:space="0" w:color="auto"/>
      </w:divBdr>
    </w:div>
    <w:div w:id="1660383431">
      <w:bodyDiv w:val="1"/>
      <w:marLeft w:val="0"/>
      <w:marRight w:val="0"/>
      <w:marTop w:val="0"/>
      <w:marBottom w:val="0"/>
      <w:divBdr>
        <w:top w:val="none" w:sz="0" w:space="0" w:color="auto"/>
        <w:left w:val="none" w:sz="0" w:space="0" w:color="auto"/>
        <w:bottom w:val="none" w:sz="0" w:space="0" w:color="auto"/>
        <w:right w:val="none" w:sz="0" w:space="0" w:color="auto"/>
      </w:divBdr>
      <w:divsChild>
        <w:div w:id="758647261">
          <w:marLeft w:val="274"/>
          <w:marRight w:val="0"/>
          <w:marTop w:val="0"/>
          <w:marBottom w:val="0"/>
          <w:divBdr>
            <w:top w:val="none" w:sz="0" w:space="0" w:color="auto"/>
            <w:left w:val="none" w:sz="0" w:space="0" w:color="auto"/>
            <w:bottom w:val="none" w:sz="0" w:space="0" w:color="auto"/>
            <w:right w:val="none" w:sz="0" w:space="0" w:color="auto"/>
          </w:divBdr>
        </w:div>
        <w:div w:id="863909370">
          <w:marLeft w:val="274"/>
          <w:marRight w:val="0"/>
          <w:marTop w:val="0"/>
          <w:marBottom w:val="0"/>
          <w:divBdr>
            <w:top w:val="none" w:sz="0" w:space="0" w:color="auto"/>
            <w:left w:val="none" w:sz="0" w:space="0" w:color="auto"/>
            <w:bottom w:val="none" w:sz="0" w:space="0" w:color="auto"/>
            <w:right w:val="none" w:sz="0" w:space="0" w:color="auto"/>
          </w:divBdr>
        </w:div>
        <w:div w:id="1569920462">
          <w:marLeft w:val="274"/>
          <w:marRight w:val="0"/>
          <w:marTop w:val="0"/>
          <w:marBottom w:val="0"/>
          <w:divBdr>
            <w:top w:val="none" w:sz="0" w:space="0" w:color="auto"/>
            <w:left w:val="none" w:sz="0" w:space="0" w:color="auto"/>
            <w:bottom w:val="none" w:sz="0" w:space="0" w:color="auto"/>
            <w:right w:val="none" w:sz="0" w:space="0" w:color="auto"/>
          </w:divBdr>
        </w:div>
        <w:div w:id="1817914067">
          <w:marLeft w:val="274"/>
          <w:marRight w:val="0"/>
          <w:marTop w:val="0"/>
          <w:marBottom w:val="0"/>
          <w:divBdr>
            <w:top w:val="none" w:sz="0" w:space="0" w:color="auto"/>
            <w:left w:val="none" w:sz="0" w:space="0" w:color="auto"/>
            <w:bottom w:val="none" w:sz="0" w:space="0" w:color="auto"/>
            <w:right w:val="none" w:sz="0" w:space="0" w:color="auto"/>
          </w:divBdr>
        </w:div>
      </w:divsChild>
    </w:div>
    <w:div w:id="1678072172">
      <w:bodyDiv w:val="1"/>
      <w:marLeft w:val="0"/>
      <w:marRight w:val="0"/>
      <w:marTop w:val="0"/>
      <w:marBottom w:val="0"/>
      <w:divBdr>
        <w:top w:val="none" w:sz="0" w:space="0" w:color="auto"/>
        <w:left w:val="none" w:sz="0" w:space="0" w:color="auto"/>
        <w:bottom w:val="none" w:sz="0" w:space="0" w:color="auto"/>
        <w:right w:val="none" w:sz="0" w:space="0" w:color="auto"/>
      </w:divBdr>
      <w:divsChild>
        <w:div w:id="1118989509">
          <w:marLeft w:val="0"/>
          <w:marRight w:val="0"/>
          <w:marTop w:val="0"/>
          <w:marBottom w:val="0"/>
          <w:divBdr>
            <w:top w:val="none" w:sz="0" w:space="0" w:color="auto"/>
            <w:left w:val="none" w:sz="0" w:space="0" w:color="auto"/>
            <w:bottom w:val="none" w:sz="0" w:space="0" w:color="auto"/>
            <w:right w:val="none" w:sz="0" w:space="0" w:color="auto"/>
          </w:divBdr>
        </w:div>
      </w:divsChild>
    </w:div>
    <w:div w:id="1679380704">
      <w:bodyDiv w:val="1"/>
      <w:marLeft w:val="0"/>
      <w:marRight w:val="0"/>
      <w:marTop w:val="0"/>
      <w:marBottom w:val="0"/>
      <w:divBdr>
        <w:top w:val="none" w:sz="0" w:space="0" w:color="auto"/>
        <w:left w:val="none" w:sz="0" w:space="0" w:color="auto"/>
        <w:bottom w:val="none" w:sz="0" w:space="0" w:color="auto"/>
        <w:right w:val="none" w:sz="0" w:space="0" w:color="auto"/>
      </w:divBdr>
    </w:div>
    <w:div w:id="1680228103">
      <w:bodyDiv w:val="1"/>
      <w:marLeft w:val="0"/>
      <w:marRight w:val="0"/>
      <w:marTop w:val="0"/>
      <w:marBottom w:val="0"/>
      <w:divBdr>
        <w:top w:val="none" w:sz="0" w:space="0" w:color="auto"/>
        <w:left w:val="none" w:sz="0" w:space="0" w:color="auto"/>
        <w:bottom w:val="none" w:sz="0" w:space="0" w:color="auto"/>
        <w:right w:val="none" w:sz="0" w:space="0" w:color="auto"/>
      </w:divBdr>
    </w:div>
    <w:div w:id="1682972670">
      <w:bodyDiv w:val="1"/>
      <w:marLeft w:val="0"/>
      <w:marRight w:val="0"/>
      <w:marTop w:val="0"/>
      <w:marBottom w:val="0"/>
      <w:divBdr>
        <w:top w:val="none" w:sz="0" w:space="0" w:color="auto"/>
        <w:left w:val="none" w:sz="0" w:space="0" w:color="auto"/>
        <w:bottom w:val="none" w:sz="0" w:space="0" w:color="auto"/>
        <w:right w:val="none" w:sz="0" w:space="0" w:color="auto"/>
      </w:divBdr>
    </w:div>
    <w:div w:id="1716276015">
      <w:bodyDiv w:val="1"/>
      <w:marLeft w:val="0"/>
      <w:marRight w:val="0"/>
      <w:marTop w:val="0"/>
      <w:marBottom w:val="0"/>
      <w:divBdr>
        <w:top w:val="none" w:sz="0" w:space="0" w:color="auto"/>
        <w:left w:val="none" w:sz="0" w:space="0" w:color="auto"/>
        <w:bottom w:val="none" w:sz="0" w:space="0" w:color="auto"/>
        <w:right w:val="none" w:sz="0" w:space="0" w:color="auto"/>
      </w:divBdr>
    </w:div>
    <w:div w:id="1719822154">
      <w:bodyDiv w:val="1"/>
      <w:marLeft w:val="0"/>
      <w:marRight w:val="0"/>
      <w:marTop w:val="0"/>
      <w:marBottom w:val="0"/>
      <w:divBdr>
        <w:top w:val="none" w:sz="0" w:space="0" w:color="auto"/>
        <w:left w:val="none" w:sz="0" w:space="0" w:color="auto"/>
        <w:bottom w:val="none" w:sz="0" w:space="0" w:color="auto"/>
        <w:right w:val="none" w:sz="0" w:space="0" w:color="auto"/>
      </w:divBdr>
    </w:div>
    <w:div w:id="1724788819">
      <w:bodyDiv w:val="1"/>
      <w:marLeft w:val="0"/>
      <w:marRight w:val="0"/>
      <w:marTop w:val="0"/>
      <w:marBottom w:val="0"/>
      <w:divBdr>
        <w:top w:val="none" w:sz="0" w:space="0" w:color="auto"/>
        <w:left w:val="none" w:sz="0" w:space="0" w:color="auto"/>
        <w:bottom w:val="none" w:sz="0" w:space="0" w:color="auto"/>
        <w:right w:val="none" w:sz="0" w:space="0" w:color="auto"/>
      </w:divBdr>
    </w:div>
    <w:div w:id="1763840783">
      <w:bodyDiv w:val="1"/>
      <w:marLeft w:val="0"/>
      <w:marRight w:val="0"/>
      <w:marTop w:val="0"/>
      <w:marBottom w:val="0"/>
      <w:divBdr>
        <w:top w:val="none" w:sz="0" w:space="0" w:color="auto"/>
        <w:left w:val="none" w:sz="0" w:space="0" w:color="auto"/>
        <w:bottom w:val="none" w:sz="0" w:space="0" w:color="auto"/>
        <w:right w:val="none" w:sz="0" w:space="0" w:color="auto"/>
      </w:divBdr>
    </w:div>
    <w:div w:id="1778334410">
      <w:bodyDiv w:val="1"/>
      <w:marLeft w:val="0"/>
      <w:marRight w:val="0"/>
      <w:marTop w:val="0"/>
      <w:marBottom w:val="0"/>
      <w:divBdr>
        <w:top w:val="none" w:sz="0" w:space="0" w:color="auto"/>
        <w:left w:val="none" w:sz="0" w:space="0" w:color="auto"/>
        <w:bottom w:val="none" w:sz="0" w:space="0" w:color="auto"/>
        <w:right w:val="none" w:sz="0" w:space="0" w:color="auto"/>
      </w:divBdr>
    </w:div>
    <w:div w:id="1782450909">
      <w:bodyDiv w:val="1"/>
      <w:marLeft w:val="0"/>
      <w:marRight w:val="0"/>
      <w:marTop w:val="0"/>
      <w:marBottom w:val="0"/>
      <w:divBdr>
        <w:top w:val="none" w:sz="0" w:space="0" w:color="auto"/>
        <w:left w:val="none" w:sz="0" w:space="0" w:color="auto"/>
        <w:bottom w:val="none" w:sz="0" w:space="0" w:color="auto"/>
        <w:right w:val="none" w:sz="0" w:space="0" w:color="auto"/>
      </w:divBdr>
    </w:div>
    <w:div w:id="1794785047">
      <w:bodyDiv w:val="1"/>
      <w:marLeft w:val="0"/>
      <w:marRight w:val="0"/>
      <w:marTop w:val="0"/>
      <w:marBottom w:val="0"/>
      <w:divBdr>
        <w:top w:val="none" w:sz="0" w:space="0" w:color="auto"/>
        <w:left w:val="none" w:sz="0" w:space="0" w:color="auto"/>
        <w:bottom w:val="none" w:sz="0" w:space="0" w:color="auto"/>
        <w:right w:val="none" w:sz="0" w:space="0" w:color="auto"/>
      </w:divBdr>
    </w:div>
    <w:div w:id="1799835587">
      <w:bodyDiv w:val="1"/>
      <w:marLeft w:val="0"/>
      <w:marRight w:val="0"/>
      <w:marTop w:val="0"/>
      <w:marBottom w:val="0"/>
      <w:divBdr>
        <w:top w:val="none" w:sz="0" w:space="0" w:color="auto"/>
        <w:left w:val="none" w:sz="0" w:space="0" w:color="auto"/>
        <w:bottom w:val="none" w:sz="0" w:space="0" w:color="auto"/>
        <w:right w:val="none" w:sz="0" w:space="0" w:color="auto"/>
      </w:divBdr>
      <w:divsChild>
        <w:div w:id="683631986">
          <w:marLeft w:val="1080"/>
          <w:marRight w:val="0"/>
          <w:marTop w:val="0"/>
          <w:marBottom w:val="0"/>
          <w:divBdr>
            <w:top w:val="none" w:sz="0" w:space="0" w:color="auto"/>
            <w:left w:val="none" w:sz="0" w:space="0" w:color="auto"/>
            <w:bottom w:val="none" w:sz="0" w:space="0" w:color="auto"/>
            <w:right w:val="none" w:sz="0" w:space="0" w:color="auto"/>
          </w:divBdr>
        </w:div>
        <w:div w:id="1407220514">
          <w:marLeft w:val="1080"/>
          <w:marRight w:val="0"/>
          <w:marTop w:val="0"/>
          <w:marBottom w:val="0"/>
          <w:divBdr>
            <w:top w:val="none" w:sz="0" w:space="0" w:color="auto"/>
            <w:left w:val="none" w:sz="0" w:space="0" w:color="auto"/>
            <w:bottom w:val="none" w:sz="0" w:space="0" w:color="auto"/>
            <w:right w:val="none" w:sz="0" w:space="0" w:color="auto"/>
          </w:divBdr>
        </w:div>
        <w:div w:id="1506630744">
          <w:marLeft w:val="1080"/>
          <w:marRight w:val="0"/>
          <w:marTop w:val="0"/>
          <w:marBottom w:val="0"/>
          <w:divBdr>
            <w:top w:val="none" w:sz="0" w:space="0" w:color="auto"/>
            <w:left w:val="none" w:sz="0" w:space="0" w:color="auto"/>
            <w:bottom w:val="none" w:sz="0" w:space="0" w:color="auto"/>
            <w:right w:val="none" w:sz="0" w:space="0" w:color="auto"/>
          </w:divBdr>
        </w:div>
      </w:divsChild>
    </w:div>
    <w:div w:id="1802073613">
      <w:bodyDiv w:val="1"/>
      <w:marLeft w:val="0"/>
      <w:marRight w:val="0"/>
      <w:marTop w:val="0"/>
      <w:marBottom w:val="0"/>
      <w:divBdr>
        <w:top w:val="none" w:sz="0" w:space="0" w:color="auto"/>
        <w:left w:val="none" w:sz="0" w:space="0" w:color="auto"/>
        <w:bottom w:val="none" w:sz="0" w:space="0" w:color="auto"/>
        <w:right w:val="none" w:sz="0" w:space="0" w:color="auto"/>
      </w:divBdr>
    </w:div>
    <w:div w:id="1805198074">
      <w:bodyDiv w:val="1"/>
      <w:marLeft w:val="0"/>
      <w:marRight w:val="0"/>
      <w:marTop w:val="0"/>
      <w:marBottom w:val="0"/>
      <w:divBdr>
        <w:top w:val="none" w:sz="0" w:space="0" w:color="auto"/>
        <w:left w:val="none" w:sz="0" w:space="0" w:color="auto"/>
        <w:bottom w:val="none" w:sz="0" w:space="0" w:color="auto"/>
        <w:right w:val="none" w:sz="0" w:space="0" w:color="auto"/>
      </w:divBdr>
    </w:div>
    <w:div w:id="1809085279">
      <w:bodyDiv w:val="1"/>
      <w:marLeft w:val="0"/>
      <w:marRight w:val="0"/>
      <w:marTop w:val="0"/>
      <w:marBottom w:val="0"/>
      <w:divBdr>
        <w:top w:val="none" w:sz="0" w:space="0" w:color="auto"/>
        <w:left w:val="none" w:sz="0" w:space="0" w:color="auto"/>
        <w:bottom w:val="none" w:sz="0" w:space="0" w:color="auto"/>
        <w:right w:val="none" w:sz="0" w:space="0" w:color="auto"/>
      </w:divBdr>
    </w:div>
    <w:div w:id="1810513579">
      <w:bodyDiv w:val="1"/>
      <w:marLeft w:val="0"/>
      <w:marRight w:val="0"/>
      <w:marTop w:val="0"/>
      <w:marBottom w:val="0"/>
      <w:divBdr>
        <w:top w:val="none" w:sz="0" w:space="0" w:color="auto"/>
        <w:left w:val="none" w:sz="0" w:space="0" w:color="auto"/>
        <w:bottom w:val="none" w:sz="0" w:space="0" w:color="auto"/>
        <w:right w:val="none" w:sz="0" w:space="0" w:color="auto"/>
      </w:divBdr>
    </w:div>
    <w:div w:id="1811709676">
      <w:bodyDiv w:val="1"/>
      <w:marLeft w:val="0"/>
      <w:marRight w:val="0"/>
      <w:marTop w:val="0"/>
      <w:marBottom w:val="0"/>
      <w:divBdr>
        <w:top w:val="none" w:sz="0" w:space="0" w:color="auto"/>
        <w:left w:val="none" w:sz="0" w:space="0" w:color="auto"/>
        <w:bottom w:val="none" w:sz="0" w:space="0" w:color="auto"/>
        <w:right w:val="none" w:sz="0" w:space="0" w:color="auto"/>
      </w:divBdr>
    </w:div>
    <w:div w:id="1812944807">
      <w:bodyDiv w:val="1"/>
      <w:marLeft w:val="0"/>
      <w:marRight w:val="0"/>
      <w:marTop w:val="0"/>
      <w:marBottom w:val="0"/>
      <w:divBdr>
        <w:top w:val="none" w:sz="0" w:space="0" w:color="auto"/>
        <w:left w:val="none" w:sz="0" w:space="0" w:color="auto"/>
        <w:bottom w:val="none" w:sz="0" w:space="0" w:color="auto"/>
        <w:right w:val="none" w:sz="0" w:space="0" w:color="auto"/>
      </w:divBdr>
    </w:div>
    <w:div w:id="1813524330">
      <w:bodyDiv w:val="1"/>
      <w:marLeft w:val="0"/>
      <w:marRight w:val="0"/>
      <w:marTop w:val="0"/>
      <w:marBottom w:val="0"/>
      <w:divBdr>
        <w:top w:val="none" w:sz="0" w:space="0" w:color="auto"/>
        <w:left w:val="none" w:sz="0" w:space="0" w:color="auto"/>
        <w:bottom w:val="none" w:sz="0" w:space="0" w:color="auto"/>
        <w:right w:val="none" w:sz="0" w:space="0" w:color="auto"/>
      </w:divBdr>
      <w:divsChild>
        <w:div w:id="751126889">
          <w:marLeft w:val="274"/>
          <w:marRight w:val="0"/>
          <w:marTop w:val="0"/>
          <w:marBottom w:val="0"/>
          <w:divBdr>
            <w:top w:val="none" w:sz="0" w:space="0" w:color="auto"/>
            <w:left w:val="none" w:sz="0" w:space="0" w:color="auto"/>
            <w:bottom w:val="none" w:sz="0" w:space="0" w:color="auto"/>
            <w:right w:val="none" w:sz="0" w:space="0" w:color="auto"/>
          </w:divBdr>
        </w:div>
        <w:div w:id="1729301280">
          <w:marLeft w:val="274"/>
          <w:marRight w:val="0"/>
          <w:marTop w:val="0"/>
          <w:marBottom w:val="0"/>
          <w:divBdr>
            <w:top w:val="none" w:sz="0" w:space="0" w:color="auto"/>
            <w:left w:val="none" w:sz="0" w:space="0" w:color="auto"/>
            <w:bottom w:val="none" w:sz="0" w:space="0" w:color="auto"/>
            <w:right w:val="none" w:sz="0" w:space="0" w:color="auto"/>
          </w:divBdr>
        </w:div>
      </w:divsChild>
    </w:div>
    <w:div w:id="1816603240">
      <w:bodyDiv w:val="1"/>
      <w:marLeft w:val="0"/>
      <w:marRight w:val="0"/>
      <w:marTop w:val="0"/>
      <w:marBottom w:val="0"/>
      <w:divBdr>
        <w:top w:val="none" w:sz="0" w:space="0" w:color="auto"/>
        <w:left w:val="none" w:sz="0" w:space="0" w:color="auto"/>
        <w:bottom w:val="none" w:sz="0" w:space="0" w:color="auto"/>
        <w:right w:val="none" w:sz="0" w:space="0" w:color="auto"/>
      </w:divBdr>
    </w:div>
    <w:div w:id="1825004201">
      <w:bodyDiv w:val="1"/>
      <w:marLeft w:val="0"/>
      <w:marRight w:val="0"/>
      <w:marTop w:val="0"/>
      <w:marBottom w:val="0"/>
      <w:divBdr>
        <w:top w:val="none" w:sz="0" w:space="0" w:color="auto"/>
        <w:left w:val="none" w:sz="0" w:space="0" w:color="auto"/>
        <w:bottom w:val="none" w:sz="0" w:space="0" w:color="auto"/>
        <w:right w:val="none" w:sz="0" w:space="0" w:color="auto"/>
      </w:divBdr>
    </w:div>
    <w:div w:id="1826042553">
      <w:bodyDiv w:val="1"/>
      <w:marLeft w:val="0"/>
      <w:marRight w:val="0"/>
      <w:marTop w:val="0"/>
      <w:marBottom w:val="0"/>
      <w:divBdr>
        <w:top w:val="none" w:sz="0" w:space="0" w:color="auto"/>
        <w:left w:val="none" w:sz="0" w:space="0" w:color="auto"/>
        <w:bottom w:val="none" w:sz="0" w:space="0" w:color="auto"/>
        <w:right w:val="none" w:sz="0" w:space="0" w:color="auto"/>
      </w:divBdr>
    </w:div>
    <w:div w:id="1827360158">
      <w:bodyDiv w:val="1"/>
      <w:marLeft w:val="0"/>
      <w:marRight w:val="0"/>
      <w:marTop w:val="0"/>
      <w:marBottom w:val="0"/>
      <w:divBdr>
        <w:top w:val="none" w:sz="0" w:space="0" w:color="auto"/>
        <w:left w:val="none" w:sz="0" w:space="0" w:color="auto"/>
        <w:bottom w:val="none" w:sz="0" w:space="0" w:color="auto"/>
        <w:right w:val="none" w:sz="0" w:space="0" w:color="auto"/>
      </w:divBdr>
    </w:div>
    <w:div w:id="1834100646">
      <w:bodyDiv w:val="1"/>
      <w:marLeft w:val="0"/>
      <w:marRight w:val="0"/>
      <w:marTop w:val="0"/>
      <w:marBottom w:val="0"/>
      <w:divBdr>
        <w:top w:val="none" w:sz="0" w:space="0" w:color="auto"/>
        <w:left w:val="none" w:sz="0" w:space="0" w:color="auto"/>
        <w:bottom w:val="none" w:sz="0" w:space="0" w:color="auto"/>
        <w:right w:val="none" w:sz="0" w:space="0" w:color="auto"/>
      </w:divBdr>
    </w:div>
    <w:div w:id="1837573999">
      <w:bodyDiv w:val="1"/>
      <w:marLeft w:val="0"/>
      <w:marRight w:val="0"/>
      <w:marTop w:val="0"/>
      <w:marBottom w:val="0"/>
      <w:divBdr>
        <w:top w:val="none" w:sz="0" w:space="0" w:color="auto"/>
        <w:left w:val="none" w:sz="0" w:space="0" w:color="auto"/>
        <w:bottom w:val="none" w:sz="0" w:space="0" w:color="auto"/>
        <w:right w:val="none" w:sz="0" w:space="0" w:color="auto"/>
      </w:divBdr>
      <w:divsChild>
        <w:div w:id="381371957">
          <w:marLeft w:val="360"/>
          <w:marRight w:val="0"/>
          <w:marTop w:val="0"/>
          <w:marBottom w:val="0"/>
          <w:divBdr>
            <w:top w:val="none" w:sz="0" w:space="0" w:color="auto"/>
            <w:left w:val="none" w:sz="0" w:space="0" w:color="auto"/>
            <w:bottom w:val="none" w:sz="0" w:space="0" w:color="auto"/>
            <w:right w:val="none" w:sz="0" w:space="0" w:color="auto"/>
          </w:divBdr>
        </w:div>
        <w:div w:id="1593975358">
          <w:marLeft w:val="360"/>
          <w:marRight w:val="0"/>
          <w:marTop w:val="0"/>
          <w:marBottom w:val="0"/>
          <w:divBdr>
            <w:top w:val="none" w:sz="0" w:space="0" w:color="auto"/>
            <w:left w:val="none" w:sz="0" w:space="0" w:color="auto"/>
            <w:bottom w:val="none" w:sz="0" w:space="0" w:color="auto"/>
            <w:right w:val="none" w:sz="0" w:space="0" w:color="auto"/>
          </w:divBdr>
        </w:div>
      </w:divsChild>
    </w:div>
    <w:div w:id="1847667207">
      <w:bodyDiv w:val="1"/>
      <w:marLeft w:val="0"/>
      <w:marRight w:val="0"/>
      <w:marTop w:val="0"/>
      <w:marBottom w:val="0"/>
      <w:divBdr>
        <w:top w:val="none" w:sz="0" w:space="0" w:color="auto"/>
        <w:left w:val="none" w:sz="0" w:space="0" w:color="auto"/>
        <w:bottom w:val="none" w:sz="0" w:space="0" w:color="auto"/>
        <w:right w:val="none" w:sz="0" w:space="0" w:color="auto"/>
      </w:divBdr>
    </w:div>
    <w:div w:id="1856770554">
      <w:bodyDiv w:val="1"/>
      <w:marLeft w:val="0"/>
      <w:marRight w:val="0"/>
      <w:marTop w:val="0"/>
      <w:marBottom w:val="0"/>
      <w:divBdr>
        <w:top w:val="none" w:sz="0" w:space="0" w:color="auto"/>
        <w:left w:val="none" w:sz="0" w:space="0" w:color="auto"/>
        <w:bottom w:val="none" w:sz="0" w:space="0" w:color="auto"/>
        <w:right w:val="none" w:sz="0" w:space="0" w:color="auto"/>
      </w:divBdr>
    </w:div>
    <w:div w:id="1865904319">
      <w:bodyDiv w:val="1"/>
      <w:marLeft w:val="0"/>
      <w:marRight w:val="0"/>
      <w:marTop w:val="0"/>
      <w:marBottom w:val="0"/>
      <w:divBdr>
        <w:top w:val="none" w:sz="0" w:space="0" w:color="auto"/>
        <w:left w:val="none" w:sz="0" w:space="0" w:color="auto"/>
        <w:bottom w:val="none" w:sz="0" w:space="0" w:color="auto"/>
        <w:right w:val="none" w:sz="0" w:space="0" w:color="auto"/>
      </w:divBdr>
    </w:div>
    <w:div w:id="1867255164">
      <w:bodyDiv w:val="1"/>
      <w:marLeft w:val="0"/>
      <w:marRight w:val="0"/>
      <w:marTop w:val="0"/>
      <w:marBottom w:val="0"/>
      <w:divBdr>
        <w:top w:val="none" w:sz="0" w:space="0" w:color="auto"/>
        <w:left w:val="none" w:sz="0" w:space="0" w:color="auto"/>
        <w:bottom w:val="none" w:sz="0" w:space="0" w:color="auto"/>
        <w:right w:val="none" w:sz="0" w:space="0" w:color="auto"/>
      </w:divBdr>
    </w:div>
    <w:div w:id="1868904628">
      <w:bodyDiv w:val="1"/>
      <w:marLeft w:val="0"/>
      <w:marRight w:val="0"/>
      <w:marTop w:val="0"/>
      <w:marBottom w:val="0"/>
      <w:divBdr>
        <w:top w:val="none" w:sz="0" w:space="0" w:color="auto"/>
        <w:left w:val="none" w:sz="0" w:space="0" w:color="auto"/>
        <w:bottom w:val="none" w:sz="0" w:space="0" w:color="auto"/>
        <w:right w:val="none" w:sz="0" w:space="0" w:color="auto"/>
      </w:divBdr>
    </w:div>
    <w:div w:id="1878808059">
      <w:bodyDiv w:val="1"/>
      <w:marLeft w:val="0"/>
      <w:marRight w:val="0"/>
      <w:marTop w:val="0"/>
      <w:marBottom w:val="0"/>
      <w:divBdr>
        <w:top w:val="none" w:sz="0" w:space="0" w:color="auto"/>
        <w:left w:val="none" w:sz="0" w:space="0" w:color="auto"/>
        <w:bottom w:val="none" w:sz="0" w:space="0" w:color="auto"/>
        <w:right w:val="none" w:sz="0" w:space="0" w:color="auto"/>
      </w:divBdr>
    </w:div>
    <w:div w:id="1882744954">
      <w:bodyDiv w:val="1"/>
      <w:marLeft w:val="0"/>
      <w:marRight w:val="0"/>
      <w:marTop w:val="0"/>
      <w:marBottom w:val="0"/>
      <w:divBdr>
        <w:top w:val="none" w:sz="0" w:space="0" w:color="auto"/>
        <w:left w:val="none" w:sz="0" w:space="0" w:color="auto"/>
        <w:bottom w:val="none" w:sz="0" w:space="0" w:color="auto"/>
        <w:right w:val="none" w:sz="0" w:space="0" w:color="auto"/>
      </w:divBdr>
    </w:div>
    <w:div w:id="1886716674">
      <w:bodyDiv w:val="1"/>
      <w:marLeft w:val="0"/>
      <w:marRight w:val="0"/>
      <w:marTop w:val="0"/>
      <w:marBottom w:val="0"/>
      <w:divBdr>
        <w:top w:val="none" w:sz="0" w:space="0" w:color="auto"/>
        <w:left w:val="none" w:sz="0" w:space="0" w:color="auto"/>
        <w:bottom w:val="none" w:sz="0" w:space="0" w:color="auto"/>
        <w:right w:val="none" w:sz="0" w:space="0" w:color="auto"/>
      </w:divBdr>
    </w:div>
    <w:div w:id="1887525095">
      <w:bodyDiv w:val="1"/>
      <w:marLeft w:val="0"/>
      <w:marRight w:val="0"/>
      <w:marTop w:val="0"/>
      <w:marBottom w:val="0"/>
      <w:divBdr>
        <w:top w:val="none" w:sz="0" w:space="0" w:color="auto"/>
        <w:left w:val="none" w:sz="0" w:space="0" w:color="auto"/>
        <w:bottom w:val="none" w:sz="0" w:space="0" w:color="auto"/>
        <w:right w:val="none" w:sz="0" w:space="0" w:color="auto"/>
      </w:divBdr>
    </w:div>
    <w:div w:id="1906182561">
      <w:bodyDiv w:val="1"/>
      <w:marLeft w:val="0"/>
      <w:marRight w:val="0"/>
      <w:marTop w:val="0"/>
      <w:marBottom w:val="0"/>
      <w:divBdr>
        <w:top w:val="none" w:sz="0" w:space="0" w:color="auto"/>
        <w:left w:val="none" w:sz="0" w:space="0" w:color="auto"/>
        <w:bottom w:val="none" w:sz="0" w:space="0" w:color="auto"/>
        <w:right w:val="none" w:sz="0" w:space="0" w:color="auto"/>
      </w:divBdr>
    </w:div>
    <w:div w:id="1922249009">
      <w:bodyDiv w:val="1"/>
      <w:marLeft w:val="0"/>
      <w:marRight w:val="0"/>
      <w:marTop w:val="0"/>
      <w:marBottom w:val="0"/>
      <w:divBdr>
        <w:top w:val="none" w:sz="0" w:space="0" w:color="auto"/>
        <w:left w:val="none" w:sz="0" w:space="0" w:color="auto"/>
        <w:bottom w:val="none" w:sz="0" w:space="0" w:color="auto"/>
        <w:right w:val="none" w:sz="0" w:space="0" w:color="auto"/>
      </w:divBdr>
      <w:divsChild>
        <w:div w:id="1175999707">
          <w:marLeft w:val="360"/>
          <w:marRight w:val="0"/>
          <w:marTop w:val="0"/>
          <w:marBottom w:val="60"/>
          <w:divBdr>
            <w:top w:val="none" w:sz="0" w:space="0" w:color="auto"/>
            <w:left w:val="none" w:sz="0" w:space="0" w:color="auto"/>
            <w:bottom w:val="none" w:sz="0" w:space="0" w:color="auto"/>
            <w:right w:val="none" w:sz="0" w:space="0" w:color="auto"/>
          </w:divBdr>
        </w:div>
      </w:divsChild>
    </w:div>
    <w:div w:id="1922517951">
      <w:bodyDiv w:val="1"/>
      <w:marLeft w:val="0"/>
      <w:marRight w:val="0"/>
      <w:marTop w:val="0"/>
      <w:marBottom w:val="0"/>
      <w:divBdr>
        <w:top w:val="none" w:sz="0" w:space="0" w:color="auto"/>
        <w:left w:val="none" w:sz="0" w:space="0" w:color="auto"/>
        <w:bottom w:val="none" w:sz="0" w:space="0" w:color="auto"/>
        <w:right w:val="none" w:sz="0" w:space="0" w:color="auto"/>
      </w:divBdr>
      <w:divsChild>
        <w:div w:id="846097525">
          <w:marLeft w:val="0"/>
          <w:marRight w:val="0"/>
          <w:marTop w:val="0"/>
          <w:marBottom w:val="0"/>
          <w:divBdr>
            <w:top w:val="none" w:sz="0" w:space="0" w:color="auto"/>
            <w:left w:val="none" w:sz="0" w:space="0" w:color="auto"/>
            <w:bottom w:val="none" w:sz="0" w:space="0" w:color="auto"/>
            <w:right w:val="none" w:sz="0" w:space="0" w:color="auto"/>
          </w:divBdr>
        </w:div>
      </w:divsChild>
    </w:div>
    <w:div w:id="1927960737">
      <w:bodyDiv w:val="1"/>
      <w:marLeft w:val="0"/>
      <w:marRight w:val="0"/>
      <w:marTop w:val="0"/>
      <w:marBottom w:val="0"/>
      <w:divBdr>
        <w:top w:val="none" w:sz="0" w:space="0" w:color="auto"/>
        <w:left w:val="none" w:sz="0" w:space="0" w:color="auto"/>
        <w:bottom w:val="none" w:sz="0" w:space="0" w:color="auto"/>
        <w:right w:val="none" w:sz="0" w:space="0" w:color="auto"/>
      </w:divBdr>
    </w:div>
    <w:div w:id="1933972755">
      <w:bodyDiv w:val="1"/>
      <w:marLeft w:val="0"/>
      <w:marRight w:val="0"/>
      <w:marTop w:val="0"/>
      <w:marBottom w:val="0"/>
      <w:divBdr>
        <w:top w:val="none" w:sz="0" w:space="0" w:color="auto"/>
        <w:left w:val="none" w:sz="0" w:space="0" w:color="auto"/>
        <w:bottom w:val="none" w:sz="0" w:space="0" w:color="auto"/>
        <w:right w:val="none" w:sz="0" w:space="0" w:color="auto"/>
      </w:divBdr>
    </w:div>
    <w:div w:id="1934779406">
      <w:bodyDiv w:val="1"/>
      <w:marLeft w:val="0"/>
      <w:marRight w:val="0"/>
      <w:marTop w:val="0"/>
      <w:marBottom w:val="0"/>
      <w:divBdr>
        <w:top w:val="none" w:sz="0" w:space="0" w:color="auto"/>
        <w:left w:val="none" w:sz="0" w:space="0" w:color="auto"/>
        <w:bottom w:val="none" w:sz="0" w:space="0" w:color="auto"/>
        <w:right w:val="none" w:sz="0" w:space="0" w:color="auto"/>
      </w:divBdr>
    </w:div>
    <w:div w:id="1953633750">
      <w:bodyDiv w:val="1"/>
      <w:marLeft w:val="0"/>
      <w:marRight w:val="0"/>
      <w:marTop w:val="0"/>
      <w:marBottom w:val="0"/>
      <w:divBdr>
        <w:top w:val="none" w:sz="0" w:space="0" w:color="auto"/>
        <w:left w:val="none" w:sz="0" w:space="0" w:color="auto"/>
        <w:bottom w:val="none" w:sz="0" w:space="0" w:color="auto"/>
        <w:right w:val="none" w:sz="0" w:space="0" w:color="auto"/>
      </w:divBdr>
    </w:div>
    <w:div w:id="1960917472">
      <w:bodyDiv w:val="1"/>
      <w:marLeft w:val="0"/>
      <w:marRight w:val="0"/>
      <w:marTop w:val="0"/>
      <w:marBottom w:val="0"/>
      <w:divBdr>
        <w:top w:val="none" w:sz="0" w:space="0" w:color="auto"/>
        <w:left w:val="none" w:sz="0" w:space="0" w:color="auto"/>
        <w:bottom w:val="none" w:sz="0" w:space="0" w:color="auto"/>
        <w:right w:val="none" w:sz="0" w:space="0" w:color="auto"/>
      </w:divBdr>
    </w:div>
    <w:div w:id="1964336535">
      <w:bodyDiv w:val="1"/>
      <w:marLeft w:val="0"/>
      <w:marRight w:val="0"/>
      <w:marTop w:val="0"/>
      <w:marBottom w:val="0"/>
      <w:divBdr>
        <w:top w:val="none" w:sz="0" w:space="0" w:color="auto"/>
        <w:left w:val="none" w:sz="0" w:space="0" w:color="auto"/>
        <w:bottom w:val="none" w:sz="0" w:space="0" w:color="auto"/>
        <w:right w:val="none" w:sz="0" w:space="0" w:color="auto"/>
      </w:divBdr>
    </w:div>
    <w:div w:id="1987931948">
      <w:bodyDiv w:val="1"/>
      <w:marLeft w:val="0"/>
      <w:marRight w:val="0"/>
      <w:marTop w:val="0"/>
      <w:marBottom w:val="0"/>
      <w:divBdr>
        <w:top w:val="none" w:sz="0" w:space="0" w:color="auto"/>
        <w:left w:val="none" w:sz="0" w:space="0" w:color="auto"/>
        <w:bottom w:val="none" w:sz="0" w:space="0" w:color="auto"/>
        <w:right w:val="none" w:sz="0" w:space="0" w:color="auto"/>
      </w:divBdr>
    </w:div>
    <w:div w:id="2001078015">
      <w:bodyDiv w:val="1"/>
      <w:marLeft w:val="0"/>
      <w:marRight w:val="0"/>
      <w:marTop w:val="0"/>
      <w:marBottom w:val="0"/>
      <w:divBdr>
        <w:top w:val="none" w:sz="0" w:space="0" w:color="auto"/>
        <w:left w:val="none" w:sz="0" w:space="0" w:color="auto"/>
        <w:bottom w:val="none" w:sz="0" w:space="0" w:color="auto"/>
        <w:right w:val="none" w:sz="0" w:space="0" w:color="auto"/>
      </w:divBdr>
    </w:div>
    <w:div w:id="2009793126">
      <w:bodyDiv w:val="1"/>
      <w:marLeft w:val="0"/>
      <w:marRight w:val="0"/>
      <w:marTop w:val="0"/>
      <w:marBottom w:val="0"/>
      <w:divBdr>
        <w:top w:val="none" w:sz="0" w:space="0" w:color="auto"/>
        <w:left w:val="none" w:sz="0" w:space="0" w:color="auto"/>
        <w:bottom w:val="none" w:sz="0" w:space="0" w:color="auto"/>
        <w:right w:val="none" w:sz="0" w:space="0" w:color="auto"/>
      </w:divBdr>
    </w:div>
    <w:div w:id="2014647982">
      <w:bodyDiv w:val="1"/>
      <w:marLeft w:val="0"/>
      <w:marRight w:val="0"/>
      <w:marTop w:val="0"/>
      <w:marBottom w:val="0"/>
      <w:divBdr>
        <w:top w:val="none" w:sz="0" w:space="0" w:color="auto"/>
        <w:left w:val="none" w:sz="0" w:space="0" w:color="auto"/>
        <w:bottom w:val="none" w:sz="0" w:space="0" w:color="auto"/>
        <w:right w:val="none" w:sz="0" w:space="0" w:color="auto"/>
      </w:divBdr>
    </w:div>
    <w:div w:id="2036348739">
      <w:bodyDiv w:val="1"/>
      <w:marLeft w:val="0"/>
      <w:marRight w:val="0"/>
      <w:marTop w:val="0"/>
      <w:marBottom w:val="0"/>
      <w:divBdr>
        <w:top w:val="none" w:sz="0" w:space="0" w:color="auto"/>
        <w:left w:val="none" w:sz="0" w:space="0" w:color="auto"/>
        <w:bottom w:val="none" w:sz="0" w:space="0" w:color="auto"/>
        <w:right w:val="none" w:sz="0" w:space="0" w:color="auto"/>
      </w:divBdr>
    </w:div>
    <w:div w:id="2050491561">
      <w:bodyDiv w:val="1"/>
      <w:marLeft w:val="0"/>
      <w:marRight w:val="0"/>
      <w:marTop w:val="0"/>
      <w:marBottom w:val="0"/>
      <w:divBdr>
        <w:top w:val="none" w:sz="0" w:space="0" w:color="auto"/>
        <w:left w:val="none" w:sz="0" w:space="0" w:color="auto"/>
        <w:bottom w:val="none" w:sz="0" w:space="0" w:color="auto"/>
        <w:right w:val="none" w:sz="0" w:space="0" w:color="auto"/>
      </w:divBdr>
    </w:div>
    <w:div w:id="2065525773">
      <w:bodyDiv w:val="1"/>
      <w:marLeft w:val="0"/>
      <w:marRight w:val="0"/>
      <w:marTop w:val="0"/>
      <w:marBottom w:val="0"/>
      <w:divBdr>
        <w:top w:val="none" w:sz="0" w:space="0" w:color="auto"/>
        <w:left w:val="none" w:sz="0" w:space="0" w:color="auto"/>
        <w:bottom w:val="none" w:sz="0" w:space="0" w:color="auto"/>
        <w:right w:val="none" w:sz="0" w:space="0" w:color="auto"/>
      </w:divBdr>
    </w:div>
    <w:div w:id="2068842877">
      <w:bodyDiv w:val="1"/>
      <w:marLeft w:val="0"/>
      <w:marRight w:val="0"/>
      <w:marTop w:val="0"/>
      <w:marBottom w:val="0"/>
      <w:divBdr>
        <w:top w:val="none" w:sz="0" w:space="0" w:color="auto"/>
        <w:left w:val="none" w:sz="0" w:space="0" w:color="auto"/>
        <w:bottom w:val="none" w:sz="0" w:space="0" w:color="auto"/>
        <w:right w:val="none" w:sz="0" w:space="0" w:color="auto"/>
      </w:divBdr>
    </w:div>
    <w:div w:id="2072146218">
      <w:bodyDiv w:val="1"/>
      <w:marLeft w:val="0"/>
      <w:marRight w:val="0"/>
      <w:marTop w:val="0"/>
      <w:marBottom w:val="0"/>
      <w:divBdr>
        <w:top w:val="none" w:sz="0" w:space="0" w:color="auto"/>
        <w:left w:val="none" w:sz="0" w:space="0" w:color="auto"/>
        <w:bottom w:val="none" w:sz="0" w:space="0" w:color="auto"/>
        <w:right w:val="none" w:sz="0" w:space="0" w:color="auto"/>
      </w:divBdr>
    </w:div>
    <w:div w:id="2073655239">
      <w:bodyDiv w:val="1"/>
      <w:marLeft w:val="0"/>
      <w:marRight w:val="0"/>
      <w:marTop w:val="0"/>
      <w:marBottom w:val="0"/>
      <w:divBdr>
        <w:top w:val="none" w:sz="0" w:space="0" w:color="auto"/>
        <w:left w:val="none" w:sz="0" w:space="0" w:color="auto"/>
        <w:bottom w:val="none" w:sz="0" w:space="0" w:color="auto"/>
        <w:right w:val="none" w:sz="0" w:space="0" w:color="auto"/>
      </w:divBdr>
    </w:div>
    <w:div w:id="2074157496">
      <w:bodyDiv w:val="1"/>
      <w:marLeft w:val="0"/>
      <w:marRight w:val="0"/>
      <w:marTop w:val="0"/>
      <w:marBottom w:val="0"/>
      <w:divBdr>
        <w:top w:val="none" w:sz="0" w:space="0" w:color="auto"/>
        <w:left w:val="none" w:sz="0" w:space="0" w:color="auto"/>
        <w:bottom w:val="none" w:sz="0" w:space="0" w:color="auto"/>
        <w:right w:val="none" w:sz="0" w:space="0" w:color="auto"/>
      </w:divBdr>
    </w:div>
    <w:div w:id="2084329122">
      <w:bodyDiv w:val="1"/>
      <w:marLeft w:val="0"/>
      <w:marRight w:val="0"/>
      <w:marTop w:val="0"/>
      <w:marBottom w:val="0"/>
      <w:divBdr>
        <w:top w:val="none" w:sz="0" w:space="0" w:color="auto"/>
        <w:left w:val="none" w:sz="0" w:space="0" w:color="auto"/>
        <w:bottom w:val="none" w:sz="0" w:space="0" w:color="auto"/>
        <w:right w:val="none" w:sz="0" w:space="0" w:color="auto"/>
      </w:divBdr>
    </w:div>
    <w:div w:id="2091929969">
      <w:bodyDiv w:val="1"/>
      <w:marLeft w:val="0"/>
      <w:marRight w:val="0"/>
      <w:marTop w:val="0"/>
      <w:marBottom w:val="0"/>
      <w:divBdr>
        <w:top w:val="none" w:sz="0" w:space="0" w:color="auto"/>
        <w:left w:val="none" w:sz="0" w:space="0" w:color="auto"/>
        <w:bottom w:val="none" w:sz="0" w:space="0" w:color="auto"/>
        <w:right w:val="none" w:sz="0" w:space="0" w:color="auto"/>
      </w:divBdr>
      <w:divsChild>
        <w:div w:id="23874452">
          <w:marLeft w:val="547"/>
          <w:marRight w:val="0"/>
          <w:marTop w:val="0"/>
          <w:marBottom w:val="0"/>
          <w:divBdr>
            <w:top w:val="none" w:sz="0" w:space="0" w:color="auto"/>
            <w:left w:val="none" w:sz="0" w:space="0" w:color="auto"/>
            <w:bottom w:val="none" w:sz="0" w:space="0" w:color="auto"/>
            <w:right w:val="none" w:sz="0" w:space="0" w:color="auto"/>
          </w:divBdr>
        </w:div>
        <w:div w:id="193621783">
          <w:marLeft w:val="547"/>
          <w:marRight w:val="0"/>
          <w:marTop w:val="0"/>
          <w:marBottom w:val="0"/>
          <w:divBdr>
            <w:top w:val="none" w:sz="0" w:space="0" w:color="auto"/>
            <w:left w:val="none" w:sz="0" w:space="0" w:color="auto"/>
            <w:bottom w:val="none" w:sz="0" w:space="0" w:color="auto"/>
            <w:right w:val="none" w:sz="0" w:space="0" w:color="auto"/>
          </w:divBdr>
        </w:div>
        <w:div w:id="473837415">
          <w:marLeft w:val="1123"/>
          <w:marRight w:val="0"/>
          <w:marTop w:val="0"/>
          <w:marBottom w:val="120"/>
          <w:divBdr>
            <w:top w:val="none" w:sz="0" w:space="0" w:color="auto"/>
            <w:left w:val="none" w:sz="0" w:space="0" w:color="auto"/>
            <w:bottom w:val="none" w:sz="0" w:space="0" w:color="auto"/>
            <w:right w:val="none" w:sz="0" w:space="0" w:color="auto"/>
          </w:divBdr>
        </w:div>
        <w:div w:id="569459089">
          <w:marLeft w:val="547"/>
          <w:marRight w:val="0"/>
          <w:marTop w:val="0"/>
          <w:marBottom w:val="0"/>
          <w:divBdr>
            <w:top w:val="none" w:sz="0" w:space="0" w:color="auto"/>
            <w:left w:val="none" w:sz="0" w:space="0" w:color="auto"/>
            <w:bottom w:val="none" w:sz="0" w:space="0" w:color="auto"/>
            <w:right w:val="none" w:sz="0" w:space="0" w:color="auto"/>
          </w:divBdr>
        </w:div>
        <w:div w:id="719866743">
          <w:marLeft w:val="1123"/>
          <w:marRight w:val="0"/>
          <w:marTop w:val="0"/>
          <w:marBottom w:val="120"/>
          <w:divBdr>
            <w:top w:val="none" w:sz="0" w:space="0" w:color="auto"/>
            <w:left w:val="none" w:sz="0" w:space="0" w:color="auto"/>
            <w:bottom w:val="none" w:sz="0" w:space="0" w:color="auto"/>
            <w:right w:val="none" w:sz="0" w:space="0" w:color="auto"/>
          </w:divBdr>
        </w:div>
        <w:div w:id="974262603">
          <w:marLeft w:val="547"/>
          <w:marRight w:val="0"/>
          <w:marTop w:val="0"/>
          <w:marBottom w:val="0"/>
          <w:divBdr>
            <w:top w:val="none" w:sz="0" w:space="0" w:color="auto"/>
            <w:left w:val="none" w:sz="0" w:space="0" w:color="auto"/>
            <w:bottom w:val="none" w:sz="0" w:space="0" w:color="auto"/>
            <w:right w:val="none" w:sz="0" w:space="0" w:color="auto"/>
          </w:divBdr>
        </w:div>
        <w:div w:id="1682661101">
          <w:marLeft w:val="1123"/>
          <w:marRight w:val="0"/>
          <w:marTop w:val="0"/>
          <w:marBottom w:val="120"/>
          <w:divBdr>
            <w:top w:val="none" w:sz="0" w:space="0" w:color="auto"/>
            <w:left w:val="none" w:sz="0" w:space="0" w:color="auto"/>
            <w:bottom w:val="none" w:sz="0" w:space="0" w:color="auto"/>
            <w:right w:val="none" w:sz="0" w:space="0" w:color="auto"/>
          </w:divBdr>
        </w:div>
      </w:divsChild>
    </w:div>
    <w:div w:id="2097825175">
      <w:bodyDiv w:val="1"/>
      <w:marLeft w:val="0"/>
      <w:marRight w:val="0"/>
      <w:marTop w:val="0"/>
      <w:marBottom w:val="0"/>
      <w:divBdr>
        <w:top w:val="none" w:sz="0" w:space="0" w:color="auto"/>
        <w:left w:val="none" w:sz="0" w:space="0" w:color="auto"/>
        <w:bottom w:val="none" w:sz="0" w:space="0" w:color="auto"/>
        <w:right w:val="none" w:sz="0" w:space="0" w:color="auto"/>
      </w:divBdr>
    </w:div>
    <w:div w:id="2125733551">
      <w:bodyDiv w:val="1"/>
      <w:marLeft w:val="0"/>
      <w:marRight w:val="0"/>
      <w:marTop w:val="0"/>
      <w:marBottom w:val="0"/>
      <w:divBdr>
        <w:top w:val="none" w:sz="0" w:space="0" w:color="auto"/>
        <w:left w:val="none" w:sz="0" w:space="0" w:color="auto"/>
        <w:bottom w:val="none" w:sz="0" w:space="0" w:color="auto"/>
        <w:right w:val="none" w:sz="0" w:space="0" w:color="auto"/>
      </w:divBdr>
      <w:divsChild>
        <w:div w:id="535854338">
          <w:marLeft w:val="0"/>
          <w:marRight w:val="0"/>
          <w:marTop w:val="0"/>
          <w:marBottom w:val="0"/>
          <w:divBdr>
            <w:top w:val="none" w:sz="0" w:space="0" w:color="auto"/>
            <w:left w:val="none" w:sz="0" w:space="0" w:color="auto"/>
            <w:bottom w:val="none" w:sz="0" w:space="0" w:color="auto"/>
            <w:right w:val="none" w:sz="0" w:space="0" w:color="auto"/>
          </w:divBdr>
        </w:div>
        <w:div w:id="792291240">
          <w:marLeft w:val="0"/>
          <w:marRight w:val="0"/>
          <w:marTop w:val="0"/>
          <w:marBottom w:val="0"/>
          <w:divBdr>
            <w:top w:val="none" w:sz="0" w:space="0" w:color="auto"/>
            <w:left w:val="none" w:sz="0" w:space="0" w:color="auto"/>
            <w:bottom w:val="none" w:sz="0" w:space="0" w:color="auto"/>
            <w:right w:val="none" w:sz="0" w:space="0" w:color="auto"/>
          </w:divBdr>
        </w:div>
        <w:div w:id="1215972344">
          <w:marLeft w:val="0"/>
          <w:marRight w:val="0"/>
          <w:marTop w:val="0"/>
          <w:marBottom w:val="0"/>
          <w:divBdr>
            <w:top w:val="none" w:sz="0" w:space="0" w:color="auto"/>
            <w:left w:val="none" w:sz="0" w:space="0" w:color="auto"/>
            <w:bottom w:val="none" w:sz="0" w:space="0" w:color="auto"/>
            <w:right w:val="none" w:sz="0" w:space="0" w:color="auto"/>
          </w:divBdr>
        </w:div>
        <w:div w:id="1867253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chart" Target="charts/chart2.xml"/><Relationship Id="rId47" Type="http://schemas.openxmlformats.org/officeDocument/2006/relationships/image" Target="media/image24.png"/><Relationship Id="rId63" Type="http://schemas.openxmlformats.org/officeDocument/2006/relationships/image" Target="media/image30.png"/><Relationship Id="rId68"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header" Target="header5.xml"/><Relationship Id="rId40" Type="http://schemas.openxmlformats.org/officeDocument/2006/relationships/header" Target="header6.xml"/><Relationship Id="rId45" Type="http://schemas.openxmlformats.org/officeDocument/2006/relationships/chart" Target="charts/chart3.xml"/><Relationship Id="rId53" Type="http://schemas.openxmlformats.org/officeDocument/2006/relationships/footer" Target="footer9.xml"/><Relationship Id="rId58" Type="http://schemas.openxmlformats.org/officeDocument/2006/relationships/footer" Target="footer10.xml"/><Relationship Id="rId66" Type="http://schemas.openxmlformats.org/officeDocument/2006/relationships/image" Target="media/image33.svg"/><Relationship Id="rId5" Type="http://schemas.openxmlformats.org/officeDocument/2006/relationships/webSettings" Target="webSettings.xml"/><Relationship Id="rId61" Type="http://schemas.openxmlformats.org/officeDocument/2006/relationships/image" Target="media/image28.png"/><Relationship Id="rId19" Type="http://schemas.openxmlformats.org/officeDocument/2006/relationships/image" Target="media/image6.pn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2.png"/><Relationship Id="rId48" Type="http://schemas.openxmlformats.org/officeDocument/2006/relationships/header" Target="header7.xml"/><Relationship Id="rId56" Type="http://schemas.openxmlformats.org/officeDocument/2006/relationships/hyperlink" Target="https://waga-energy.com/wp-content/uploads/2023/10/NPPrimeraPlantaProduccionBiometanoDeDepositoControlado-Junio2023-DEF_en.pdf" TargetMode="External"/><Relationship Id="rId64" Type="http://schemas.openxmlformats.org/officeDocument/2006/relationships/image" Target="media/image31.svg"/><Relationship Id="rId69" Type="http://schemas.openxmlformats.org/officeDocument/2006/relationships/footer" Target="footer11.xml"/><Relationship Id="rId8" Type="http://schemas.openxmlformats.org/officeDocument/2006/relationships/image" Target="media/image1.emf"/><Relationship Id="rId51" Type="http://schemas.openxmlformats.org/officeDocument/2006/relationships/footer" Target="footer8.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footer" Target="footer4.xml"/><Relationship Id="rId46" Type="http://schemas.openxmlformats.org/officeDocument/2006/relationships/image" Target="media/image23.png"/><Relationship Id="rId59" Type="http://schemas.openxmlformats.org/officeDocument/2006/relationships/image" Target="media/image26.png"/><Relationship Id="rId67" Type="http://schemas.openxmlformats.org/officeDocument/2006/relationships/image" Target="media/image34.png"/><Relationship Id="rId20" Type="http://schemas.openxmlformats.org/officeDocument/2006/relationships/image" Target="media/image7.png"/><Relationship Id="rId41" Type="http://schemas.openxmlformats.org/officeDocument/2006/relationships/footer" Target="footer6.xml"/><Relationship Id="rId54" Type="http://schemas.openxmlformats.org/officeDocument/2006/relationships/image" Target="media/image25.png"/><Relationship Id="rId62" Type="http://schemas.openxmlformats.org/officeDocument/2006/relationships/image" Target="media/image29.svg"/><Relationship Id="rId7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4.xml"/><Relationship Id="rId49" Type="http://schemas.openxmlformats.org/officeDocument/2006/relationships/header" Target="header8.xml"/><Relationship Id="rId57" Type="http://schemas.openxmlformats.org/officeDocument/2006/relationships/header" Target="header10.xml"/><Relationship Id="rId10" Type="http://schemas.openxmlformats.org/officeDocument/2006/relationships/header" Target="header2.xml"/><Relationship Id="rId31" Type="http://schemas.openxmlformats.org/officeDocument/2006/relationships/chart" Target="charts/chart1.xml"/><Relationship Id="rId44" Type="http://schemas.openxmlformats.org/officeDocument/2006/relationships/image" Target="cid:015226f1-f355-4071-8ea8-3b3ceee904c0" TargetMode="External"/><Relationship Id="rId52" Type="http://schemas.openxmlformats.org/officeDocument/2006/relationships/header" Target="header9.xml"/><Relationship Id="rId60" Type="http://schemas.openxmlformats.org/officeDocument/2006/relationships/image" Target="media/image27.png"/><Relationship Id="rId65" Type="http://schemas.openxmlformats.org/officeDocument/2006/relationships/image" Target="media/image32.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png"/><Relationship Id="rId39" Type="http://schemas.openxmlformats.org/officeDocument/2006/relationships/footer" Target="footer5.xml"/><Relationship Id="rId34" Type="http://schemas.openxmlformats.org/officeDocument/2006/relationships/image" Target="media/image20.png"/><Relationship Id="rId50" Type="http://schemas.openxmlformats.org/officeDocument/2006/relationships/footer" Target="footer7.xml"/><Relationship Id="rId55" Type="http://schemas.openxmlformats.org/officeDocument/2006/relationships/hyperlink" Target="https://waga-energy.com/wp-content/uploads/2025/06/2025-06-19_Inauguration_RNG_WagaEnergy_Veolia_Burgundy.pdf" TargetMode="External"/><Relationship Id="rId7" Type="http://schemas.openxmlformats.org/officeDocument/2006/relationships/endnotes" Target="endnotes.xml"/><Relationship Id="rId71" Type="http://schemas.openxmlformats.org/officeDocument/2006/relationships/footer" Target="footer12.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3012/oj" TargetMode="External"/><Relationship Id="rId18" Type="http://schemas.openxmlformats.org/officeDocument/2006/relationships/hyperlink" Target="https://doi.org/10.3389/fenrg.2020.00015" TargetMode="External"/><Relationship Id="rId26" Type="http://schemas.openxmlformats.org/officeDocument/2006/relationships/hyperlink" Target="https://doi.org/10.1016/j.ijggc.2024.104165" TargetMode="External"/><Relationship Id="rId3" Type="http://schemas.openxmlformats.org/officeDocument/2006/relationships/hyperlink" Target="https://eur-lex.europa.eu/legal-content/EN/TXT/PDF/?uri=CELEX:E2021X0415(01)" TargetMode="External"/><Relationship Id="rId21" Type="http://schemas.openxmlformats.org/officeDocument/2006/relationships/hyperlink" Target="https://data.europa.eu/doi/10.2760/882666" TargetMode="External"/><Relationship Id="rId7" Type="http://schemas.openxmlformats.org/officeDocument/2006/relationships/hyperlink" Target="https://www.eea.europa.eu/en/analysis/publications/annual-european-union-greenhouse-gas-inventory" TargetMode="External"/><Relationship Id="rId12" Type="http://schemas.openxmlformats.org/officeDocument/2006/relationships/hyperlink" Target="http://data.europa.eu/eli/dir/2018/2001/oj" TargetMode="External"/><Relationship Id="rId17" Type="http://schemas.openxmlformats.org/officeDocument/2006/relationships/hyperlink" Target="https://concito.dk/files/media/document/Pricing%20it%20right.pdf" TargetMode="External"/><Relationship Id="rId25" Type="http://schemas.openxmlformats.org/officeDocument/2006/relationships/hyperlink" Target="https://concito.dk/files/media/document/Pricing%20it%20right.pdf" TargetMode="External"/><Relationship Id="rId33" Type="http://schemas.openxmlformats.org/officeDocument/2006/relationships/hyperlink" Target="https://www.europarl.europa.eu/charter/pdf/text_en.pdf" TargetMode="External"/><Relationship Id="rId2" Type="http://schemas.openxmlformats.org/officeDocument/2006/relationships/hyperlink" Target="https://doi.org/10.48550/arXiv.2509.10092" TargetMode="External"/><Relationship Id="rId16" Type="http://schemas.openxmlformats.org/officeDocument/2006/relationships/hyperlink" Target="https://www.technopolis-group.com/report/issues-and-options-for-eu-emissions-trading-after-2030/" TargetMode="External"/><Relationship Id="rId20" Type="http://schemas.openxmlformats.org/officeDocument/2006/relationships/hyperlink" Target="https://concito.dk/files/media/document/Pricing%20it%20right.pdf" TargetMode="External"/><Relationship Id="rId29" Type="http://schemas.openxmlformats.org/officeDocument/2006/relationships/hyperlink" Target="https://www.researchgate.net/publication/346288278_Mechanical_Properties_Of_Recycled_Paper_And_Cardboard/fulltext/63cad96b6fe15d6a57343d2d/Mechanical-Properties-Of-Recycled-Paper-And-Cardboard.pdf" TargetMode="External"/><Relationship Id="rId1" Type="http://schemas.openxmlformats.org/officeDocument/2006/relationships/hyperlink" Target="http://data.europa.eu/eli/reg_del/2019/331/oj" TargetMode="External"/><Relationship Id="rId6" Type="http://schemas.openxmlformats.org/officeDocument/2006/relationships/hyperlink" Target="https://ec.europa.eu/eurostat/statistics-explained/index.php?title=Municipal_waste_statistics" TargetMode="External"/><Relationship Id="rId11" Type="http://schemas.openxmlformats.org/officeDocument/2006/relationships/hyperlink" Target="https://eur-lex.europa.eu/legal-content/EN/TXT/?uri=CELEX:52025DC0530" TargetMode="External"/><Relationship Id="rId24" Type="http://schemas.openxmlformats.org/officeDocument/2006/relationships/hyperlink" Target="https://co2value.eu/wp-content/uploads/2025/06/CO2-Value-Europe-position-on-EU-2026-ETS-revision_June-2025.pdf" TargetMode="External"/><Relationship Id="rId32" Type="http://schemas.openxmlformats.org/officeDocument/2006/relationships/hyperlink" Target="https://concito.dk/files/media/document/Pricing%20it%20right.pdf" TargetMode="External"/><Relationship Id="rId5" Type="http://schemas.openxmlformats.org/officeDocument/2006/relationships/hyperlink" Target="https://www.europarl.europa.eu/charter/pdf/text_en.pdf" TargetMode="External"/><Relationship Id="rId15" Type="http://schemas.openxmlformats.org/officeDocument/2006/relationships/hyperlink" Target="https://www.technopolis-group.com/report/issues-and-options-for-eu-emissions-trading-after-2030/" TargetMode="External"/><Relationship Id="rId23" Type="http://schemas.openxmlformats.org/officeDocument/2006/relationships/hyperlink" Target="https://setis.ec.europa.eu/shaping-future-co2-transport-network-europe_en" TargetMode="External"/><Relationship Id="rId28" Type="http://schemas.openxmlformats.org/officeDocument/2006/relationships/hyperlink" Target="https://ourworldindata.org/faq-on-plastics" TargetMode="External"/><Relationship Id="rId10" Type="http://schemas.openxmlformats.org/officeDocument/2006/relationships/hyperlink" Target="http://data.europa.eu/eli/dir/2023/959/oj" TargetMode="External"/><Relationship Id="rId19" Type="http://schemas.openxmlformats.org/officeDocument/2006/relationships/hyperlink" Target="https://doi.org/10.1016/j.ijggc.2022.103756" TargetMode="External"/><Relationship Id="rId31" Type="http://schemas.openxmlformats.org/officeDocument/2006/relationships/hyperlink" Target="https://www.technopolis-group.com/report/issues-and-options-for-eu-emissions-trading-after-2030/" TargetMode="External"/><Relationship Id="rId4" Type="http://schemas.openxmlformats.org/officeDocument/2006/relationships/hyperlink" Target="https://www.econstor.eu/bitstream/10419/122187/1/839813341.pdf" TargetMode="External"/><Relationship Id="rId9" Type="http://schemas.openxmlformats.org/officeDocument/2006/relationships/hyperlink" Target="https://eur-lex.europa.eu/eli/reg_del/2024/2620/oj/eng" TargetMode="External"/><Relationship Id="rId14" Type="http://schemas.openxmlformats.org/officeDocument/2006/relationships/hyperlink" Target="https://www.ipcc-nggip.iges.or.jp/public/2006gl/pdf/4_Volume4/V4_11_Ch11_N2O&amp;CO2.pdf" TargetMode="External"/><Relationship Id="rId22" Type="http://schemas.openxmlformats.org/officeDocument/2006/relationships/hyperlink" Target="https://doi.org/10.1016/j.ijggc.2024.104165" TargetMode="External"/><Relationship Id="rId27" Type="http://schemas.openxmlformats.org/officeDocument/2006/relationships/hyperlink" Target="https://doi.org/10.52548/VYKR3129" TargetMode="External"/><Relationship Id="rId30" Type="http://schemas.openxmlformats.org/officeDocument/2006/relationships/hyperlink" Target="https://ec.europa.eu/eurostat/web/products-datasets/-/env_wastrt" TargetMode="External"/><Relationship Id="rId8" Type="http://schemas.openxmlformats.org/officeDocument/2006/relationships/hyperlink" Target="http://data.europa.eu/eli/dir/2009/31/oj"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nkem001\Guidehouse\ETS%20I%20&amp;%20MSR%20Review%20-%20Documents\20MW\20250721_FR_PL_Analysis_v.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484408122815802"/>
          <c:y val="0.12855924231258634"/>
          <c:w val="0.77290085858700408"/>
          <c:h val="0.67900215930455499"/>
        </c:manualLayout>
      </c:layout>
      <c:barChart>
        <c:barDir val="col"/>
        <c:grouping val="clustered"/>
        <c:varyColors val="0"/>
        <c:ser>
          <c:idx val="1"/>
          <c:order val="1"/>
          <c:tx>
            <c:v>Operator costs</c:v>
          </c:tx>
          <c:spPr>
            <a:solidFill>
              <a:schemeClr val="accent2"/>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(Sheet13!$B$9,Sheet13!$B$14:$B$16)</c:f>
              <c:strCache>
                <c:ptCount val="4"/>
                <c:pt idx="0">
                  <c:v>Emissions from installations &lt;=5 MW</c:v>
                </c:pt>
                <c:pt idx="1">
                  <c:v>Emissions from installations &gt;5 MW and &lt;=10</c:v>
                </c:pt>
                <c:pt idx="2">
                  <c:v>Emissions from installations &gt;10 MW and &lt;=15 MW</c:v>
                </c:pt>
                <c:pt idx="3">
                  <c:v>Emissions from installations &gt;15 MW and &lt;=20 MW</c:v>
                </c:pt>
              </c:str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strRef>
          </c:cat>
          <c:val>
            <c:numRef>
              <c:f>(Sheet13!$D$9,Sheet13!$D$14:$D$16)</c:f>
              <c:numCache>
                <c:formatCode>#,##0_ ;\-#,##0\ </c:formatCode>
                <c:ptCount val="4"/>
                <c:pt idx="0">
                  <c:v>3910872868</c:v>
                </c:pt>
                <c:pt idx="1">
                  <c:v>941131914.38406372</c:v>
                </c:pt>
                <c:pt idx="2">
                  <c:v>420363330.1800797</c:v>
                </c:pt>
                <c:pt idx="3">
                  <c:v>318619339.43585658</c:v>
                </c:pt>
              </c:num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14DC-4F8E-B426-CAC23E0A8E78}"/>
            </c:ext>
          </c:extLst>
        </c:ser>
        <c:dLbls>
          <c:showLegendKey val="0"/>
          <c:showVal val="0"/>
          <c:showCatName val="0"/>
          <c:showSerName val="0"/>
          <c:showPercent val="0"/>
          <c:showBubbleSize val="0"/>
        </c:dLbls>
        <c:gapWidth val="219"/>
        <c:axId val="1666526592"/>
        <c:axId val="1666525152"/>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02D57815-91ED-43cb-92C2-25804820EDAC}">
            <c15:filteredBarSeries>
              <c15:ser>
                <c:idx val="0"/>
                <c:order val="0"/>
                <c:tx>
                  <c:strRef>
                    <c:extLst xmlns:c16r3="http://schemas.microsoft.com/office/drawing/2017/03/chart" xmlns:c16="http://schemas.microsoft.com/office/drawing/2014/chart" xmlns:c14="http://schemas.microsoft.com/office/drawing/2007/8/2/chart" xmlns:mc="http://schemas.openxmlformats.org/markup-compatibility/2006">
                      <c:ext uri="{02D57815-91ED-43cb-92C2-25804820EDAC}">
                        <c15:formulaRef>
                          <c15:sqref>Sheet13!$C$7:$C$8</c15:sqref>
                        </c15:formulaRef>
                      </c:ext>
                    </c:extLst>
                    <c:strCache>
                      <c:ptCount val="2"/>
                      <c:pt idx="0">
                        <c:v>Emissions</c:v>
                      </c:pt>
                      <c:pt idx="1">
                        <c:v>tCO2e</c:v>
                      </c:pt>
                    </c:strCache>
                  </c:strRef>
                </c:tx>
                <c:spPr>
                  <a:solidFill>
                    <a:schemeClr val="accent1"/>
                  </a:solidFill>
                  <a:ln>
                    <a:noFill/>
                  </a:ln>
                  <a:effectLst/>
                </c:spPr>
                <c:invertIfNegative val="0"/>
                <c:cat>
                  <c:strRef>
                    <c:extLst xmlns:c16r3="http://schemas.microsoft.com/office/drawing/2017/03/chart" xmlns:c16="http://schemas.microsoft.com/office/drawing/2014/chart" xmlns:c14="http://schemas.microsoft.com/office/drawing/2007/8/2/chart" xmlns:mc="http://schemas.openxmlformats.org/markup-compatibility/2006">
                      <c:ext uri="{02D57815-91ED-43cb-92C2-25804820EDAC}">
                        <c15:formulaRef>
                          <c15:sqref>(Sheet13!$B$9,Sheet13!$B$14:$B$16)</c15:sqref>
                        </c15:formulaRef>
                      </c:ext>
                    </c:extLst>
                    <c:strCache>
                      <c:ptCount val="4"/>
                      <c:pt idx="0">
                        <c:v>Emissions from installations &lt;=5 MW</c:v>
                      </c:pt>
                      <c:pt idx="1">
                        <c:v>Emissions from installations &gt;5 MW and &lt;=10</c:v>
                      </c:pt>
                      <c:pt idx="2">
                        <c:v>Emissions from installations &gt;10 MW and &lt;=15 MW</c:v>
                      </c:pt>
                      <c:pt idx="3">
                        <c:v>Emissions from installations &gt;15 MW and &lt;=20 MW</c:v>
                      </c:pt>
                    </c:strCache>
                  </c:strRef>
                </c:cat>
                <c:val>
                  <c:numRef>
                    <c:extLst xmlns:c16r3="http://schemas.microsoft.com/office/drawing/2017/03/chart" xmlns:c16="http://schemas.microsoft.com/office/drawing/2014/chart" xmlns:c14="http://schemas.microsoft.com/office/drawing/2007/8/2/chart" xmlns:mc="http://schemas.openxmlformats.org/markup-compatibility/2006">
                      <c:ext uri="{02D57815-91ED-43cb-92C2-25804820EDAC}">
                        <c15:formulaRef>
                          <c15:sqref>(Sheet13!$C$9,Sheet13!$C$14:$C$16)</c15:sqref>
                        </c15:formulaRef>
                      </c:ext>
                    </c:extLst>
                    <c:numCache>
                      <c:formatCode>#,##0_ ;\-#,##0\ </c:formatCode>
                      <c:ptCount val="4"/>
                      <c:pt idx="0">
                        <c:v>10073822.279979566</c:v>
                      </c:pt>
                      <c:pt idx="1">
                        <c:v>7585057.6079975786</c:v>
                      </c:pt>
                      <c:pt idx="2">
                        <c:v>5349334.3122048173</c:v>
                      </c:pt>
                      <c:pt idx="3">
                        <c:v>5051668.5795911383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14DC-4F8E-B426-CAC23E0A8E78}"/>
                  </c:ext>
                </c:extLst>
              </c15:ser>
            </c15:filteredBarSeries>
            <c15:filteredBarSeries>
              <c15:ser>
                <c:idx val="2"/>
                <c:order val="2"/>
                <c:tx>
                  <c:str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Sheet13!$F$7:$F$8</c15:sqref>
                        </c15:formulaRef>
                      </c:ext>
                    </c:extLst>
                    <c:strCache>
                      <c:ptCount val="2"/>
                      <c:pt idx="0">
                        <c:v>Average emissions per cost</c:v>
                      </c:pt>
                      <c:pt idx="1">
                        <c:v>€/tCO2e</c:v>
                      </c:pt>
                    </c:strCache>
                  </c:strRef>
                </c:tx>
                <c:spPr>
                  <a:solidFill>
                    <a:schemeClr val="accent3"/>
                  </a:solidFill>
                  <a:ln>
                    <a:noFill/>
                  </a:ln>
                  <a:effectLst/>
                </c:spPr>
                <c:invertIfNegative val="0"/>
                <c:cat>
                  <c:str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(Sheet13!$B$9,Sheet13!$B$14:$B$16)</c15:sqref>
                        </c15:formulaRef>
                      </c:ext>
                    </c:extLst>
                    <c:strCache>
                      <c:ptCount val="4"/>
                      <c:pt idx="0">
                        <c:v>Emissions from installations &lt;=5 MW</c:v>
                      </c:pt>
                      <c:pt idx="1">
                        <c:v>Emissions from installations &gt;5 MW and &lt;=10</c:v>
                      </c:pt>
                      <c:pt idx="2">
                        <c:v>Emissions from installations &gt;10 MW and &lt;=15 MW</c:v>
                      </c:pt>
                      <c:pt idx="3">
                        <c:v>Emissions from installations &gt;15 MW and &lt;=20 MW</c:v>
                      </c:pt>
                    </c:strCache>
                  </c:strRef>
                </c:cat>
                <c:val>
                  <c:num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Sheet13!$F$9</c15:sqref>
                        </c15:formulaRef>
                      </c:ext>
                    </c:extLst>
                    <c:numCache>
                      <c:formatCode>#,##0.00_ ;\-#,##0.00\ </c:formatCode>
                      <c:ptCount val="1"/>
                      <c:pt idx="0">
                        <c:v>388.22134829322528</c:v>
                      </c:pt>
                    </c:numCache>
                  </c:numRef>
                </c:val>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3-14DC-4F8E-B426-CAC23E0A8E78}"/>
                  </c:ext>
                </c:extLst>
              </c15:ser>
            </c15:filteredBarSeries>
          </c:ext>
        </c:extLst>
      </c:barChart>
      <c:lineChart>
        <c:grouping val="standard"/>
        <c:varyColors val="0"/>
        <c:ser>
          <c:idx val="3"/>
          <c:order val="3"/>
          <c:tx>
            <c:strRef>
              <c:f>Sheet13!$E$7</c:f>
              <c:strCache>
                <c:ptCount val="1"/>
                <c:pt idx="0">
                  <c:v>Competence authority costs</c:v>
                </c:pt>
              </c:strCache>
            </c:strRef>
          </c:tx>
          <c:spPr>
            <a:ln w="28575" cap="rnd">
              <a:solidFill>
                <a:schemeClr val="accent4"/>
              </a:solidFill>
              <a:round/>
            </a:ln>
            <a:effectLst/>
          </c:spPr>
          <c:marker>
            <c:symbol val="none"/>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(Sheet13!$B$9,Sheet13!$B$14:$B$16)</c:f>
              <c:strCache>
                <c:ptCount val="4"/>
                <c:pt idx="0">
                  <c:v>Emissions from installations &lt;=5 MW</c:v>
                </c:pt>
                <c:pt idx="1">
                  <c:v>Emissions from installations &gt;5 MW and &lt;=10</c:v>
                </c:pt>
                <c:pt idx="2">
                  <c:v>Emissions from installations &gt;10 MW and &lt;=15 MW</c:v>
                </c:pt>
                <c:pt idx="3">
                  <c:v>Emissions from installations &gt;15 MW and &lt;=20 MW</c:v>
                </c:pt>
              </c:str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strRef>
          </c:cat>
          <c:val>
            <c:numRef>
              <c:f>(Sheet13!$E$9,Sheet13!$E$14:$E$16)</c:f>
              <c:numCache>
                <c:formatCode>#,##0_ ;\-#,##0\ </c:formatCode>
                <c:ptCount val="4"/>
                <c:pt idx="0">
                  <c:v>11691204</c:v>
                </c:pt>
                <c:pt idx="1">
                  <c:v>2813429.5266932272</c:v>
                </c:pt>
                <c:pt idx="2">
                  <c:v>1256638.5083665338</c:v>
                </c:pt>
                <c:pt idx="3">
                  <c:v>952483.96494023909</c:v>
                </c:pt>
              </c:numCache>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numRef>
          </c:val>
          <c:smooth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14DC-4F8E-B426-CAC23E0A8E78}"/>
            </c:ext>
          </c:extLst>
        </c:ser>
        <c:dLbls>
          <c:showLegendKey val="0"/>
          <c:showVal val="0"/>
          <c:showCatName val="0"/>
          <c:showSerName val="0"/>
          <c:showPercent val="0"/>
          <c:showBubbleSize val="0"/>
        </c:dLbls>
        <c:marker val="1"/>
        <c:smooth val="0"/>
        <c:axId val="1727689728"/>
        <c:axId val="1727687808"/>
      </c:lineChart>
      <c:catAx>
        <c:axId val="166652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6525152"/>
        <c:crosses val="autoZero"/>
        <c:auto val="1"/>
        <c:lblAlgn val="ctr"/>
        <c:lblOffset val="100"/>
        <c:noMultiLvlLbl val="0"/>
      </c:catAx>
      <c:valAx>
        <c:axId val="16665251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Competence</a:t>
                </a:r>
                <a:r>
                  <a:rPr lang="en-GB" baseline="0"/>
                  <a:t> authority</a:t>
                </a:r>
                <a:r>
                  <a:rPr lang="en-GB"/>
                  <a:t> costs (billion euros)</a:t>
                </a:r>
              </a:p>
            </c:rich>
          </c:tx>
          <c:layout>
            <c:manualLayout>
              <c:xMode val="edge"/>
              <c:yMode val="edge"/>
              <c:x val="1.4712353289098335E-2"/>
              <c:y val="0.1203669959551775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_ ;\-#,##0.0\ "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6526592"/>
        <c:crosses val="autoZero"/>
        <c:crossBetween val="between"/>
        <c:dispUnits>
          <c:builtInUnit val="billions"/>
        </c:dispUnits>
      </c:valAx>
      <c:valAx>
        <c:axId val="1727687808"/>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Operator costs (million euros)</a:t>
                </a:r>
              </a:p>
            </c:rich>
          </c:tx>
          <c:layout>
            <c:manualLayout>
              <c:xMode val="edge"/>
              <c:yMode val="edge"/>
              <c:x val="0.93969337923165097"/>
              <c:y val="0.1850024050935853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_ ;\-#,##0\ "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689728"/>
        <c:crosses val="max"/>
        <c:crossBetween val="between"/>
        <c:dispUnits>
          <c:builtInUnit val="millions"/>
        </c:dispUnits>
      </c:valAx>
      <c:catAx>
        <c:axId val="1727689728"/>
        <c:scaling>
          <c:orientation val="minMax"/>
        </c:scaling>
        <c:delete val="1"/>
        <c:axPos val="b"/>
        <c:numFmt formatCode="General" sourceLinked="1"/>
        <c:majorTickMark val="out"/>
        <c:minorTickMark val="none"/>
        <c:tickLblPos val="nextTo"/>
        <c:crossAx val="1727687808"/>
        <c:crosses val="autoZero"/>
        <c:auto val="1"/>
        <c:lblAlgn val="ctr"/>
        <c:lblOffset val="100"/>
        <c:noMultiLvlLbl val="0"/>
      </c:catAx>
      <c:spPr>
        <a:noFill/>
        <a:ln>
          <a:noFill/>
        </a:ln>
        <a:effectLst/>
      </c:spPr>
    </c:plotArea>
    <c:legend>
      <c:legendPos val="t"/>
      <c:layout>
        <c:manualLayout>
          <c:xMode val="edge"/>
          <c:yMode val="edge"/>
          <c:x val="0.14484716941957704"/>
          <c:y val="1.7664879656000443E-2"/>
          <c:w val="0.56215918667157516"/>
          <c:h val="5.769461663036801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'Figure-2-Municipal-waste-treatm'!$B$3</c:f>
              <c:strCache>
                <c:ptCount val="1"/>
                <c:pt idx="0">
                  <c:v>Disposal - incineration (D10) and recovery - energy recovery (R1)</c:v>
                </c:pt>
              </c:strCache>
            </c:strRef>
          </c:tx>
          <c:spPr>
            <a:solidFill>
              <a:schemeClr val="tx2">
                <a:lumMod val="90000"/>
                <a:lumOff val="10000"/>
              </a:schemeClr>
            </a:solidFill>
            <a:ln>
              <a:noFill/>
            </a:ln>
            <a:effectLst/>
          </c:spPr>
          <c:invertIfNegative val="0"/>
          <c:cat>
            <c:numRef>
              <c:f>'Figure-2-Municipal-waste-treatm'!$A$4:$A$32</c:f>
              <c:numCache>
                <c:formatCode>General</c:formatCode>
                <c:ptCount val="2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numCache>
            </c:numRef>
          </c:cat>
          <c:val>
            <c:numRef>
              <c:f>'Figure-2-Municipal-waste-treatm'!$B$4:$B$32</c:f>
              <c:numCache>
                <c:formatCode>General</c:formatCode>
                <c:ptCount val="29"/>
                <c:pt idx="0">
                  <c:v>70</c:v>
                </c:pt>
                <c:pt idx="1">
                  <c:v>71</c:v>
                </c:pt>
                <c:pt idx="2">
                  <c:v>77</c:v>
                </c:pt>
                <c:pt idx="3">
                  <c:v>78</c:v>
                </c:pt>
                <c:pt idx="4">
                  <c:v>79</c:v>
                </c:pt>
                <c:pt idx="5">
                  <c:v>84</c:v>
                </c:pt>
                <c:pt idx="6">
                  <c:v>87</c:v>
                </c:pt>
                <c:pt idx="7">
                  <c:v>90</c:v>
                </c:pt>
                <c:pt idx="8">
                  <c:v>90</c:v>
                </c:pt>
                <c:pt idx="9">
                  <c:v>95</c:v>
                </c:pt>
                <c:pt idx="10">
                  <c:v>103</c:v>
                </c:pt>
                <c:pt idx="11">
                  <c:v>111</c:v>
                </c:pt>
                <c:pt idx="12">
                  <c:v>112</c:v>
                </c:pt>
                <c:pt idx="13">
                  <c:v>116</c:v>
                </c:pt>
                <c:pt idx="14">
                  <c:v>117</c:v>
                </c:pt>
                <c:pt idx="15">
                  <c:v>120</c:v>
                </c:pt>
                <c:pt idx="16">
                  <c:v>125</c:v>
                </c:pt>
                <c:pt idx="17">
                  <c:v>122</c:v>
                </c:pt>
                <c:pt idx="18">
                  <c:v>125</c:v>
                </c:pt>
                <c:pt idx="19">
                  <c:v>128</c:v>
                </c:pt>
                <c:pt idx="20">
                  <c:v>129</c:v>
                </c:pt>
                <c:pt idx="21">
                  <c:v>130</c:v>
                </c:pt>
                <c:pt idx="22">
                  <c:v>132</c:v>
                </c:pt>
                <c:pt idx="23">
                  <c:v>131</c:v>
                </c:pt>
                <c:pt idx="24">
                  <c:v>131</c:v>
                </c:pt>
                <c:pt idx="25">
                  <c:v>138</c:v>
                </c:pt>
                <c:pt idx="26">
                  <c:v>138</c:v>
                </c:pt>
                <c:pt idx="27">
                  <c:v>131</c:v>
                </c:pt>
                <c:pt idx="28">
                  <c:v>129</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2B7-43B0-AC7F-A5634CF32636}"/>
            </c:ext>
          </c:extLst>
        </c:ser>
        <c:ser>
          <c:idx val="1"/>
          <c:order val="1"/>
          <c:tx>
            <c:strRef>
              <c:f>'Figure-2-Municipal-waste-treatm'!$C$3</c:f>
              <c:strCache>
                <c:ptCount val="1"/>
                <c:pt idx="0">
                  <c:v>Disposal - landfill and other (D1-D7, D12)</c:v>
                </c:pt>
              </c:strCache>
            </c:strRef>
          </c:tx>
          <c:spPr>
            <a:solidFill>
              <a:srgbClr val="0070C0"/>
            </a:solidFill>
            <a:ln>
              <a:noFill/>
            </a:ln>
            <a:effectLst/>
          </c:spPr>
          <c:invertIfNegative val="0"/>
          <c:cat>
            <c:numRef>
              <c:f>'Figure-2-Municipal-waste-treatm'!$A$4:$A$32</c:f>
              <c:numCache>
                <c:formatCode>General</c:formatCode>
                <c:ptCount val="2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numCache>
            </c:numRef>
          </c:cat>
          <c:val>
            <c:numRef>
              <c:f>'Figure-2-Municipal-waste-treatm'!$C$4:$C$32</c:f>
              <c:numCache>
                <c:formatCode>General</c:formatCode>
                <c:ptCount val="29"/>
                <c:pt idx="0">
                  <c:v>286</c:v>
                </c:pt>
                <c:pt idx="1">
                  <c:v>276</c:v>
                </c:pt>
                <c:pt idx="2">
                  <c:v>276</c:v>
                </c:pt>
                <c:pt idx="3">
                  <c:v>266</c:v>
                </c:pt>
                <c:pt idx="4">
                  <c:v>263</c:v>
                </c:pt>
                <c:pt idx="5">
                  <c:v>262</c:v>
                </c:pt>
                <c:pt idx="6">
                  <c:v>250</c:v>
                </c:pt>
                <c:pt idx="7">
                  <c:v>241</c:v>
                </c:pt>
                <c:pt idx="8">
                  <c:v>229</c:v>
                </c:pt>
                <c:pt idx="9">
                  <c:v>214</c:v>
                </c:pt>
                <c:pt idx="10">
                  <c:v>202</c:v>
                </c:pt>
                <c:pt idx="11">
                  <c:v>202</c:v>
                </c:pt>
                <c:pt idx="12">
                  <c:v>199</c:v>
                </c:pt>
                <c:pt idx="13">
                  <c:v>190</c:v>
                </c:pt>
                <c:pt idx="14">
                  <c:v>185</c:v>
                </c:pt>
                <c:pt idx="15">
                  <c:v>178</c:v>
                </c:pt>
                <c:pt idx="16">
                  <c:v>167</c:v>
                </c:pt>
                <c:pt idx="17">
                  <c:v>153</c:v>
                </c:pt>
                <c:pt idx="18">
                  <c:v>142</c:v>
                </c:pt>
                <c:pt idx="19">
                  <c:v>134</c:v>
                </c:pt>
                <c:pt idx="20">
                  <c:v>127</c:v>
                </c:pt>
                <c:pt idx="21">
                  <c:v>128</c:v>
                </c:pt>
                <c:pt idx="22">
                  <c:v>127</c:v>
                </c:pt>
                <c:pt idx="23">
                  <c:v>125</c:v>
                </c:pt>
                <c:pt idx="24">
                  <c:v>124</c:v>
                </c:pt>
                <c:pt idx="25">
                  <c:v>122</c:v>
                </c:pt>
                <c:pt idx="26">
                  <c:v>117</c:v>
                </c:pt>
                <c:pt idx="27">
                  <c:v>117</c:v>
                </c:pt>
                <c:pt idx="28">
                  <c:v>115</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2B7-43B0-AC7F-A5634CF32636}"/>
            </c:ext>
          </c:extLst>
        </c:ser>
        <c:ser>
          <c:idx val="2"/>
          <c:order val="2"/>
          <c:tx>
            <c:strRef>
              <c:f>'Figure-2-Municipal-waste-treatm'!$D$3</c:f>
              <c:strCache>
                <c:ptCount val="1"/>
                <c:pt idx="0">
                  <c:v>Recycling - material</c:v>
                </c:pt>
              </c:strCache>
            </c:strRef>
          </c:tx>
          <c:spPr>
            <a:solidFill>
              <a:schemeClr val="tx2">
                <a:lumMod val="25000"/>
                <a:lumOff val="75000"/>
              </a:schemeClr>
            </a:solidFill>
            <a:ln>
              <a:noFill/>
            </a:ln>
            <a:effectLst/>
          </c:spPr>
          <c:invertIfNegative val="0"/>
          <c:cat>
            <c:numRef>
              <c:f>'Figure-2-Municipal-waste-treatm'!$A$4:$A$32</c:f>
              <c:numCache>
                <c:formatCode>General</c:formatCode>
                <c:ptCount val="2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numCache>
            </c:numRef>
          </c:cat>
          <c:val>
            <c:numRef>
              <c:f>'Figure-2-Municipal-waste-treatm'!$D$4:$D$32</c:f>
              <c:numCache>
                <c:formatCode>General</c:formatCode>
                <c:ptCount val="29"/>
                <c:pt idx="0">
                  <c:v>54</c:v>
                </c:pt>
                <c:pt idx="1">
                  <c:v>62</c:v>
                </c:pt>
                <c:pt idx="2">
                  <c:v>69</c:v>
                </c:pt>
                <c:pt idx="3">
                  <c:v>75</c:v>
                </c:pt>
                <c:pt idx="4">
                  <c:v>85</c:v>
                </c:pt>
                <c:pt idx="5">
                  <c:v>87</c:v>
                </c:pt>
                <c:pt idx="6">
                  <c:v>92</c:v>
                </c:pt>
                <c:pt idx="7">
                  <c:v>100</c:v>
                </c:pt>
                <c:pt idx="8">
                  <c:v>100</c:v>
                </c:pt>
                <c:pt idx="9">
                  <c:v>100</c:v>
                </c:pt>
                <c:pt idx="10">
                  <c:v>105</c:v>
                </c:pt>
                <c:pt idx="11">
                  <c:v>109</c:v>
                </c:pt>
                <c:pt idx="12">
                  <c:v>119</c:v>
                </c:pt>
                <c:pt idx="13">
                  <c:v>120</c:v>
                </c:pt>
                <c:pt idx="14">
                  <c:v>123</c:v>
                </c:pt>
                <c:pt idx="15">
                  <c:v>125</c:v>
                </c:pt>
                <c:pt idx="16">
                  <c:v>128</c:v>
                </c:pt>
                <c:pt idx="17">
                  <c:v>130</c:v>
                </c:pt>
                <c:pt idx="18">
                  <c:v>128</c:v>
                </c:pt>
                <c:pt idx="19">
                  <c:v>134</c:v>
                </c:pt>
                <c:pt idx="20">
                  <c:v>141</c:v>
                </c:pt>
                <c:pt idx="21">
                  <c:v>145</c:v>
                </c:pt>
                <c:pt idx="22">
                  <c:v>147</c:v>
                </c:pt>
                <c:pt idx="23">
                  <c:v>147</c:v>
                </c:pt>
                <c:pt idx="24">
                  <c:v>150</c:v>
                </c:pt>
                <c:pt idx="25">
                  <c:v>156</c:v>
                </c:pt>
                <c:pt idx="26">
                  <c:v>163</c:v>
                </c:pt>
                <c:pt idx="27">
                  <c:v>154</c:v>
                </c:pt>
                <c:pt idx="28">
                  <c:v>147</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2B7-43B0-AC7F-A5634CF32636}"/>
            </c:ext>
          </c:extLst>
        </c:ser>
        <c:ser>
          <c:idx val="3"/>
          <c:order val="3"/>
          <c:tx>
            <c:strRef>
              <c:f>'Figure-2-Municipal-waste-treatm'!$E$3</c:f>
              <c:strCache>
                <c:ptCount val="1"/>
                <c:pt idx="0">
                  <c:v>Recycling - composting and digestion</c:v>
                </c:pt>
              </c:strCache>
            </c:strRef>
          </c:tx>
          <c:spPr>
            <a:solidFill>
              <a:schemeClr val="tx2">
                <a:lumMod val="10000"/>
                <a:lumOff val="90000"/>
              </a:schemeClr>
            </a:solidFill>
            <a:ln>
              <a:noFill/>
            </a:ln>
            <a:effectLst/>
          </c:spPr>
          <c:invertIfNegative val="0"/>
          <c:cat>
            <c:numRef>
              <c:f>'Figure-2-Municipal-waste-treatm'!$A$4:$A$32</c:f>
              <c:numCache>
                <c:formatCode>General</c:formatCode>
                <c:ptCount val="2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numCache>
            </c:numRef>
          </c:cat>
          <c:val>
            <c:numRef>
              <c:f>'Figure-2-Municipal-waste-treatm'!$E$4:$E$32</c:f>
              <c:numCache>
                <c:formatCode>General</c:formatCode>
                <c:ptCount val="29"/>
                <c:pt idx="0">
                  <c:v>33</c:v>
                </c:pt>
                <c:pt idx="1">
                  <c:v>38</c:v>
                </c:pt>
                <c:pt idx="2">
                  <c:v>41</c:v>
                </c:pt>
                <c:pt idx="3">
                  <c:v>42</c:v>
                </c:pt>
                <c:pt idx="4">
                  <c:v>45</c:v>
                </c:pt>
                <c:pt idx="5">
                  <c:v>53</c:v>
                </c:pt>
                <c:pt idx="6">
                  <c:v>54</c:v>
                </c:pt>
                <c:pt idx="7">
                  <c:v>57</c:v>
                </c:pt>
                <c:pt idx="8">
                  <c:v>57</c:v>
                </c:pt>
                <c:pt idx="9">
                  <c:v>59</c:v>
                </c:pt>
                <c:pt idx="10">
                  <c:v>59</c:v>
                </c:pt>
                <c:pt idx="11">
                  <c:v>61</c:v>
                </c:pt>
                <c:pt idx="12">
                  <c:v>64</c:v>
                </c:pt>
                <c:pt idx="13">
                  <c:v>69</c:v>
                </c:pt>
                <c:pt idx="14">
                  <c:v>67</c:v>
                </c:pt>
                <c:pt idx="15">
                  <c:v>66</c:v>
                </c:pt>
                <c:pt idx="16">
                  <c:v>66</c:v>
                </c:pt>
                <c:pt idx="17">
                  <c:v>69</c:v>
                </c:pt>
                <c:pt idx="18">
                  <c:v>71</c:v>
                </c:pt>
                <c:pt idx="19">
                  <c:v>74</c:v>
                </c:pt>
                <c:pt idx="20">
                  <c:v>75</c:v>
                </c:pt>
                <c:pt idx="21">
                  <c:v>81</c:v>
                </c:pt>
                <c:pt idx="22">
                  <c:v>84</c:v>
                </c:pt>
                <c:pt idx="23">
                  <c:v>84</c:v>
                </c:pt>
                <c:pt idx="24">
                  <c:v>88</c:v>
                </c:pt>
                <c:pt idx="25">
                  <c:v>97</c:v>
                </c:pt>
                <c:pt idx="26">
                  <c:v>102</c:v>
                </c:pt>
                <c:pt idx="27">
                  <c:v>98</c:v>
                </c:pt>
                <c:pt idx="28">
                  <c:v>99</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2B7-43B0-AC7F-A5634CF32636}"/>
            </c:ext>
          </c:extLst>
        </c:ser>
        <c:dLbls>
          <c:showLegendKey val="0"/>
          <c:showVal val="0"/>
          <c:showCatName val="0"/>
          <c:showSerName val="0"/>
          <c:showPercent val="0"/>
          <c:showBubbleSize val="0"/>
        </c:dLbls>
        <c:gapWidth val="150"/>
        <c:overlap val="100"/>
        <c:axId val="805494016"/>
        <c:axId val="805493656"/>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BarSeries>
              <c15:ser>
                <c:idx val="4"/>
                <c:order val="4"/>
                <c:tx>
                  <c:strRef>
                    <c:extLst xmlns:c16="http://schemas.microsoft.com/office/drawing/2014/chart" xmlns:c14="http://schemas.microsoft.com/office/drawing/2007/8/2/chart" xmlns:mc="http://schemas.openxmlformats.org/markup-compatibility/2006">
                      <c:ext uri="{02D57815-91ED-43cb-92C2-25804820EDAC}">
                        <c15:formulaRef>
                          <c15:sqref>'Figure-2-Municipal-waste-treatm'!$F$3</c15:sqref>
                        </c15:formulaRef>
                      </c:ext>
                    </c:extLst>
                    <c:strCache>
                      <c:ptCount val="1"/>
                    </c:strCache>
                  </c:strRef>
                </c:tx>
                <c:spPr>
                  <a:solidFill>
                    <a:schemeClr val="accent4">
                      <a:tint val="54000"/>
                    </a:schemeClr>
                  </a:solidFill>
                  <a:ln>
                    <a:noFill/>
                  </a:ln>
                  <a:effectLst/>
                </c:spPr>
                <c:invertIfNegative val="0"/>
                <c:cat>
                  <c:numRef>
                    <c:extLst xmlns:c16="http://schemas.microsoft.com/office/drawing/2014/chart" xmlns:c14="http://schemas.microsoft.com/office/drawing/2007/8/2/chart" xmlns:mc="http://schemas.openxmlformats.org/markup-compatibility/2006">
                      <c:ext uri="{02D57815-91ED-43cb-92C2-25804820EDAC}">
                        <c15:formulaRef>
                          <c15:sqref>'Figure-2-Municipal-waste-treatm'!$A$4:$A$32</c15:sqref>
                        </c15:formulaRef>
                      </c:ext>
                    </c:extLst>
                    <c:numCache>
                      <c:formatCode>General</c:formatCode>
                      <c:ptCount val="29"/>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pt idx="20">
                        <c:v>2015</c:v>
                      </c:pt>
                      <c:pt idx="21">
                        <c:v>2016</c:v>
                      </c:pt>
                      <c:pt idx="22">
                        <c:v>2017</c:v>
                      </c:pt>
                      <c:pt idx="23">
                        <c:v>2018</c:v>
                      </c:pt>
                      <c:pt idx="24">
                        <c:v>2019</c:v>
                      </c:pt>
                      <c:pt idx="25">
                        <c:v>2020</c:v>
                      </c:pt>
                      <c:pt idx="26">
                        <c:v>2021</c:v>
                      </c:pt>
                      <c:pt idx="27">
                        <c:v>2022</c:v>
                      </c:pt>
                      <c:pt idx="28">
                        <c:v>2023</c:v>
                      </c:pt>
                    </c:numCache>
                  </c:numRef>
                </c:cat>
                <c:val>
                  <c:numRef>
                    <c:extLst xmlns:c16="http://schemas.microsoft.com/office/drawing/2014/chart" xmlns:c14="http://schemas.microsoft.com/office/drawing/2007/8/2/chart" xmlns:mc="http://schemas.openxmlformats.org/markup-compatibility/2006">
                      <c:ext uri="{02D57815-91ED-43cb-92C2-25804820EDAC}">
                        <c15:formulaRef>
                          <c15:sqref>'Figure-2-Municipal-waste-treatm'!$F$4:$F$32</c15:sqref>
                        </c15:formulaRef>
                      </c:ext>
                    </c:extLst>
                    <c:numCache>
                      <c:formatCode>General</c:formatCode>
                      <c:ptCount val="29"/>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02B7-43B0-AC7F-A5634CF32636}"/>
                  </c:ext>
                </c:extLst>
              </c15:ser>
            </c15:filteredBarSeries>
          </c:ext>
        </c:extLst>
      </c:barChart>
      <c:catAx>
        <c:axId val="805494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05493656"/>
        <c:crosses val="autoZero"/>
        <c:auto val="1"/>
        <c:lblAlgn val="ctr"/>
        <c:lblOffset val="100"/>
        <c:noMultiLvlLbl val="0"/>
      </c:catAx>
      <c:valAx>
        <c:axId val="805493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a:latin typeface="Times New Roman" panose="02020603050405020304" pitchFamily="18" charset="0"/>
                    <a:cs typeface="Times New Roman" panose="02020603050405020304" pitchFamily="18" charset="0"/>
                  </a:rPr>
                  <a:t>kg per capita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05494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in!$B$18</c:f>
              <c:strCache>
                <c:ptCount val="1"/>
                <c:pt idx="0">
                  <c:v>2010%</c:v>
                </c:pt>
              </c:strCache>
            </c:strRef>
          </c:tx>
          <c:spPr>
            <a:solidFill>
              <a:schemeClr val="accent1"/>
            </a:solidFill>
            <a:ln>
              <a:noFill/>
            </a:ln>
            <a:effectLst/>
          </c:spPr>
          <c:invertIfNegative val="0"/>
          <c:cat>
            <c:strRef>
              <c:f>in!$A$19:$A$45</c:f>
              <c:strCache>
                <c:ptCount val="27"/>
                <c:pt idx="0">
                  <c:v>Belgium</c:v>
                </c:pt>
                <c:pt idx="1">
                  <c:v>Finland</c:v>
                </c:pt>
                <c:pt idx="2">
                  <c:v>Estonia</c:v>
                </c:pt>
                <c:pt idx="3">
                  <c:v>Germany</c:v>
                </c:pt>
                <c:pt idx="4">
                  <c:v>Sweden</c:v>
                </c:pt>
                <c:pt idx="5">
                  <c:v>Netherlands</c:v>
                </c:pt>
                <c:pt idx="6">
                  <c:v>Austria</c:v>
                </c:pt>
                <c:pt idx="7">
                  <c:v>Denmark</c:v>
                </c:pt>
                <c:pt idx="8">
                  <c:v>Luxembourg</c:v>
                </c:pt>
                <c:pt idx="9">
                  <c:v>Lithuania</c:v>
                </c:pt>
                <c:pt idx="10">
                  <c:v>Slovenia</c:v>
                </c:pt>
                <c:pt idx="11">
                  <c:v>Italy</c:v>
                </c:pt>
                <c:pt idx="12">
                  <c:v>Ireland</c:v>
                </c:pt>
                <c:pt idx="13">
                  <c:v>France</c:v>
                </c:pt>
                <c:pt idx="14">
                  <c:v>Poland</c:v>
                </c:pt>
                <c:pt idx="15">
                  <c:v>Slovakia</c:v>
                </c:pt>
                <c:pt idx="16">
                  <c:v>Czechia</c:v>
                </c:pt>
                <c:pt idx="17">
                  <c:v>Latvia</c:v>
                </c:pt>
                <c:pt idx="18">
                  <c:v>Bulgaria</c:v>
                </c:pt>
                <c:pt idx="19">
                  <c:v>Spain</c:v>
                </c:pt>
                <c:pt idx="20">
                  <c:v>Croatia</c:v>
                </c:pt>
                <c:pt idx="21">
                  <c:v>Hungary</c:v>
                </c:pt>
                <c:pt idx="22">
                  <c:v>Portugal</c:v>
                </c:pt>
                <c:pt idx="23">
                  <c:v>Cyprus</c:v>
                </c:pt>
                <c:pt idx="24">
                  <c:v>Malta</c:v>
                </c:pt>
                <c:pt idx="25">
                  <c:v>Romania</c:v>
                </c:pt>
                <c:pt idx="26">
                  <c:v>Greece</c:v>
                </c:pt>
              </c:strCache>
            </c:strRef>
          </c:cat>
          <c:val>
            <c:numRef>
              <c:f>in!$B$19:$B$45</c:f>
              <c:numCache>
                <c:formatCode>0%</c:formatCode>
                <c:ptCount val="27"/>
                <c:pt idx="0">
                  <c:v>0.02</c:v>
                </c:pt>
                <c:pt idx="1">
                  <c:v>0.45</c:v>
                </c:pt>
                <c:pt idx="2">
                  <c:v>0.66</c:v>
                </c:pt>
                <c:pt idx="3">
                  <c:v>0</c:v>
                </c:pt>
                <c:pt idx="4">
                  <c:v>0.01</c:v>
                </c:pt>
                <c:pt idx="5">
                  <c:v>0.02</c:v>
                </c:pt>
                <c:pt idx="6">
                  <c:v>0.03</c:v>
                </c:pt>
                <c:pt idx="7">
                  <c:v>0.03</c:v>
                </c:pt>
                <c:pt idx="8">
                  <c:v>0.16</c:v>
                </c:pt>
                <c:pt idx="9">
                  <c:v>0.86</c:v>
                </c:pt>
                <c:pt idx="10">
                  <c:v>0.56999999999999995</c:v>
                </c:pt>
                <c:pt idx="11">
                  <c:v>0.46</c:v>
                </c:pt>
                <c:pt idx="12">
                  <c:v>0.53</c:v>
                </c:pt>
                <c:pt idx="13">
                  <c:v>0.28999999999999998</c:v>
                </c:pt>
                <c:pt idx="14">
                  <c:v>0.67</c:v>
                </c:pt>
                <c:pt idx="15">
                  <c:v>0.77</c:v>
                </c:pt>
                <c:pt idx="16">
                  <c:v>0.65</c:v>
                </c:pt>
                <c:pt idx="17">
                  <c:v>0.91</c:v>
                </c:pt>
                <c:pt idx="18">
                  <c:v>0.74</c:v>
                </c:pt>
                <c:pt idx="19">
                  <c:v>0.62</c:v>
                </c:pt>
                <c:pt idx="20">
                  <c:v>0.94</c:v>
                </c:pt>
                <c:pt idx="21">
                  <c:v>0.7</c:v>
                </c:pt>
                <c:pt idx="22">
                  <c:v>0.62</c:v>
                </c:pt>
                <c:pt idx="23">
                  <c:v>0.84</c:v>
                </c:pt>
                <c:pt idx="24">
                  <c:v>0.88</c:v>
                </c:pt>
                <c:pt idx="25">
                  <c:v>0.76</c:v>
                </c:pt>
                <c:pt idx="26">
                  <c:v>0.83</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F8CD-45D9-8472-8112888BD106}"/>
            </c:ext>
          </c:extLst>
        </c:ser>
        <c:ser>
          <c:idx val="1"/>
          <c:order val="1"/>
          <c:tx>
            <c:strRef>
              <c:f>in!$C$18</c:f>
              <c:strCache>
                <c:ptCount val="1"/>
                <c:pt idx="0">
                  <c:v>2023%</c:v>
                </c:pt>
              </c:strCache>
            </c:strRef>
          </c:tx>
          <c:spPr>
            <a:solidFill>
              <a:schemeClr val="accent2"/>
            </a:solidFill>
            <a:ln>
              <a:noFill/>
            </a:ln>
            <a:effectLst/>
          </c:spPr>
          <c:invertIfNegative val="0"/>
          <c:cat>
            <c:strRef>
              <c:f>in!$A$19:$A$45</c:f>
              <c:strCache>
                <c:ptCount val="27"/>
                <c:pt idx="0">
                  <c:v>Belgium</c:v>
                </c:pt>
                <c:pt idx="1">
                  <c:v>Finland</c:v>
                </c:pt>
                <c:pt idx="2">
                  <c:v>Estonia</c:v>
                </c:pt>
                <c:pt idx="3">
                  <c:v>Germany</c:v>
                </c:pt>
                <c:pt idx="4">
                  <c:v>Sweden</c:v>
                </c:pt>
                <c:pt idx="5">
                  <c:v>Netherlands</c:v>
                </c:pt>
                <c:pt idx="6">
                  <c:v>Austria</c:v>
                </c:pt>
                <c:pt idx="7">
                  <c:v>Denmark</c:v>
                </c:pt>
                <c:pt idx="8">
                  <c:v>Luxembourg</c:v>
                </c:pt>
                <c:pt idx="9">
                  <c:v>Lithuania</c:v>
                </c:pt>
                <c:pt idx="10">
                  <c:v>Slovenia</c:v>
                </c:pt>
                <c:pt idx="11">
                  <c:v>Italy</c:v>
                </c:pt>
                <c:pt idx="12">
                  <c:v>Ireland</c:v>
                </c:pt>
                <c:pt idx="13">
                  <c:v>France</c:v>
                </c:pt>
                <c:pt idx="14">
                  <c:v>Poland</c:v>
                </c:pt>
                <c:pt idx="15">
                  <c:v>Slovakia</c:v>
                </c:pt>
                <c:pt idx="16">
                  <c:v>Czechia</c:v>
                </c:pt>
                <c:pt idx="17">
                  <c:v>Latvia</c:v>
                </c:pt>
                <c:pt idx="18">
                  <c:v>Bulgaria</c:v>
                </c:pt>
                <c:pt idx="19">
                  <c:v>Spain</c:v>
                </c:pt>
                <c:pt idx="20">
                  <c:v>Croatia</c:v>
                </c:pt>
                <c:pt idx="21">
                  <c:v>Hungary</c:v>
                </c:pt>
                <c:pt idx="22">
                  <c:v>Portugal</c:v>
                </c:pt>
                <c:pt idx="23">
                  <c:v>Cyprus</c:v>
                </c:pt>
                <c:pt idx="24">
                  <c:v>Malta</c:v>
                </c:pt>
                <c:pt idx="25">
                  <c:v>Romania</c:v>
                </c:pt>
                <c:pt idx="26">
                  <c:v>Greece</c:v>
                </c:pt>
              </c:strCache>
            </c:strRef>
          </c:cat>
          <c:val>
            <c:numRef>
              <c:f>in!$C$19:$C$45</c:f>
              <c:numCache>
                <c:formatCode>0%</c:formatCode>
                <c:ptCount val="27"/>
                <c:pt idx="0">
                  <c:v>0</c:v>
                </c:pt>
                <c:pt idx="1">
                  <c:v>0</c:v>
                </c:pt>
                <c:pt idx="2">
                  <c:v>0.01</c:v>
                </c:pt>
                <c:pt idx="3">
                  <c:v>0.01</c:v>
                </c:pt>
                <c:pt idx="4">
                  <c:v>0.01</c:v>
                </c:pt>
                <c:pt idx="5">
                  <c:v>0.01</c:v>
                </c:pt>
                <c:pt idx="6">
                  <c:v>0.02</c:v>
                </c:pt>
                <c:pt idx="7">
                  <c:v>0.02</c:v>
                </c:pt>
                <c:pt idx="8">
                  <c:v>0.03</c:v>
                </c:pt>
                <c:pt idx="9">
                  <c:v>0.08</c:v>
                </c:pt>
                <c:pt idx="10">
                  <c:v>0.09</c:v>
                </c:pt>
                <c:pt idx="11">
                  <c:v>0.16</c:v>
                </c:pt>
                <c:pt idx="12">
                  <c:v>0.16</c:v>
                </c:pt>
                <c:pt idx="13">
                  <c:v>0.21</c:v>
                </c:pt>
                <c:pt idx="14">
                  <c:v>0.3</c:v>
                </c:pt>
                <c:pt idx="15">
                  <c:v>0.39</c:v>
                </c:pt>
                <c:pt idx="16">
                  <c:v>0.42</c:v>
                </c:pt>
                <c:pt idx="17">
                  <c:v>0.44</c:v>
                </c:pt>
                <c:pt idx="18">
                  <c:v>0.44</c:v>
                </c:pt>
                <c:pt idx="19">
                  <c:v>0.48</c:v>
                </c:pt>
                <c:pt idx="20">
                  <c:v>0.52</c:v>
                </c:pt>
                <c:pt idx="21">
                  <c:v>0.54</c:v>
                </c:pt>
                <c:pt idx="22">
                  <c:v>0.56999999999999995</c:v>
                </c:pt>
                <c:pt idx="23">
                  <c:v>0.61</c:v>
                </c:pt>
                <c:pt idx="24">
                  <c:v>0.74</c:v>
                </c:pt>
                <c:pt idx="25">
                  <c:v>0.76</c:v>
                </c:pt>
                <c:pt idx="26">
                  <c:v>0.81</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F8CD-45D9-8472-8112888BD106}"/>
            </c:ext>
          </c:extLst>
        </c:ser>
        <c:dLbls>
          <c:showLegendKey val="0"/>
          <c:showVal val="0"/>
          <c:showCatName val="0"/>
          <c:showSerName val="0"/>
          <c:showPercent val="0"/>
          <c:showBubbleSize val="0"/>
        </c:dLbls>
        <c:gapWidth val="219"/>
        <c:overlap val="-27"/>
        <c:axId val="106805696"/>
        <c:axId val="106818176"/>
      </c:barChart>
      <c:catAx>
        <c:axId val="106805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818176"/>
        <c:crosses val="autoZero"/>
        <c:auto val="1"/>
        <c:lblAlgn val="ctr"/>
        <c:lblOffset val="100"/>
        <c:noMultiLvlLbl val="0"/>
      </c:catAx>
      <c:valAx>
        <c:axId val="106818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6805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Ricardo Sectors">
      <a:dk1>
        <a:srgbClr val="242828"/>
      </a:dk1>
      <a:lt1>
        <a:srgbClr val="FFFFFF"/>
      </a:lt1>
      <a:dk2>
        <a:srgbClr val="003CA7"/>
      </a:dk2>
      <a:lt2>
        <a:srgbClr val="A3AAAE"/>
      </a:lt2>
      <a:accent1>
        <a:srgbClr val="00A6B6"/>
      </a:accent1>
      <a:accent2>
        <a:srgbClr val="00956E"/>
      </a:accent2>
      <a:accent3>
        <a:srgbClr val="76236D"/>
      </a:accent3>
      <a:accent4>
        <a:srgbClr val="E97300"/>
      </a:accent4>
      <a:accent5>
        <a:srgbClr val="D0D2D2"/>
      </a:accent5>
      <a:accent6>
        <a:srgbClr val="009BDF"/>
      </a:accent6>
      <a:hlink>
        <a:srgbClr val="003CA7"/>
      </a:hlink>
      <a:folHlink>
        <a:srgbClr val="A3AAAE"/>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Jan25</b:Tag>
    <b:SourceType>InternetSite</b:SourceType>
    <b:Guid>{1BC463E0-95BE-4F91-8384-17ECF4836614}</b:Guid>
    <b:Title>The joys of automatically referencing documents that you're allowed to reference</b:Title>
    <b:Year>2020</b:Year>
    <b:Author>
      <b:Author>
        <b:NameList>
          <b:Person>
            <b:Last>Smith</b:Last>
            <b:First>Jane</b:First>
            <b:Middle>and John</b:Middle>
          </b:Person>
        </b:NameList>
      </b:Author>
    </b:Author>
    <b:Publisher>Smithy Smith Smith</b:Publisher>
    <b:City>Anywhere</b:City>
    <b:InternetSiteTitle>website source name</b:InternetSiteTitle>
    <b:URL>www.referencelocation.com</b:URL>
    <b:RefOrder>1</b:RefOrder>
  </b:Source>
</b:Sources>
</file>

<file path=customXml/itemProps1.xml><?xml version="1.0" encoding="utf-8"?>
<ds:datastoreItem xmlns:ds="http://schemas.openxmlformats.org/officeDocument/2006/customXml" ds:itemID="{FC931C85-85FA-47DC-809E-AFC4F9CA0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60401</Words>
  <Characters>344974</Characters>
  <Application>Microsoft Office Word</Application>
  <DocSecurity>0</DocSecurity>
  <Lines>7186</Lines>
  <Paragraphs>3435</Paragraphs>
  <ScaleCrop>false</ScaleCrop>
  <Manager/>
  <Company/>
  <LinksUpToDate>false</LinksUpToDate>
  <CharactersWithSpaces>401940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2026-07-17T09:38:00Z</dcterms:created>
  <dcterms:modified xsi:type="dcterms:W3CDTF">2026-07-17T09:38:00Z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2026-07-15T07:46:40Z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9fab5f27-32de-4017-beaf-a9623757327b</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ies>
</file>